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2D3" w:rsidRDefault="009212D3" w:rsidP="009212D3">
      <w:pPr>
        <w:snapToGrid w:val="0"/>
        <w:spacing w:line="560" w:lineRule="exact"/>
        <w:rPr>
          <w:rFonts w:eastAsia="仿宋_GB2312"/>
          <w:sz w:val="32"/>
        </w:rPr>
      </w:pPr>
      <w:r>
        <w:rPr>
          <w:rFonts w:eastAsia="仿宋_GB2312"/>
          <w:sz w:val="32"/>
        </w:rPr>
        <w:t>附件</w:t>
      </w:r>
      <w:r>
        <w:rPr>
          <w:rFonts w:eastAsia="仿宋_GB2312"/>
          <w:sz w:val="32"/>
        </w:rPr>
        <w:t>1</w:t>
      </w:r>
      <w:r>
        <w:rPr>
          <w:rFonts w:eastAsia="仿宋_GB2312" w:hint="eastAsia"/>
          <w:sz w:val="32"/>
        </w:rPr>
        <w:t>：</w:t>
      </w:r>
      <w:r>
        <w:rPr>
          <w:rFonts w:eastAsia="仿宋_GB2312"/>
          <w:sz w:val="32"/>
        </w:rPr>
        <w:t xml:space="preserve">　　　</w:t>
      </w:r>
    </w:p>
    <w:p w:rsidR="009212D3" w:rsidRDefault="009212D3" w:rsidP="009212D3">
      <w:pPr>
        <w:spacing w:line="560" w:lineRule="exact"/>
        <w:jc w:val="center"/>
        <w:rPr>
          <w:rFonts w:ascii="方正小标宋_GBK" w:eastAsia="方正小标宋_GBK" w:hAnsi="黑体" w:hint="eastAsia"/>
          <w:sz w:val="44"/>
          <w:szCs w:val="44"/>
        </w:rPr>
      </w:pPr>
      <w:r>
        <w:rPr>
          <w:rFonts w:ascii="方正小标宋_GBK" w:eastAsia="方正小标宋_GBK" w:hAnsi="黑体" w:hint="eastAsia"/>
          <w:sz w:val="44"/>
          <w:szCs w:val="44"/>
        </w:rPr>
        <w:t>惠州市社会基本医疗保险国家谈判药</w:t>
      </w:r>
    </w:p>
    <w:p w:rsidR="009212D3" w:rsidRDefault="009212D3" w:rsidP="009212D3">
      <w:pPr>
        <w:spacing w:line="560" w:lineRule="exact"/>
        <w:jc w:val="center"/>
        <w:rPr>
          <w:rFonts w:ascii="方正小标宋_GBK" w:eastAsia="方正小标宋_GBK" w:hint="eastAsia"/>
          <w:sz w:val="44"/>
          <w:szCs w:val="44"/>
        </w:rPr>
      </w:pPr>
      <w:r>
        <w:rPr>
          <w:rFonts w:ascii="方正小标宋_GBK" w:eastAsia="方正小标宋_GBK" w:hAnsi="黑体" w:hint="eastAsia"/>
          <w:sz w:val="44"/>
          <w:szCs w:val="44"/>
        </w:rPr>
        <w:t>协议定点药店的资格条件</w:t>
      </w:r>
    </w:p>
    <w:p w:rsidR="009212D3" w:rsidRPr="00A40D6E" w:rsidRDefault="009212D3" w:rsidP="009212D3">
      <w:pPr>
        <w:snapToGrid w:val="0"/>
        <w:spacing w:line="600" w:lineRule="exact"/>
        <w:rPr>
          <w:rFonts w:eastAsia="仿宋_GB2312"/>
          <w:sz w:val="32"/>
        </w:rPr>
      </w:pPr>
    </w:p>
    <w:p w:rsidR="009212D3" w:rsidRPr="00A40D6E" w:rsidRDefault="009212D3" w:rsidP="009212D3">
      <w:pPr>
        <w:spacing w:line="600" w:lineRule="exact"/>
        <w:ind w:firstLineChars="200" w:firstLine="640"/>
        <w:rPr>
          <w:rFonts w:eastAsia="仿宋_GB2312"/>
          <w:sz w:val="32"/>
        </w:rPr>
      </w:pPr>
      <w:r w:rsidRPr="00A40D6E">
        <w:rPr>
          <w:rFonts w:eastAsia="仿宋_GB2312"/>
          <w:sz w:val="32"/>
          <w:szCs w:val="32"/>
        </w:rPr>
        <w:t>为进一步贯彻落实</w:t>
      </w:r>
      <w:r w:rsidRPr="00A40D6E">
        <w:rPr>
          <w:rFonts w:eastAsia="仿宋_GB2312"/>
          <w:sz w:val="32"/>
        </w:rPr>
        <w:t>人力资源和社会保障部《关于将</w:t>
      </w:r>
      <w:r w:rsidRPr="00A40D6E">
        <w:rPr>
          <w:rFonts w:eastAsia="仿宋_GB2312"/>
          <w:sz w:val="32"/>
        </w:rPr>
        <w:t>36</w:t>
      </w:r>
      <w:r w:rsidRPr="00A40D6E">
        <w:rPr>
          <w:rFonts w:eastAsia="仿宋_GB2312"/>
          <w:sz w:val="32"/>
        </w:rPr>
        <w:t>种药品纳入国家基本医疗保险、工伤保险和生育保险药品目录乙类范围的通知》（人社部发〔</w:t>
      </w:r>
      <w:r w:rsidRPr="00A40D6E">
        <w:rPr>
          <w:rFonts w:eastAsia="仿宋_GB2312"/>
          <w:sz w:val="32"/>
        </w:rPr>
        <w:t>2017</w:t>
      </w:r>
      <w:r w:rsidRPr="00A40D6E">
        <w:rPr>
          <w:rFonts w:eastAsia="仿宋_GB2312"/>
          <w:sz w:val="32"/>
        </w:rPr>
        <w:t>〕</w:t>
      </w:r>
      <w:r w:rsidRPr="00A40D6E">
        <w:rPr>
          <w:rFonts w:eastAsia="仿宋_GB2312"/>
          <w:sz w:val="32"/>
        </w:rPr>
        <w:t>54</w:t>
      </w:r>
      <w:r w:rsidRPr="00A40D6E">
        <w:rPr>
          <w:rFonts w:eastAsia="仿宋_GB2312"/>
          <w:sz w:val="32"/>
        </w:rPr>
        <w:t>号）精神，确保我市国家谈判药协议定点零售药店（简称</w:t>
      </w:r>
      <w:r w:rsidRPr="00A40D6E">
        <w:rPr>
          <w:rFonts w:eastAsia="仿宋_GB2312"/>
          <w:sz w:val="32"/>
        </w:rPr>
        <w:t>“</w:t>
      </w:r>
      <w:r w:rsidRPr="00A40D6E">
        <w:rPr>
          <w:rFonts w:eastAsia="仿宋_GB2312"/>
          <w:sz w:val="32"/>
        </w:rPr>
        <w:t>协议药店</w:t>
      </w:r>
      <w:r w:rsidRPr="00A40D6E">
        <w:rPr>
          <w:rFonts w:eastAsia="仿宋_GB2312"/>
          <w:sz w:val="32"/>
        </w:rPr>
        <w:t>”</w:t>
      </w:r>
      <w:r w:rsidRPr="00A40D6E">
        <w:rPr>
          <w:rFonts w:eastAsia="仿宋_GB2312"/>
          <w:sz w:val="32"/>
        </w:rPr>
        <w:t>）遴选的公开公正公平，协议药店需具备下列条件：</w:t>
      </w:r>
    </w:p>
    <w:p w:rsidR="009212D3" w:rsidRPr="00A40D6E" w:rsidRDefault="009212D3" w:rsidP="009212D3">
      <w:pPr>
        <w:spacing w:line="600" w:lineRule="exact"/>
        <w:rPr>
          <w:rFonts w:eastAsia="仿宋_GB2312"/>
          <w:sz w:val="32"/>
          <w:szCs w:val="32"/>
        </w:rPr>
      </w:pPr>
      <w:r w:rsidRPr="00A40D6E">
        <w:rPr>
          <w:rFonts w:eastAsia="仿宋_GB2312"/>
          <w:sz w:val="32"/>
          <w:szCs w:val="32"/>
        </w:rPr>
        <w:t xml:space="preserve">    </w:t>
      </w:r>
      <w:r w:rsidRPr="00A40D6E">
        <w:rPr>
          <w:rFonts w:eastAsia="仿宋_GB2312"/>
          <w:sz w:val="32"/>
          <w:szCs w:val="32"/>
        </w:rPr>
        <w:t>一、遵守《中华人民共和国药品管理法》及有关法律法规，有健全和完善的药品管理、信息系统管理等内部管理制度，确保药品的质量和安全。</w:t>
      </w:r>
    </w:p>
    <w:p w:rsidR="009212D3" w:rsidRPr="00A40D6E" w:rsidRDefault="009212D3" w:rsidP="009212D3">
      <w:pPr>
        <w:spacing w:line="600" w:lineRule="exact"/>
        <w:ind w:firstLineChars="200" w:firstLine="640"/>
        <w:rPr>
          <w:rFonts w:eastAsia="仿宋_GB2312"/>
          <w:sz w:val="32"/>
          <w:szCs w:val="32"/>
        </w:rPr>
      </w:pPr>
      <w:r w:rsidRPr="00A40D6E">
        <w:rPr>
          <w:rFonts w:eastAsia="仿宋_GB2312"/>
          <w:sz w:val="32"/>
          <w:szCs w:val="32"/>
        </w:rPr>
        <w:t>二、属于我市社会医疗保险定点零售药店，严格执行社会基本医疗保险政策，自签约以来年度信用等级评定没有出现</w:t>
      </w:r>
      <w:r w:rsidRPr="00A40D6E">
        <w:rPr>
          <w:rFonts w:eastAsia="仿宋_GB2312"/>
          <w:sz w:val="32"/>
          <w:szCs w:val="32"/>
        </w:rPr>
        <w:t>B</w:t>
      </w:r>
      <w:r w:rsidRPr="00A40D6E">
        <w:rPr>
          <w:rFonts w:eastAsia="仿宋_GB2312"/>
          <w:sz w:val="32"/>
          <w:szCs w:val="32"/>
        </w:rPr>
        <w:t>级及以下等级；并在申请之日前</w:t>
      </w:r>
      <w:r w:rsidRPr="00A40D6E">
        <w:rPr>
          <w:rFonts w:eastAsia="仿宋_GB2312"/>
          <w:sz w:val="32"/>
          <w:szCs w:val="32"/>
        </w:rPr>
        <w:t>3</w:t>
      </w:r>
      <w:r w:rsidRPr="00A40D6E">
        <w:rPr>
          <w:rFonts w:eastAsia="仿宋_GB2312"/>
          <w:sz w:val="32"/>
          <w:szCs w:val="32"/>
        </w:rPr>
        <w:t>年内未受过食品药品监督、工商行政管理和人力资源社会保障部门处理（含正在调查未有结论的事项）。</w:t>
      </w:r>
    </w:p>
    <w:p w:rsidR="009212D3" w:rsidRPr="00A40D6E" w:rsidRDefault="009212D3" w:rsidP="009212D3">
      <w:pPr>
        <w:spacing w:line="600" w:lineRule="exact"/>
        <w:rPr>
          <w:rFonts w:eastAsia="仿宋_GB2312"/>
          <w:sz w:val="32"/>
          <w:szCs w:val="32"/>
        </w:rPr>
      </w:pPr>
      <w:r w:rsidRPr="00A40D6E">
        <w:rPr>
          <w:rFonts w:eastAsia="仿宋_GB2312"/>
          <w:sz w:val="32"/>
          <w:szCs w:val="32"/>
        </w:rPr>
        <w:t xml:space="preserve">　　三、</w:t>
      </w:r>
      <w:r w:rsidRPr="00A40D6E">
        <w:rPr>
          <w:rFonts w:eastAsia="仿宋_GB2312"/>
          <w:sz w:val="32"/>
          <w:szCs w:val="32"/>
        </w:rPr>
        <w:t>“</w:t>
      </w:r>
      <w:r w:rsidRPr="00A40D6E">
        <w:rPr>
          <w:rFonts w:eastAsia="仿宋_GB2312"/>
          <w:sz w:val="32"/>
          <w:szCs w:val="32"/>
        </w:rPr>
        <w:t>协议药店</w:t>
      </w:r>
      <w:r w:rsidRPr="00A40D6E">
        <w:rPr>
          <w:rFonts w:eastAsia="仿宋_GB2312"/>
          <w:sz w:val="32"/>
          <w:szCs w:val="32"/>
        </w:rPr>
        <w:t>”</w:t>
      </w:r>
      <w:r w:rsidRPr="00A40D6E">
        <w:rPr>
          <w:rFonts w:eastAsia="仿宋_GB2312"/>
          <w:sz w:val="32"/>
          <w:szCs w:val="32"/>
        </w:rPr>
        <w:t>所属的连锁总部（或集团总部）取得《药品经营质量管理规范认证证书》，注册资金达</w:t>
      </w:r>
      <w:r w:rsidRPr="00A40D6E">
        <w:rPr>
          <w:rFonts w:eastAsia="仿宋_GB2312"/>
          <w:sz w:val="32"/>
          <w:szCs w:val="32"/>
        </w:rPr>
        <w:t>500</w:t>
      </w:r>
      <w:r w:rsidRPr="00A40D6E">
        <w:rPr>
          <w:rFonts w:eastAsia="仿宋_GB2312"/>
          <w:sz w:val="32"/>
          <w:szCs w:val="32"/>
        </w:rPr>
        <w:t>万元以上，自有药品物流配送中心，能够在</w:t>
      </w:r>
      <w:r w:rsidRPr="00A40D6E">
        <w:rPr>
          <w:rFonts w:eastAsia="仿宋_GB2312"/>
          <w:sz w:val="32"/>
          <w:szCs w:val="32"/>
        </w:rPr>
        <w:t>2</w:t>
      </w:r>
      <w:r w:rsidRPr="00A40D6E">
        <w:rPr>
          <w:rFonts w:eastAsia="仿宋_GB2312"/>
          <w:sz w:val="32"/>
          <w:szCs w:val="32"/>
        </w:rPr>
        <w:t>小时内调配本通知规定范围的药品。连锁总部（或集团总部）具备符合冷链要求的储存、使用区域及设备，具备完善的冷链质量管理体系，有不少于</w:t>
      </w:r>
      <w:r w:rsidRPr="00A40D6E">
        <w:rPr>
          <w:rFonts w:eastAsia="仿宋_GB2312"/>
          <w:sz w:val="32"/>
          <w:szCs w:val="32"/>
        </w:rPr>
        <w:t>1</w:t>
      </w:r>
      <w:r w:rsidRPr="00A40D6E">
        <w:rPr>
          <w:rFonts w:eastAsia="仿宋_GB2312"/>
          <w:sz w:val="32"/>
          <w:szCs w:val="32"/>
        </w:rPr>
        <w:t>台</w:t>
      </w:r>
      <w:r w:rsidRPr="00A40D6E">
        <w:rPr>
          <w:rFonts w:eastAsia="仿宋_GB2312"/>
          <w:sz w:val="32"/>
          <w:szCs w:val="32"/>
        </w:rPr>
        <w:lastRenderedPageBreak/>
        <w:t>冷藏车和</w:t>
      </w:r>
      <w:r w:rsidRPr="00A40D6E">
        <w:rPr>
          <w:rFonts w:eastAsia="仿宋_GB2312"/>
          <w:sz w:val="32"/>
          <w:szCs w:val="32"/>
        </w:rPr>
        <w:t>5</w:t>
      </w:r>
      <w:r w:rsidRPr="00A40D6E">
        <w:rPr>
          <w:rFonts w:eastAsia="仿宋_GB2312"/>
          <w:sz w:val="32"/>
          <w:szCs w:val="32"/>
        </w:rPr>
        <w:t>个保温箱（或冷藏箱）。</w:t>
      </w:r>
    </w:p>
    <w:p w:rsidR="009212D3" w:rsidRPr="00A40D6E" w:rsidRDefault="009212D3" w:rsidP="009212D3">
      <w:pPr>
        <w:spacing w:line="600" w:lineRule="exact"/>
        <w:rPr>
          <w:rFonts w:eastAsia="仿宋_GB2312"/>
          <w:sz w:val="32"/>
          <w:szCs w:val="32"/>
        </w:rPr>
      </w:pPr>
      <w:r w:rsidRPr="00A40D6E">
        <w:rPr>
          <w:rFonts w:eastAsia="仿宋_GB2312"/>
          <w:sz w:val="32"/>
          <w:szCs w:val="32"/>
        </w:rPr>
        <w:t xml:space="preserve">　　四、</w:t>
      </w:r>
      <w:r w:rsidRPr="00A40D6E">
        <w:rPr>
          <w:rFonts w:eastAsia="仿宋_GB2312"/>
          <w:sz w:val="32"/>
          <w:szCs w:val="32"/>
        </w:rPr>
        <w:t>“</w:t>
      </w:r>
      <w:r w:rsidRPr="00A40D6E">
        <w:rPr>
          <w:rFonts w:eastAsia="仿宋_GB2312"/>
          <w:sz w:val="32"/>
          <w:szCs w:val="32"/>
        </w:rPr>
        <w:t>协议药店</w:t>
      </w:r>
      <w:r w:rsidRPr="00A40D6E">
        <w:rPr>
          <w:rFonts w:eastAsia="仿宋_GB2312"/>
          <w:sz w:val="32"/>
          <w:szCs w:val="32"/>
        </w:rPr>
        <w:t>”</w:t>
      </w:r>
      <w:r w:rsidRPr="00A40D6E">
        <w:rPr>
          <w:rFonts w:eastAsia="仿宋_GB2312"/>
          <w:sz w:val="32"/>
          <w:szCs w:val="32"/>
        </w:rPr>
        <w:t>要具有独立经销</w:t>
      </w:r>
      <w:r w:rsidRPr="00A40D6E">
        <w:rPr>
          <w:rFonts w:eastAsia="仿宋_GB2312"/>
          <w:sz w:val="32"/>
          <w:szCs w:val="32"/>
        </w:rPr>
        <w:t>“</w:t>
      </w:r>
      <w:r w:rsidRPr="00A40D6E">
        <w:rPr>
          <w:rFonts w:eastAsia="仿宋_GB2312"/>
          <w:sz w:val="32"/>
          <w:szCs w:val="32"/>
        </w:rPr>
        <w:t>外购谈判药</w:t>
      </w:r>
      <w:r w:rsidRPr="00A40D6E">
        <w:rPr>
          <w:rFonts w:eastAsia="仿宋_GB2312"/>
          <w:sz w:val="32"/>
          <w:szCs w:val="32"/>
        </w:rPr>
        <w:t>”</w:t>
      </w:r>
      <w:r w:rsidRPr="00A40D6E">
        <w:rPr>
          <w:rFonts w:eastAsia="仿宋_GB2312"/>
          <w:sz w:val="32"/>
          <w:szCs w:val="32"/>
        </w:rPr>
        <w:t>的场所和具备符合冷链要求的储存、使用区域及设备，能够提供市内送药上门服务。经营场所应至少配备</w:t>
      </w:r>
      <w:r w:rsidRPr="00A40D6E">
        <w:rPr>
          <w:rFonts w:eastAsia="仿宋_GB2312"/>
          <w:sz w:val="32"/>
          <w:szCs w:val="32"/>
        </w:rPr>
        <w:t>1</w:t>
      </w:r>
      <w:r w:rsidRPr="00A40D6E">
        <w:rPr>
          <w:rFonts w:eastAsia="仿宋_GB2312"/>
          <w:sz w:val="32"/>
          <w:szCs w:val="32"/>
        </w:rPr>
        <w:t>名执业药师并在岗提供药事服务。药店</w:t>
      </w:r>
      <w:r w:rsidRPr="00A40D6E">
        <w:rPr>
          <w:rFonts w:eastAsia="仿宋_GB2312"/>
          <w:sz w:val="32"/>
          <w:szCs w:val="32"/>
        </w:rPr>
        <w:t>(</w:t>
      </w:r>
      <w:r w:rsidRPr="00A40D6E">
        <w:rPr>
          <w:rFonts w:eastAsia="仿宋_GB2312"/>
          <w:sz w:val="32"/>
          <w:szCs w:val="32"/>
        </w:rPr>
        <w:t>含零售连锁企业</w:t>
      </w:r>
      <w:r w:rsidRPr="00A40D6E">
        <w:rPr>
          <w:rFonts w:eastAsia="仿宋_GB2312"/>
          <w:sz w:val="32"/>
          <w:szCs w:val="32"/>
        </w:rPr>
        <w:t>)</w:t>
      </w:r>
      <w:r w:rsidRPr="00A40D6E">
        <w:rPr>
          <w:rFonts w:eastAsia="仿宋_GB2312"/>
          <w:sz w:val="32"/>
          <w:szCs w:val="32"/>
        </w:rPr>
        <w:t>已取得</w:t>
      </w:r>
      <w:r w:rsidRPr="00A40D6E">
        <w:rPr>
          <w:rFonts w:eastAsia="仿宋_GB2312"/>
          <w:sz w:val="32"/>
          <w:szCs w:val="32"/>
        </w:rPr>
        <w:t>“</w:t>
      </w:r>
      <w:r w:rsidRPr="00A40D6E">
        <w:rPr>
          <w:rFonts w:eastAsia="仿宋_GB2312"/>
          <w:sz w:val="32"/>
          <w:szCs w:val="32"/>
        </w:rPr>
        <w:t>外购谈判药</w:t>
      </w:r>
      <w:r w:rsidRPr="00A40D6E">
        <w:rPr>
          <w:rFonts w:eastAsia="仿宋_GB2312"/>
          <w:sz w:val="32"/>
          <w:szCs w:val="32"/>
        </w:rPr>
        <w:t>”</w:t>
      </w:r>
      <w:r w:rsidRPr="00A40D6E">
        <w:rPr>
          <w:rFonts w:eastAsia="仿宋_GB2312"/>
          <w:sz w:val="32"/>
          <w:szCs w:val="32"/>
        </w:rPr>
        <w:t>生产厂家经销权的优先考虑；同等条件下，连锁企业在本市定点零售药店较多的可优先考虑。</w:t>
      </w:r>
    </w:p>
    <w:p w:rsidR="009212D3" w:rsidRPr="00A40D6E" w:rsidRDefault="009212D3" w:rsidP="009212D3">
      <w:pPr>
        <w:spacing w:line="600" w:lineRule="exact"/>
        <w:ind w:firstLineChars="200" w:firstLine="640"/>
        <w:rPr>
          <w:rFonts w:eastAsia="仿宋_GB2312"/>
          <w:sz w:val="32"/>
          <w:szCs w:val="32"/>
        </w:rPr>
      </w:pPr>
      <w:r w:rsidRPr="00A40D6E">
        <w:rPr>
          <w:rFonts w:eastAsia="仿宋_GB2312"/>
          <w:sz w:val="32"/>
          <w:szCs w:val="32"/>
        </w:rPr>
        <w:t>五、承诺纳入医保基金统筹支付范围的药品价格不得高于国家规定的价格。</w:t>
      </w:r>
    </w:p>
    <w:p w:rsidR="009212D3" w:rsidRPr="00A40D6E" w:rsidRDefault="009212D3" w:rsidP="009212D3">
      <w:pPr>
        <w:spacing w:line="600" w:lineRule="exact"/>
        <w:ind w:firstLineChars="200" w:firstLine="640"/>
        <w:rPr>
          <w:rFonts w:eastAsia="仿宋_GB2312"/>
          <w:sz w:val="32"/>
          <w:szCs w:val="32"/>
        </w:rPr>
      </w:pPr>
      <w:r w:rsidRPr="00A40D6E">
        <w:rPr>
          <w:rFonts w:eastAsia="仿宋_GB2312"/>
          <w:sz w:val="32"/>
          <w:szCs w:val="32"/>
        </w:rPr>
        <w:t>六、具备可联网接入医疗保险信息系统的软、硬件条件，能确保医疗保险信息系统的正常运行，并能正确反映规定药品</w:t>
      </w:r>
      <w:r w:rsidRPr="00A40D6E">
        <w:rPr>
          <w:rFonts w:eastAsia="仿宋_GB2312"/>
          <w:sz w:val="32"/>
          <w:szCs w:val="32"/>
        </w:rPr>
        <w:t>“</w:t>
      </w:r>
      <w:r w:rsidRPr="00A40D6E">
        <w:rPr>
          <w:rFonts w:eastAsia="仿宋_GB2312"/>
          <w:sz w:val="32"/>
          <w:szCs w:val="32"/>
        </w:rPr>
        <w:t>进、销、存</w:t>
      </w:r>
      <w:r w:rsidRPr="00A40D6E">
        <w:rPr>
          <w:rFonts w:eastAsia="仿宋_GB2312"/>
          <w:sz w:val="32"/>
          <w:szCs w:val="32"/>
        </w:rPr>
        <w:t>”</w:t>
      </w:r>
      <w:r w:rsidRPr="00A40D6E">
        <w:rPr>
          <w:rFonts w:eastAsia="仿宋_GB2312"/>
          <w:sz w:val="32"/>
          <w:szCs w:val="32"/>
        </w:rPr>
        <w:t>情况。</w:t>
      </w:r>
    </w:p>
    <w:p w:rsidR="009212D3" w:rsidRPr="00A40D6E" w:rsidRDefault="009212D3" w:rsidP="009212D3">
      <w:pPr>
        <w:spacing w:line="600" w:lineRule="exact"/>
        <w:rPr>
          <w:rFonts w:eastAsia="仿宋_GB2312"/>
          <w:sz w:val="32"/>
          <w:szCs w:val="32"/>
        </w:rPr>
      </w:pPr>
      <w:r w:rsidRPr="00A40D6E">
        <w:rPr>
          <w:rFonts w:eastAsia="仿宋_GB2312"/>
          <w:sz w:val="32"/>
          <w:szCs w:val="32"/>
        </w:rPr>
        <w:t xml:space="preserve">　　七、市人力资源社会保障部门公布的其他条件。</w:t>
      </w:r>
    </w:p>
    <w:p w:rsidR="009212D3" w:rsidRPr="00A40D6E" w:rsidRDefault="009212D3" w:rsidP="009212D3">
      <w:pPr>
        <w:spacing w:line="600" w:lineRule="exact"/>
        <w:rPr>
          <w:rFonts w:eastAsia="仿宋_GB2312"/>
          <w:sz w:val="32"/>
          <w:szCs w:val="32"/>
        </w:rPr>
      </w:pPr>
    </w:p>
    <w:p w:rsidR="009212D3" w:rsidRPr="00A40D6E" w:rsidRDefault="009212D3" w:rsidP="009212D3">
      <w:pPr>
        <w:spacing w:line="600" w:lineRule="exact"/>
        <w:rPr>
          <w:rFonts w:eastAsia="仿宋_GB2312"/>
          <w:sz w:val="32"/>
          <w:szCs w:val="32"/>
        </w:rPr>
      </w:pPr>
    </w:p>
    <w:p w:rsidR="009212D3" w:rsidRPr="00A40D6E" w:rsidRDefault="009212D3" w:rsidP="009212D3">
      <w:pPr>
        <w:spacing w:line="600" w:lineRule="exact"/>
        <w:rPr>
          <w:rFonts w:eastAsia="仿宋_GB2312"/>
          <w:sz w:val="32"/>
          <w:szCs w:val="32"/>
        </w:rPr>
      </w:pPr>
    </w:p>
    <w:p w:rsidR="009212D3" w:rsidRPr="00A40D6E" w:rsidRDefault="009212D3" w:rsidP="009212D3">
      <w:pPr>
        <w:spacing w:line="600" w:lineRule="exact"/>
        <w:rPr>
          <w:rFonts w:eastAsia="仿宋_GB2312"/>
          <w:sz w:val="32"/>
          <w:szCs w:val="32"/>
        </w:rPr>
      </w:pPr>
    </w:p>
    <w:p w:rsidR="009212D3" w:rsidRPr="00A40D6E" w:rsidRDefault="009212D3" w:rsidP="009212D3">
      <w:pPr>
        <w:spacing w:line="600" w:lineRule="exact"/>
        <w:rPr>
          <w:rFonts w:eastAsia="仿宋_GB2312"/>
          <w:sz w:val="32"/>
          <w:szCs w:val="32"/>
        </w:rPr>
      </w:pPr>
    </w:p>
    <w:p w:rsidR="009212D3" w:rsidRDefault="009212D3" w:rsidP="009212D3">
      <w:pPr>
        <w:rPr>
          <w:rFonts w:eastAsia="仿宋_GB2312"/>
          <w:sz w:val="32"/>
          <w:szCs w:val="32"/>
        </w:rPr>
      </w:pPr>
    </w:p>
    <w:p w:rsidR="009212D3" w:rsidRDefault="009212D3" w:rsidP="009212D3">
      <w:pPr>
        <w:rPr>
          <w:rFonts w:eastAsia="仿宋_GB2312"/>
          <w:sz w:val="32"/>
          <w:szCs w:val="32"/>
        </w:rPr>
      </w:pPr>
    </w:p>
    <w:p w:rsidR="009212D3" w:rsidRDefault="009212D3" w:rsidP="009212D3">
      <w:pPr>
        <w:rPr>
          <w:rFonts w:eastAsia="仿宋_GB2312"/>
          <w:sz w:val="32"/>
          <w:szCs w:val="32"/>
        </w:rPr>
      </w:pPr>
    </w:p>
    <w:p w:rsidR="009212D3" w:rsidRDefault="009212D3" w:rsidP="009212D3">
      <w:pPr>
        <w:rPr>
          <w:rFonts w:eastAsia="仿宋_GB2312"/>
          <w:sz w:val="32"/>
          <w:szCs w:val="32"/>
        </w:rPr>
      </w:pPr>
    </w:p>
    <w:p w:rsidR="009212D3" w:rsidRDefault="009212D3" w:rsidP="009212D3">
      <w:pPr>
        <w:snapToGrid w:val="0"/>
        <w:spacing w:line="560" w:lineRule="exact"/>
        <w:rPr>
          <w:rFonts w:eastAsia="仿宋_GB2312" w:hint="eastAsia"/>
          <w:sz w:val="32"/>
        </w:rPr>
      </w:pPr>
      <w:r>
        <w:rPr>
          <w:rFonts w:eastAsia="仿宋_GB2312"/>
          <w:sz w:val="32"/>
        </w:rPr>
        <w:lastRenderedPageBreak/>
        <w:t>附件</w:t>
      </w:r>
      <w:r>
        <w:rPr>
          <w:rFonts w:eastAsia="仿宋_GB2312"/>
          <w:sz w:val="32"/>
        </w:rPr>
        <w:t>2</w:t>
      </w:r>
      <w:r>
        <w:rPr>
          <w:rFonts w:eastAsia="仿宋_GB2312" w:hint="eastAsia"/>
          <w:sz w:val="32"/>
        </w:rPr>
        <w:t>：</w:t>
      </w:r>
    </w:p>
    <w:p w:rsidR="009212D3" w:rsidRDefault="009212D3" w:rsidP="009212D3">
      <w:pPr>
        <w:snapToGrid w:val="0"/>
        <w:spacing w:line="600" w:lineRule="exact"/>
        <w:jc w:val="center"/>
        <w:rPr>
          <w:rFonts w:ascii="方正小标宋_GBK" w:eastAsia="方正小标宋_GBK" w:hint="eastAsia"/>
          <w:sz w:val="44"/>
          <w:szCs w:val="44"/>
        </w:rPr>
      </w:pPr>
      <w:r>
        <w:rPr>
          <w:rFonts w:ascii="方正小标宋_GBK" w:eastAsia="方正小标宋_GBK" w:hAnsi="黑体" w:hint="eastAsia"/>
          <w:sz w:val="44"/>
          <w:szCs w:val="44"/>
        </w:rPr>
        <w:t>惠州市社会基本医疗保险</w:t>
      </w:r>
    </w:p>
    <w:p w:rsidR="009212D3" w:rsidRDefault="009212D3" w:rsidP="009212D3">
      <w:pPr>
        <w:snapToGrid w:val="0"/>
        <w:spacing w:line="600" w:lineRule="exact"/>
        <w:jc w:val="center"/>
        <w:rPr>
          <w:rFonts w:ascii="方正小标宋_GBK" w:eastAsia="方正小标宋_GBK" w:hint="eastAsia"/>
          <w:sz w:val="44"/>
          <w:szCs w:val="44"/>
        </w:rPr>
      </w:pPr>
      <w:r>
        <w:rPr>
          <w:rFonts w:ascii="方正小标宋_GBK" w:eastAsia="方正小标宋_GBK" w:hAnsi="黑体" w:hint="eastAsia"/>
          <w:sz w:val="44"/>
          <w:szCs w:val="44"/>
        </w:rPr>
        <w:t>指定定点药店</w:t>
      </w:r>
      <w:r>
        <w:rPr>
          <w:rFonts w:ascii="方正小标宋_GBK" w:eastAsia="方正小标宋_GBK" w:hint="eastAsia"/>
          <w:sz w:val="44"/>
          <w:szCs w:val="44"/>
        </w:rPr>
        <w:t>“</w:t>
      </w:r>
      <w:r>
        <w:rPr>
          <w:rFonts w:ascii="方正小标宋_GBK" w:eastAsia="方正小标宋_GBK" w:hAnsi="黑体" w:hint="eastAsia"/>
          <w:sz w:val="44"/>
          <w:szCs w:val="44"/>
        </w:rPr>
        <w:t>外购谈判药</w:t>
      </w:r>
      <w:r>
        <w:rPr>
          <w:rFonts w:ascii="方正小标宋_GBK" w:eastAsia="方正小标宋_GBK" w:hint="eastAsia"/>
          <w:sz w:val="44"/>
          <w:szCs w:val="44"/>
        </w:rPr>
        <w:t>”</w:t>
      </w:r>
      <w:r>
        <w:rPr>
          <w:rFonts w:ascii="方正小标宋_GBK" w:eastAsia="方正小标宋_GBK" w:hAnsi="黑体" w:hint="eastAsia"/>
          <w:sz w:val="44"/>
          <w:szCs w:val="44"/>
        </w:rPr>
        <w:t>目录</w:t>
      </w:r>
    </w:p>
    <w:p w:rsidR="009212D3" w:rsidRDefault="009212D3" w:rsidP="009212D3">
      <w:pPr>
        <w:snapToGrid w:val="0"/>
        <w:spacing w:line="560" w:lineRule="exact"/>
        <w:rPr>
          <w:rFonts w:eastAsia="仿宋_GB2312"/>
          <w:sz w:val="32"/>
        </w:rPr>
      </w:pPr>
    </w:p>
    <w:tbl>
      <w:tblPr>
        <w:tblW w:w="0" w:type="auto"/>
        <w:jc w:val="center"/>
        <w:tblLayout w:type="fixed"/>
        <w:tblLook w:val="0000" w:firstRow="0" w:lastRow="0" w:firstColumn="0" w:lastColumn="0" w:noHBand="0" w:noVBand="0"/>
      </w:tblPr>
      <w:tblGrid>
        <w:gridCol w:w="470"/>
        <w:gridCol w:w="1228"/>
        <w:gridCol w:w="945"/>
        <w:gridCol w:w="1701"/>
        <w:gridCol w:w="5210"/>
      </w:tblGrid>
      <w:tr w:rsidR="009212D3" w:rsidTr="00DC4591">
        <w:trPr>
          <w:trHeight w:val="102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编号</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药品名称</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剂型</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医保支付标准</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备注</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1</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曲妥珠单抗</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注射剂</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7600</w:t>
            </w:r>
            <w:r>
              <w:rPr>
                <w:rFonts w:hAnsi="宋体"/>
              </w:rPr>
              <w:t>元（</w:t>
            </w:r>
            <w:r>
              <w:t>440mg</w:t>
            </w:r>
            <w:r>
              <w:rPr>
                <w:rFonts w:hAnsi="宋体"/>
              </w:rPr>
              <w:t>（</w:t>
            </w:r>
            <w:r>
              <w:t>20ml</w:t>
            </w:r>
            <w:r>
              <w:rPr>
                <w:rFonts w:hAnsi="宋体"/>
              </w:rPr>
              <w:t>）</w:t>
            </w:r>
            <w:r>
              <w:t>/</w:t>
            </w:r>
            <w:r>
              <w:rPr>
                <w:rFonts w:hAnsi="宋体"/>
              </w:rPr>
              <w:t>瓶）</w:t>
            </w:r>
          </w:p>
        </w:tc>
        <w:tc>
          <w:tcPr>
            <w:tcW w:w="5210" w:type="dxa"/>
            <w:tcBorders>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限以下情况方可支付：</w:t>
            </w:r>
            <w:r>
              <w:t>1.HER2</w:t>
            </w:r>
            <w:r>
              <w:rPr>
                <w:rFonts w:hAnsi="宋体"/>
              </w:rPr>
              <w:t>阳性的乳腺癌手术后患者，支付不超过</w:t>
            </w:r>
            <w:r>
              <w:t>12</w:t>
            </w:r>
            <w:r>
              <w:rPr>
                <w:rFonts w:hAnsi="宋体"/>
              </w:rPr>
              <w:t>个月。</w:t>
            </w:r>
            <w:r>
              <w:t>2.HER2</w:t>
            </w:r>
            <w:r>
              <w:rPr>
                <w:rFonts w:hAnsi="宋体"/>
              </w:rPr>
              <w:t>阳性的转移性乳腺癌。</w:t>
            </w:r>
            <w:r>
              <w:t>3.HER2</w:t>
            </w:r>
            <w:r>
              <w:rPr>
                <w:rFonts w:hAnsi="宋体"/>
              </w:rPr>
              <w:t>阳性的晚期转移性胃癌。</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2</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贝伐珠单抗</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注射剂</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1998</w:t>
            </w:r>
            <w:r>
              <w:rPr>
                <w:rFonts w:hAnsi="宋体"/>
              </w:rPr>
              <w:t>元（</w:t>
            </w:r>
            <w:r>
              <w:t>100mg</w:t>
            </w:r>
            <w:r>
              <w:rPr>
                <w:rFonts w:hAnsi="宋体"/>
              </w:rPr>
              <w:t>（</w:t>
            </w:r>
            <w:r>
              <w:t>4ml</w:t>
            </w:r>
            <w:r>
              <w:rPr>
                <w:rFonts w:hAnsi="宋体"/>
              </w:rPr>
              <w:t>）</w:t>
            </w:r>
            <w:r>
              <w:t>/</w:t>
            </w:r>
            <w:r>
              <w:rPr>
                <w:rFonts w:hAnsi="宋体"/>
              </w:rPr>
              <w:t>瓶）</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限晚期转移性结直肠癌或晚期非鳞非小细胞肺癌。</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3</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尼妥珠单抗</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注射剂</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1700</w:t>
            </w:r>
            <w:r>
              <w:rPr>
                <w:rFonts w:hAnsi="宋体"/>
              </w:rPr>
              <w:t>元（</w:t>
            </w:r>
            <w:r>
              <w:t>10ml</w:t>
            </w:r>
            <w:r>
              <w:rPr>
                <w:rFonts w:hAnsi="宋体"/>
              </w:rPr>
              <w:t>：</w:t>
            </w:r>
            <w:r>
              <w:t>50mg/</w:t>
            </w:r>
            <w:r>
              <w:rPr>
                <w:rFonts w:hAnsi="宋体"/>
              </w:rPr>
              <w:t>瓶）</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限与放疗联合治疗表皮生长因子受体</w:t>
            </w:r>
            <w:r>
              <w:t>(EGFR)</w:t>
            </w:r>
            <w:r>
              <w:rPr>
                <w:rFonts w:hAnsi="宋体"/>
              </w:rPr>
              <w:t>表达阳性的</w:t>
            </w:r>
            <w:r>
              <w:rPr>
                <w:rFonts w:ascii="宋体" w:hAnsi="宋体"/>
              </w:rPr>
              <w:t>Ⅲ</w:t>
            </w:r>
            <w:r>
              <w:t>/</w:t>
            </w:r>
            <w:r>
              <w:rPr>
                <w:rFonts w:ascii="宋体" w:hAnsi="宋体"/>
              </w:rPr>
              <w:t>Ⅳ</w:t>
            </w:r>
            <w:r>
              <w:rPr>
                <w:rFonts w:hAnsi="宋体"/>
              </w:rPr>
              <w:t>期鼻咽癌。</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4</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利妥昔单抗</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注射剂</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2418</w:t>
            </w:r>
            <w:r>
              <w:rPr>
                <w:rFonts w:hAnsi="宋体"/>
              </w:rPr>
              <w:t>元（</w:t>
            </w:r>
            <w:r>
              <w:t>100mg/10ml/</w:t>
            </w:r>
            <w:r>
              <w:rPr>
                <w:rFonts w:hAnsi="宋体"/>
              </w:rPr>
              <w:t>瓶）</w:t>
            </w:r>
            <w:r>
              <w:t>8289.87</w:t>
            </w:r>
            <w:r>
              <w:rPr>
                <w:rFonts w:hAnsi="宋体"/>
              </w:rPr>
              <w:t>元（</w:t>
            </w:r>
            <w:r>
              <w:t>500mg/50ml/</w:t>
            </w:r>
            <w:r>
              <w:rPr>
                <w:rFonts w:hAnsi="宋体"/>
              </w:rPr>
              <w:t>瓶）</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限复发或耐药的滤泡性中央型淋巴瘤（国际工作分类</w:t>
            </w:r>
            <w:r>
              <w:t>B</w:t>
            </w:r>
            <w:r>
              <w:rPr>
                <w:rFonts w:hAnsi="宋体"/>
              </w:rPr>
              <w:t>、</w:t>
            </w:r>
            <w:r>
              <w:t>C</w:t>
            </w:r>
            <w:r>
              <w:rPr>
                <w:rFonts w:hAnsi="宋体"/>
              </w:rPr>
              <w:t>和</w:t>
            </w:r>
            <w:r>
              <w:t>D</w:t>
            </w:r>
            <w:r>
              <w:rPr>
                <w:rFonts w:hAnsi="宋体"/>
              </w:rPr>
              <w:t>亚型的</w:t>
            </w:r>
            <w:r>
              <w:t>B</w:t>
            </w:r>
            <w:r>
              <w:rPr>
                <w:rFonts w:hAnsi="宋体"/>
              </w:rPr>
              <w:t>细胞非霍奇金淋巴瘤），</w:t>
            </w:r>
            <w:r>
              <w:t>CD20</w:t>
            </w:r>
            <w:r>
              <w:rPr>
                <w:rFonts w:hAnsi="宋体"/>
              </w:rPr>
              <w:t>阳性</w:t>
            </w:r>
            <w:r>
              <w:rPr>
                <w:rFonts w:ascii="宋体" w:hAnsi="宋体"/>
              </w:rPr>
              <w:t>Ⅲ</w:t>
            </w:r>
            <w:r>
              <w:t>-</w:t>
            </w:r>
            <w:r>
              <w:rPr>
                <w:rFonts w:ascii="宋体" w:hAnsi="宋体"/>
              </w:rPr>
              <w:t>Ⅳ</w:t>
            </w:r>
            <w:r>
              <w:rPr>
                <w:rFonts w:hAnsi="宋体"/>
              </w:rPr>
              <w:t>期滤泡性非霍奇金淋巴瘤，</w:t>
            </w:r>
            <w:r>
              <w:t>CD20</w:t>
            </w:r>
            <w:r>
              <w:rPr>
                <w:rFonts w:hAnsi="宋体"/>
              </w:rPr>
              <w:t>阳性弥漫大</w:t>
            </w:r>
            <w:r>
              <w:t>B</w:t>
            </w:r>
            <w:r>
              <w:rPr>
                <w:rFonts w:hAnsi="宋体"/>
              </w:rPr>
              <w:t>细胞性非霍奇金淋巴瘤；最多支付</w:t>
            </w:r>
            <w:r>
              <w:t>8</w:t>
            </w:r>
            <w:r>
              <w:rPr>
                <w:rFonts w:hAnsi="宋体"/>
              </w:rPr>
              <w:t>个疗程。</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5</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厄洛替尼</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口服常释剂型</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195</w:t>
            </w:r>
            <w:r>
              <w:rPr>
                <w:rFonts w:hAnsi="宋体"/>
              </w:rPr>
              <w:t>元（</w:t>
            </w:r>
            <w:r>
              <w:t>150mg/</w:t>
            </w:r>
            <w:r>
              <w:rPr>
                <w:rFonts w:hAnsi="宋体"/>
              </w:rPr>
              <w:t>片）</w:t>
            </w:r>
            <w:r>
              <w:t>142.97</w:t>
            </w:r>
            <w:r>
              <w:rPr>
                <w:rFonts w:hAnsi="宋体"/>
              </w:rPr>
              <w:t>元（</w:t>
            </w:r>
            <w:r>
              <w:t>100mg/</w:t>
            </w:r>
            <w:r>
              <w:rPr>
                <w:rFonts w:hAnsi="宋体"/>
              </w:rPr>
              <w:t>片）</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w:t>
            </w:r>
            <w:r>
              <w:t>EGFR</w:t>
            </w:r>
            <w:r>
              <w:rPr>
                <w:rFonts w:hAnsi="宋体"/>
              </w:rPr>
              <w:t>基因敏感突变的晚期非小细胞肺癌。</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6</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索拉非尼</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口服常释剂型</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203</w:t>
            </w:r>
            <w:r>
              <w:rPr>
                <w:rFonts w:hAnsi="宋体"/>
              </w:rPr>
              <w:t>元（</w:t>
            </w:r>
            <w:smartTag w:uri="urn:schemas-microsoft-com:office:smarttags" w:element="chmetcnv">
              <w:smartTagPr>
                <w:attr w:name="TCSC" w:val="0"/>
                <w:attr w:name="NumberType" w:val="1"/>
                <w:attr w:name="Negative" w:val="False"/>
                <w:attr w:name="HasSpace" w:val="False"/>
                <w:attr w:name="SourceValue" w:val="0.2"/>
                <w:attr w:name="UnitName" w:val="g"/>
              </w:smartTagPr>
              <w:r>
                <w:t>0.2g</w:t>
              </w:r>
            </w:smartTag>
            <w:r>
              <w:t>/</w:t>
            </w:r>
            <w:r>
              <w:rPr>
                <w:rFonts w:hAnsi="宋体"/>
              </w:rPr>
              <w:t>片）</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限以下情况方可支付：</w:t>
            </w:r>
            <w:r>
              <w:t>1.</w:t>
            </w:r>
            <w:r>
              <w:rPr>
                <w:rFonts w:hAnsi="宋体"/>
              </w:rPr>
              <w:t>不能手术的肾细胞癌。</w:t>
            </w:r>
            <w:r>
              <w:t>2.</w:t>
            </w:r>
            <w:r>
              <w:rPr>
                <w:rFonts w:hAnsi="宋体"/>
              </w:rPr>
              <w:t>不能手术或远处转移的肝细胞癌。</w:t>
            </w:r>
            <w:r>
              <w:t>3.</w:t>
            </w:r>
            <w:r>
              <w:rPr>
                <w:rFonts w:hAnsi="宋体"/>
              </w:rPr>
              <w:t>放射性碘治疗无效的局部复发或转移性、分化型甲状腺癌。</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7</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拉帕替尼</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口服常释剂型</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70</w:t>
            </w:r>
            <w:r>
              <w:rPr>
                <w:rFonts w:hAnsi="宋体"/>
              </w:rPr>
              <w:t>元（</w:t>
            </w:r>
            <w:r>
              <w:t>250mg/</w:t>
            </w:r>
            <w:r>
              <w:rPr>
                <w:rFonts w:hAnsi="宋体"/>
              </w:rPr>
              <w:t>片）</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w:t>
            </w:r>
            <w:r>
              <w:t>HER2</w:t>
            </w:r>
            <w:r>
              <w:rPr>
                <w:rFonts w:hAnsi="宋体"/>
              </w:rPr>
              <w:t>过表达且既往接受过包括蒽环类、紫杉醇、曲妥珠单抗治疗的晚期或转移性乳腺癌。</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lastRenderedPageBreak/>
              <w:t>8</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阿帕替尼</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口服常释剂型</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136</w:t>
            </w:r>
            <w:r>
              <w:rPr>
                <w:rFonts w:hAnsi="宋体"/>
              </w:rPr>
              <w:t>元（</w:t>
            </w:r>
            <w:r>
              <w:t>250mg/</w:t>
            </w:r>
            <w:r>
              <w:rPr>
                <w:rFonts w:hAnsi="宋体"/>
              </w:rPr>
              <w:t>片）</w:t>
            </w:r>
            <w:r>
              <w:t>185.5</w:t>
            </w:r>
            <w:r>
              <w:rPr>
                <w:rFonts w:hAnsi="宋体"/>
              </w:rPr>
              <w:t>元（</w:t>
            </w:r>
            <w:r>
              <w:t>375mg/</w:t>
            </w:r>
            <w:r>
              <w:rPr>
                <w:rFonts w:hAnsi="宋体"/>
              </w:rPr>
              <w:t>片）</w:t>
            </w:r>
            <w:r>
              <w:t>204.15</w:t>
            </w:r>
            <w:r>
              <w:rPr>
                <w:rFonts w:hAnsi="宋体"/>
              </w:rPr>
              <w:t>元（</w:t>
            </w:r>
            <w:r>
              <w:t>425mg/</w:t>
            </w:r>
            <w:r>
              <w:rPr>
                <w:rFonts w:hAnsi="宋体"/>
              </w:rPr>
              <w:t>片）</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限既往至少接受过</w:t>
            </w:r>
            <w:r>
              <w:t>2</w:t>
            </w:r>
            <w:r>
              <w:rPr>
                <w:rFonts w:hAnsi="宋体"/>
              </w:rPr>
              <w:t>种系统化疗后进展或复发的晚期胃腺癌或胃</w:t>
            </w:r>
            <w:r>
              <w:t>-</w:t>
            </w:r>
            <w:r>
              <w:rPr>
                <w:rFonts w:hAnsi="宋体"/>
              </w:rPr>
              <w:t>食管结合部腺癌患者。</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9</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硼替佐米</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注射剂</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6116</w:t>
            </w:r>
            <w:r>
              <w:rPr>
                <w:rFonts w:hAnsi="宋体"/>
              </w:rPr>
              <w:t>元（</w:t>
            </w:r>
            <w:r>
              <w:t>3.5mg/</w:t>
            </w:r>
            <w:r>
              <w:rPr>
                <w:rFonts w:hAnsi="宋体"/>
              </w:rPr>
              <w:t>瓶）</w:t>
            </w:r>
            <w:r>
              <w:t>2344.26</w:t>
            </w:r>
            <w:r>
              <w:rPr>
                <w:rFonts w:hAnsi="宋体"/>
              </w:rPr>
              <w:t>元（</w:t>
            </w:r>
            <w:r>
              <w:t>1mg/</w:t>
            </w:r>
            <w:r>
              <w:rPr>
                <w:rFonts w:hAnsi="宋体"/>
              </w:rPr>
              <w:t>瓶）</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限多发性骨髓瘤、复发或难治性套细胞淋巴瘤患者，并满足以下条件：</w:t>
            </w:r>
            <w:r>
              <w:t>1</w:t>
            </w:r>
            <w:r>
              <w:rPr>
                <w:rFonts w:hAnsi="宋体"/>
              </w:rPr>
              <w:t>、每</w:t>
            </w:r>
            <w:r>
              <w:t>2</w:t>
            </w:r>
            <w:r>
              <w:rPr>
                <w:rFonts w:hAnsi="宋体"/>
              </w:rPr>
              <w:t>个疗程需提供治疗有效的证据后方可继续支付；</w:t>
            </w:r>
            <w:r>
              <w:t>2</w:t>
            </w:r>
            <w:r>
              <w:rPr>
                <w:rFonts w:hAnsi="宋体"/>
              </w:rPr>
              <w:t>、由三级医院血液专科或血液专科医院医师处方；</w:t>
            </w:r>
            <w:r>
              <w:t>3</w:t>
            </w:r>
            <w:r>
              <w:rPr>
                <w:rFonts w:hAnsi="宋体"/>
              </w:rPr>
              <w:t>、与来那度胺联合使用不予支付。</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10</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重组人血管内皮抑制素</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注射剂</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630</w:t>
            </w:r>
            <w:r>
              <w:rPr>
                <w:rFonts w:hAnsi="宋体"/>
              </w:rPr>
              <w:t>元（</w:t>
            </w:r>
            <w:r>
              <w:t>15mg/2.4×10^5 U/3ml/</w:t>
            </w:r>
            <w:r>
              <w:rPr>
                <w:rFonts w:hAnsi="宋体"/>
              </w:rPr>
              <w:t>支）</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限晚期非小细胞肺癌患者。</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11</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西达本胺</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口服常释剂型</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385</w:t>
            </w:r>
            <w:r>
              <w:rPr>
                <w:rFonts w:hAnsi="宋体"/>
              </w:rPr>
              <w:t>元（</w:t>
            </w:r>
            <w:r>
              <w:t>5mg/</w:t>
            </w:r>
            <w:r>
              <w:rPr>
                <w:rFonts w:hAnsi="宋体"/>
              </w:rPr>
              <w:t>片）</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限既往至少接受过一次全身化疗的复发或难治的外周</w:t>
            </w:r>
            <w:r>
              <w:t>T</w:t>
            </w:r>
            <w:r>
              <w:rPr>
                <w:rFonts w:hAnsi="宋体"/>
              </w:rPr>
              <w:t>细胞淋巴瘤（</w:t>
            </w:r>
            <w:r>
              <w:t>PTCL</w:t>
            </w:r>
            <w:r>
              <w:rPr>
                <w:rFonts w:hAnsi="宋体"/>
              </w:rPr>
              <w:t>）患者。</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12</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阿比特龙</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口服常释剂型</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144.92</w:t>
            </w:r>
            <w:r>
              <w:rPr>
                <w:rFonts w:hAnsi="宋体"/>
              </w:rPr>
              <w:t>元（</w:t>
            </w:r>
            <w:r>
              <w:t>250mg/</w:t>
            </w:r>
            <w:r>
              <w:rPr>
                <w:rFonts w:hAnsi="宋体"/>
              </w:rPr>
              <w:t>片）</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限转移性去势抵抗性前列腺癌。</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13</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氟维司群</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注射剂</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2400</w:t>
            </w:r>
            <w:r>
              <w:rPr>
                <w:rFonts w:hAnsi="宋体"/>
              </w:rPr>
              <w:t>元（</w:t>
            </w:r>
            <w:r>
              <w:t>5ml</w:t>
            </w:r>
            <w:r>
              <w:rPr>
                <w:rFonts w:hAnsi="宋体"/>
              </w:rPr>
              <w:t>：</w:t>
            </w:r>
            <w:smartTag w:uri="urn:schemas-microsoft-com:office:smarttags" w:element="chmetcnv">
              <w:smartTagPr>
                <w:attr w:name="TCSC" w:val="0"/>
                <w:attr w:name="NumberType" w:val="1"/>
                <w:attr w:name="Negative" w:val="False"/>
                <w:attr w:name="HasSpace" w:val="False"/>
                <w:attr w:name="SourceValue" w:val="0.25"/>
                <w:attr w:name="UnitName" w:val="g"/>
              </w:smartTagPr>
              <w:r>
                <w:t>0.25g</w:t>
              </w:r>
            </w:smartTag>
            <w:r>
              <w:t>/</w:t>
            </w:r>
            <w:r>
              <w:rPr>
                <w:rFonts w:hAnsi="宋体"/>
              </w:rPr>
              <w:t>支）</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限芳香化酶抑制剂治疗失败后的晚期、激素受体（</w:t>
            </w:r>
            <w:r>
              <w:t>ER/PR</w:t>
            </w:r>
            <w:r>
              <w:rPr>
                <w:rFonts w:hAnsi="宋体"/>
              </w:rPr>
              <w:t>）阳性乳腺癌治疗。</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14</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依维莫司</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口服常释剂型</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148</w:t>
            </w:r>
            <w:r>
              <w:rPr>
                <w:rFonts w:hAnsi="宋体"/>
              </w:rPr>
              <w:t>元（</w:t>
            </w:r>
            <w:r>
              <w:t>5mg/</w:t>
            </w:r>
            <w:r>
              <w:rPr>
                <w:rFonts w:hAnsi="宋体"/>
              </w:rPr>
              <w:t>片）</w:t>
            </w:r>
            <w:r>
              <w:t>87.05</w:t>
            </w:r>
            <w:r>
              <w:rPr>
                <w:rFonts w:hAnsi="宋体"/>
              </w:rPr>
              <w:t>元（</w:t>
            </w:r>
            <w:r>
              <w:t>2.5mg/</w:t>
            </w:r>
            <w:r>
              <w:rPr>
                <w:rFonts w:hAnsi="宋体"/>
              </w:rPr>
              <w:t>片）</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限以下情况方可支付：</w:t>
            </w:r>
            <w:r>
              <w:t>1.</w:t>
            </w:r>
            <w:r>
              <w:rPr>
                <w:rFonts w:hAnsi="宋体"/>
              </w:rPr>
              <w:t>接受舒尼替尼或索拉非尼治疗失败的晚期肾细胞癌成人患者。</w:t>
            </w:r>
            <w:r>
              <w:t>2.</w:t>
            </w:r>
            <w:r>
              <w:rPr>
                <w:rFonts w:hAnsi="宋体"/>
              </w:rPr>
              <w:t>不可切除的、局部晚期或转移性的、分化良好的（中度分化或高度分化）进展期胰腺神经内分泌瘤成人患者。</w:t>
            </w:r>
            <w:r>
              <w:t>3.</w:t>
            </w:r>
            <w:r>
              <w:rPr>
                <w:rFonts w:hAnsi="宋体"/>
              </w:rPr>
              <w:t>不需立即手术治疗的结节性硬化症相关的肾血管平滑肌脂肪瘤（</w:t>
            </w:r>
            <w:r>
              <w:t>TSC-AML)</w:t>
            </w:r>
            <w:r>
              <w:rPr>
                <w:rFonts w:hAnsi="宋体"/>
              </w:rPr>
              <w:t>成人患者。</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15</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来那度胺</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口服常释剂型</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t>866</w:t>
            </w:r>
            <w:r>
              <w:rPr>
                <w:rFonts w:hAnsi="宋体"/>
              </w:rPr>
              <w:t>元（</w:t>
            </w:r>
            <w:r>
              <w:t>10mg/</w:t>
            </w:r>
            <w:r>
              <w:rPr>
                <w:rFonts w:hAnsi="宋体"/>
              </w:rPr>
              <w:t>片）</w:t>
            </w:r>
            <w:r>
              <w:t>1101.99</w:t>
            </w:r>
            <w:r>
              <w:rPr>
                <w:rFonts w:hAnsi="宋体"/>
              </w:rPr>
              <w:t>元（</w:t>
            </w:r>
            <w:r>
              <w:t>25mg/</w:t>
            </w:r>
            <w:r>
              <w:rPr>
                <w:rFonts w:hAnsi="宋体"/>
              </w:rPr>
              <w:t>片）</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限曾接受过至少一种疗法的多发性骨髓瘤的成年患者，并满足以下条件：</w:t>
            </w:r>
            <w:r>
              <w:t>1</w:t>
            </w:r>
            <w:r>
              <w:rPr>
                <w:rFonts w:hAnsi="宋体"/>
              </w:rPr>
              <w:t>、每</w:t>
            </w:r>
            <w:r>
              <w:t>2</w:t>
            </w:r>
            <w:r>
              <w:rPr>
                <w:rFonts w:hAnsi="宋体"/>
              </w:rPr>
              <w:t>个疗程需提供治疗有效的证据后方可继续支付；</w:t>
            </w:r>
            <w:r>
              <w:t>2</w:t>
            </w:r>
            <w:r>
              <w:rPr>
                <w:rFonts w:hAnsi="宋体"/>
              </w:rPr>
              <w:t>、由三级医院血液专科或血液专科医院医师处方；</w:t>
            </w:r>
            <w:r>
              <w:t>3</w:t>
            </w:r>
            <w:r>
              <w:rPr>
                <w:rFonts w:hAnsi="宋体"/>
              </w:rPr>
              <w:t>、与硼替佐米联合使用不予支付。</w:t>
            </w:r>
          </w:p>
        </w:tc>
      </w:tr>
      <w:tr w:rsidR="009212D3" w:rsidTr="00DC4591">
        <w:trPr>
          <w:trHeight w:val="1200"/>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rPr>
                <w:szCs w:val="22"/>
              </w:rPr>
            </w:pPr>
            <w:r>
              <w:rPr>
                <w:szCs w:val="22"/>
              </w:rPr>
              <w:t>16</w:t>
            </w:r>
          </w:p>
        </w:tc>
        <w:tc>
          <w:tcPr>
            <w:tcW w:w="1228"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rPr>
                <w:szCs w:val="22"/>
              </w:rPr>
            </w:pPr>
            <w:r>
              <w:t>复方黄黛片</w:t>
            </w:r>
          </w:p>
        </w:tc>
        <w:tc>
          <w:tcPr>
            <w:tcW w:w="945"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rPr>
                <w:szCs w:val="22"/>
              </w:rPr>
            </w:pPr>
            <w:r>
              <w:rPr>
                <w:rFonts w:hAnsi="宋体"/>
                <w:szCs w:val="22"/>
              </w:rPr>
              <w:t>中成药</w:t>
            </w:r>
          </w:p>
        </w:tc>
        <w:tc>
          <w:tcPr>
            <w:tcW w:w="1701"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widowControl/>
              <w:jc w:val="left"/>
              <w:textAlignment w:val="center"/>
              <w:rPr>
                <w:szCs w:val="22"/>
              </w:rPr>
            </w:pPr>
            <w:r>
              <w:rPr>
                <w:color w:val="000000"/>
                <w:kern w:val="0"/>
                <w:sz w:val="20"/>
                <w:lang w:bidi="ar"/>
              </w:rPr>
              <w:t>10.5</w:t>
            </w:r>
            <w:r>
              <w:rPr>
                <w:rFonts w:hAnsi="宋体"/>
                <w:color w:val="000000"/>
                <w:kern w:val="0"/>
                <w:sz w:val="20"/>
                <w:lang w:bidi="ar"/>
              </w:rPr>
              <w:t>元（</w:t>
            </w:r>
            <w:smartTag w:uri="urn:schemas-microsoft-com:office:smarttags" w:element="chmetcnv">
              <w:smartTagPr>
                <w:attr w:name="TCSC" w:val="0"/>
                <w:attr w:name="NumberType" w:val="1"/>
                <w:attr w:name="Negative" w:val="False"/>
                <w:attr w:name="HasSpace" w:val="False"/>
                <w:attr w:name="SourceValue" w:val="0.27"/>
                <w:attr w:name="UnitName" w:val="g"/>
              </w:smartTagPr>
              <w:r>
                <w:rPr>
                  <w:color w:val="000000"/>
                  <w:kern w:val="0"/>
                  <w:sz w:val="20"/>
                  <w:lang w:bidi="ar"/>
                </w:rPr>
                <w:t>0.27g</w:t>
              </w:r>
            </w:smartTag>
            <w:r>
              <w:rPr>
                <w:color w:val="000000"/>
                <w:kern w:val="0"/>
                <w:sz w:val="20"/>
                <w:lang w:bidi="ar"/>
              </w:rPr>
              <w:t>/</w:t>
            </w:r>
            <w:r>
              <w:rPr>
                <w:rFonts w:hAnsi="宋体"/>
                <w:color w:val="000000"/>
                <w:kern w:val="0"/>
                <w:sz w:val="20"/>
                <w:lang w:bidi="ar"/>
              </w:rPr>
              <w:t>片）</w:t>
            </w:r>
          </w:p>
        </w:tc>
        <w:tc>
          <w:tcPr>
            <w:tcW w:w="521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widowControl/>
              <w:jc w:val="left"/>
              <w:textAlignment w:val="center"/>
              <w:rPr>
                <w:szCs w:val="22"/>
              </w:rPr>
            </w:pPr>
            <w:r>
              <w:rPr>
                <w:rFonts w:hAnsi="宋体"/>
                <w:color w:val="000000"/>
                <w:kern w:val="0"/>
                <w:sz w:val="20"/>
                <w:lang w:bidi="ar"/>
              </w:rPr>
              <w:t>限初治的急性早幼粒细胞白血病。</w:t>
            </w:r>
          </w:p>
        </w:tc>
      </w:tr>
      <w:tr w:rsidR="009212D3" w:rsidTr="00DC4591">
        <w:trPr>
          <w:trHeight w:val="1052"/>
          <w:jc w:val="center"/>
        </w:trPr>
        <w:tc>
          <w:tcPr>
            <w:tcW w:w="470" w:type="dxa"/>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center"/>
              <w:textAlignment w:val="center"/>
            </w:pPr>
            <w:r>
              <w:rPr>
                <w:rFonts w:hAnsi="宋体"/>
              </w:rPr>
              <w:t>说明</w:t>
            </w:r>
          </w:p>
        </w:tc>
        <w:tc>
          <w:tcPr>
            <w:tcW w:w="9084" w:type="dxa"/>
            <w:gridSpan w:val="4"/>
            <w:tcBorders>
              <w:top w:val="single" w:sz="4" w:space="0" w:color="000000"/>
              <w:left w:val="single" w:sz="4" w:space="0" w:color="000000"/>
              <w:bottom w:val="single" w:sz="4" w:space="0" w:color="000000"/>
              <w:right w:val="single" w:sz="4" w:space="0" w:color="000000"/>
            </w:tcBorders>
            <w:vAlign w:val="center"/>
          </w:tcPr>
          <w:p w:rsidR="009212D3" w:rsidRDefault="009212D3" w:rsidP="00DC4591">
            <w:pPr>
              <w:autoSpaceDN w:val="0"/>
              <w:jc w:val="left"/>
              <w:textAlignment w:val="center"/>
            </w:pPr>
            <w:r>
              <w:rPr>
                <w:rFonts w:hAnsi="宋体"/>
              </w:rPr>
              <w:t>定点医疗机构和指定药店必须严格按照国家公布的最新支付标准或价格销售。</w:t>
            </w:r>
          </w:p>
        </w:tc>
      </w:tr>
    </w:tbl>
    <w:p w:rsidR="009212D3" w:rsidRDefault="009212D3" w:rsidP="009212D3">
      <w:pPr>
        <w:rPr>
          <w:rFonts w:eastAsia="仿宋_GB2312"/>
          <w:sz w:val="32"/>
          <w:szCs w:val="32"/>
        </w:rPr>
      </w:pPr>
    </w:p>
    <w:p w:rsidR="009212D3" w:rsidRPr="003D5B74" w:rsidRDefault="009212D3" w:rsidP="009212D3">
      <w:pPr>
        <w:spacing w:line="600" w:lineRule="exact"/>
        <w:ind w:left="960" w:hangingChars="300" w:hanging="960"/>
        <w:rPr>
          <w:rFonts w:eastAsia="仿宋_GB2312" w:hint="eastAsia"/>
          <w:sz w:val="32"/>
          <w:szCs w:val="32"/>
        </w:rPr>
      </w:pPr>
    </w:p>
    <w:p w:rsidR="00EA420D" w:rsidRPr="009212D3" w:rsidRDefault="00EA420D">
      <w:bookmarkStart w:id="0" w:name="_GoBack"/>
      <w:bookmarkEnd w:id="0"/>
    </w:p>
    <w:sectPr w:rsidR="00EA420D" w:rsidRPr="009212D3" w:rsidSect="00666FD6">
      <w:footerReference w:type="even" r:id="rId5"/>
      <w:footerReference w:type="default" r:id="rId6"/>
      <w:pgSz w:w="11906" w:h="16838"/>
      <w:pgMar w:top="2041" w:right="1588" w:bottom="1474" w:left="1588" w:header="851" w:footer="992" w:gutter="0"/>
      <w:pgNumType w:fmt="numberInDash"/>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4C" w:rsidRDefault="009212D3" w:rsidP="00666FD6">
    <w:pPr>
      <w:pStyle w:val="a4"/>
      <w:framePr w:wrap="around" w:vAnchor="text" w:hAnchor="margin" w:xAlign="outside" w:y="1"/>
      <w:rPr>
        <w:rStyle w:val="a3"/>
      </w:rPr>
    </w:pPr>
    <w:r>
      <w:fldChar w:fldCharType="begin"/>
    </w:r>
    <w:r>
      <w:rPr>
        <w:rStyle w:val="a3"/>
      </w:rPr>
      <w:instrText xml:space="preserve">PAGE  </w:instrText>
    </w:r>
    <w:r>
      <w:fldChar w:fldCharType="separate"/>
    </w:r>
    <w:r>
      <w:fldChar w:fldCharType="end"/>
    </w:r>
  </w:p>
  <w:p w:rsidR="000A0E4C" w:rsidRDefault="009212D3" w:rsidP="00666FD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4C" w:rsidRPr="00666FD6" w:rsidRDefault="009212D3" w:rsidP="00666FD6">
    <w:pPr>
      <w:pStyle w:val="a4"/>
      <w:framePr w:wrap="around" w:vAnchor="text" w:hAnchor="margin" w:xAlign="outside" w:y="1"/>
      <w:pBdr>
        <w:between w:val="none" w:sz="50" w:space="0" w:color="auto"/>
      </w:pBdr>
      <w:rPr>
        <w:rFonts w:ascii="仿宋_GB2312" w:eastAsia="仿宋_GB2312" w:hint="eastAsia"/>
        <w:sz w:val="24"/>
        <w:szCs w:val="24"/>
      </w:rPr>
    </w:pPr>
    <w:r w:rsidRPr="00666FD6">
      <w:rPr>
        <w:rFonts w:ascii="仿宋_GB2312" w:eastAsia="仿宋_GB2312" w:hint="eastAsia"/>
        <w:sz w:val="24"/>
        <w:szCs w:val="24"/>
      </w:rPr>
      <w:fldChar w:fldCharType="begin"/>
    </w:r>
    <w:r w:rsidRPr="00666FD6">
      <w:rPr>
        <w:rStyle w:val="a3"/>
        <w:rFonts w:ascii="仿宋_GB2312" w:eastAsia="仿宋_GB2312" w:hint="eastAsia"/>
        <w:sz w:val="24"/>
        <w:szCs w:val="24"/>
      </w:rPr>
      <w:instrText xml:space="preserve"> PAG</w:instrText>
    </w:r>
    <w:r w:rsidRPr="00666FD6">
      <w:rPr>
        <w:rStyle w:val="a3"/>
        <w:rFonts w:ascii="仿宋_GB2312" w:eastAsia="仿宋_GB2312" w:hint="eastAsia"/>
        <w:sz w:val="24"/>
        <w:szCs w:val="24"/>
      </w:rPr>
      <w:instrText xml:space="preserve">E  </w:instrText>
    </w:r>
    <w:r w:rsidRPr="00666FD6">
      <w:rPr>
        <w:rFonts w:ascii="仿宋_GB2312" w:eastAsia="仿宋_GB2312" w:hint="eastAsia"/>
        <w:sz w:val="24"/>
        <w:szCs w:val="24"/>
      </w:rPr>
      <w:fldChar w:fldCharType="separate"/>
    </w:r>
    <w:r>
      <w:rPr>
        <w:rStyle w:val="a3"/>
        <w:rFonts w:ascii="仿宋_GB2312" w:eastAsia="仿宋_GB2312"/>
        <w:noProof/>
        <w:sz w:val="24"/>
        <w:szCs w:val="24"/>
      </w:rPr>
      <w:t>- 3 -</w:t>
    </w:r>
    <w:r w:rsidRPr="00666FD6">
      <w:rPr>
        <w:rFonts w:ascii="仿宋_GB2312" w:eastAsia="仿宋_GB2312" w:hint="eastAsia"/>
        <w:sz w:val="24"/>
        <w:szCs w:val="24"/>
      </w:rPr>
      <w:fldChar w:fldCharType="end"/>
    </w:r>
  </w:p>
  <w:p w:rsidR="000A0E4C" w:rsidRDefault="009212D3" w:rsidP="00666FD6">
    <w:pPr>
      <w:pStyle w:val="a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2D3"/>
    <w:rsid w:val="009212D3"/>
    <w:rsid w:val="00EA4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2D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212D3"/>
  </w:style>
  <w:style w:type="paragraph" w:styleId="a4">
    <w:name w:val="footer"/>
    <w:basedOn w:val="a"/>
    <w:link w:val="Char"/>
    <w:rsid w:val="009212D3"/>
    <w:pPr>
      <w:tabs>
        <w:tab w:val="center" w:pos="4153"/>
        <w:tab w:val="right" w:pos="8306"/>
      </w:tabs>
      <w:snapToGrid w:val="0"/>
      <w:jc w:val="left"/>
    </w:pPr>
    <w:rPr>
      <w:sz w:val="18"/>
    </w:rPr>
  </w:style>
  <w:style w:type="character" w:customStyle="1" w:styleId="Char">
    <w:name w:val="页脚 Char"/>
    <w:basedOn w:val="a0"/>
    <w:link w:val="a4"/>
    <w:rsid w:val="009212D3"/>
    <w:rPr>
      <w:rFonts w:ascii="Times New Roman" w:eastAsia="宋体" w:hAnsi="Times New Roman" w:cs="Times New Roman"/>
      <w:sz w:val="18"/>
      <w:szCs w:val="20"/>
    </w:rPr>
  </w:style>
  <w:style w:type="paragraph" w:customStyle="1" w:styleId="Char0">
    <w:name w:val="Char"/>
    <w:basedOn w:val="a"/>
    <w:rsid w:val="009212D3"/>
    <w:pPr>
      <w:widowControl/>
      <w:snapToGrid w:val="0"/>
      <w:spacing w:after="160" w:line="36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2D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212D3"/>
  </w:style>
  <w:style w:type="paragraph" w:styleId="a4">
    <w:name w:val="footer"/>
    <w:basedOn w:val="a"/>
    <w:link w:val="Char"/>
    <w:rsid w:val="009212D3"/>
    <w:pPr>
      <w:tabs>
        <w:tab w:val="center" w:pos="4153"/>
        <w:tab w:val="right" w:pos="8306"/>
      </w:tabs>
      <w:snapToGrid w:val="0"/>
      <w:jc w:val="left"/>
    </w:pPr>
    <w:rPr>
      <w:sz w:val="18"/>
    </w:rPr>
  </w:style>
  <w:style w:type="character" w:customStyle="1" w:styleId="Char">
    <w:name w:val="页脚 Char"/>
    <w:basedOn w:val="a0"/>
    <w:link w:val="a4"/>
    <w:rsid w:val="009212D3"/>
    <w:rPr>
      <w:rFonts w:ascii="Times New Roman" w:eastAsia="宋体" w:hAnsi="Times New Roman" w:cs="Times New Roman"/>
      <w:sz w:val="18"/>
      <w:szCs w:val="20"/>
    </w:rPr>
  </w:style>
  <w:style w:type="paragraph" w:customStyle="1" w:styleId="Char0">
    <w:name w:val="Char"/>
    <w:basedOn w:val="a"/>
    <w:rsid w:val="009212D3"/>
    <w:pPr>
      <w:widowControl/>
      <w:snapToGrid w:val="0"/>
      <w:spacing w:after="160" w:line="36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348</Words>
  <Characters>1990</Characters>
  <Application>Microsoft Office Word</Application>
  <DocSecurity>0</DocSecurity>
  <Lines>16</Lines>
  <Paragraphs>4</Paragraphs>
  <ScaleCrop>false</ScaleCrop>
  <Company>市府办</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黄家媛</dc:creator>
  <cp:lastModifiedBy>黄家媛</cp:lastModifiedBy>
  <cp:revision>1</cp:revision>
  <dcterms:created xsi:type="dcterms:W3CDTF">2018-11-09T02:27:00Z</dcterms:created>
  <dcterms:modified xsi:type="dcterms:W3CDTF">2018-11-09T02:28:00Z</dcterms:modified>
</cp:coreProperties>
</file>