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0" w:lineRule="exact"/>
        <w:rPr>
          <w:rFonts w:hint="default" w:ascii="Times New Roman" w:hAnsi="Times New Roman" w:cs="Times New Roman"/>
          <w:color w:val="auto"/>
          <w:highlight w:val="none"/>
          <w:lang w:val="en-US"/>
        </w:rPr>
      </w:pPr>
      <w:r>
        <w:rPr>
          <w:rFonts w:hint="default" w:ascii="Times New Roman" w:hAnsi="Times New Roman" w:eastAsia="黑体" w:cs="Times New Roman"/>
          <w:color w:val="auto"/>
          <w:highlight w:val="none"/>
        </w:rPr>
        <w:t>附件</w:t>
      </w:r>
      <w:r>
        <w:rPr>
          <w:rFonts w:hint="default" w:ascii="Times New Roman" w:hAnsi="Times New Roman" w:eastAsia="黑体" w:cs="Times New Roman"/>
          <w:color w:val="auto"/>
          <w:highlight w:val="none"/>
          <w:lang w:val="en-US" w:eastAsia="zh-CN"/>
        </w:rPr>
        <w:t>4</w:t>
      </w:r>
    </w:p>
    <w:p>
      <w:pPr>
        <w:keepNext w:val="0"/>
        <w:keepLines w:val="0"/>
        <w:pageBreakBefore w:val="0"/>
        <w:widowControl/>
        <w:shd w:val="clear" w:color="auto" w:fill="FFFFFF"/>
        <w:kinsoku/>
        <w:wordWrap/>
        <w:overflowPunct/>
        <w:topLinePunct w:val="0"/>
        <w:autoSpaceDE/>
        <w:autoSpaceDN/>
        <w:bidi w:val="0"/>
        <w:adjustRightInd/>
        <w:snapToGrid w:val="0"/>
        <w:spacing w:line="660" w:lineRule="exact"/>
        <w:jc w:val="center"/>
        <w:textAlignment w:val="auto"/>
        <w:rPr>
          <w:rFonts w:hint="default" w:ascii="Times New Roman" w:hAnsi="Times New Roman" w:eastAsia="方正小标宋简体" w:cs="Times New Roman"/>
          <w:sz w:val="44"/>
          <w:szCs w:val="44"/>
          <w:highlight w:val="none"/>
        </w:rPr>
      </w:pPr>
      <w:r>
        <w:rPr>
          <w:rFonts w:hint="default" w:ascii="Times New Roman" w:hAnsi="Times New Roman" w:eastAsia="方正小标宋简体" w:cs="Times New Roman"/>
          <w:sz w:val="44"/>
          <w:szCs w:val="44"/>
          <w:highlight w:val="none"/>
        </w:rPr>
        <w:t>关于部分检验项目的说明</w:t>
      </w:r>
    </w:p>
    <w:p>
      <w:pPr>
        <w:keepNext w:val="0"/>
        <w:keepLines w:val="0"/>
        <w:pageBreakBefore w:val="0"/>
        <w:widowControl/>
        <w:shd w:val="clear" w:color="auto" w:fill="FFFFFF"/>
        <w:kinsoku/>
        <w:wordWrap/>
        <w:overflowPunct/>
        <w:topLinePunct w:val="0"/>
        <w:autoSpaceDE/>
        <w:autoSpaceDN/>
        <w:bidi w:val="0"/>
        <w:adjustRightInd/>
        <w:snapToGrid w:val="0"/>
        <w:spacing w:line="560" w:lineRule="exact"/>
        <w:textAlignment w:val="auto"/>
        <w:rPr>
          <w:rFonts w:hint="default" w:ascii="Times New Roman" w:hAnsi="Times New Roman" w:cs="Times New Roman"/>
        </w:rPr>
      </w:pP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黑体" w:cs="Times New Roman"/>
          <w:spacing w:val="-12"/>
          <w:sz w:val="32"/>
          <w:szCs w:val="32"/>
        </w:rPr>
      </w:pPr>
      <w:r>
        <w:rPr>
          <w:rFonts w:hint="eastAsia" w:ascii="Times New Roman" w:hAnsi="Times New Roman" w:eastAsia="黑体" w:cs="Times New Roman"/>
          <w:kern w:val="0"/>
          <w:sz w:val="32"/>
          <w:szCs w:val="32"/>
          <w:highlight w:val="none"/>
          <w:lang w:eastAsia="zh-CN"/>
        </w:rPr>
        <w:t>一、</w:t>
      </w:r>
      <w:r>
        <w:rPr>
          <w:rFonts w:hint="eastAsia" w:ascii="Times New Roman" w:hAnsi="Times New Roman" w:eastAsia="黑体" w:cs="Times New Roman"/>
          <w:lang w:eastAsia="zh-CN"/>
        </w:rPr>
        <w:t>大肠埃希氏菌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 w:cs="Times New Roman"/>
        </w:rPr>
      </w:pPr>
      <w:r>
        <w:rPr>
          <w:rFonts w:hint="default" w:ascii="Times New Roman" w:hAnsi="Times New Roman" w:eastAsia="仿宋" w:cs="Times New Roman"/>
          <w:highlight w:val="none"/>
        </w:rPr>
        <w:t>大肠埃希氏菌，俗名大肠杆菌（革兰氏阴性短杆菌），是粪便污染和肠道致病菌污染食品的指示菌，部分大肠埃希氏菌菌株与婴儿腹泻有关，也可引起成人腹泻或食物中毒的暴发。大肠埃希氏菌超标可能由于产品的加工原料、包装材料受污染，或在生产过程中产品受人员、工器具等生产设备、环境的污染。</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highlight w:val="none"/>
          <w:lang w:eastAsia="zh-CN"/>
        </w:rPr>
      </w:pPr>
      <w:r>
        <w:rPr>
          <w:rFonts w:hint="eastAsia" w:ascii="黑体" w:hAnsi="黑体" w:eastAsia="黑体" w:cs="黑体"/>
          <w:highlight w:val="none"/>
          <w:lang w:eastAsia="zh-CN"/>
        </w:rPr>
        <w:t>二、呋</w:t>
      </w:r>
      <w:bookmarkStart w:id="0" w:name="_GoBack"/>
      <w:r>
        <w:rPr>
          <w:rFonts w:hint="eastAsia" w:ascii="黑体" w:hAnsi="黑体" w:eastAsia="黑体" w:cs="黑体"/>
          <w:highlight w:val="none"/>
          <w:lang w:eastAsia="zh-CN"/>
        </w:rPr>
        <w:t>喃西林代谢物</w:t>
      </w:r>
    </w:p>
    <w:bookmarkEnd w:id="0"/>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Times New Roman" w:hAnsi="Times New Roman" w:cs="Times New Roman"/>
          <w:highlight w:val="none"/>
          <w:lang w:eastAsia="zh-CN"/>
        </w:rPr>
      </w:pPr>
      <w:r>
        <w:rPr>
          <w:rFonts w:hint="eastAsia" w:ascii="Times New Roman" w:hAnsi="Times New Roman" w:cs="Times New Roman"/>
          <w:highlight w:val="none"/>
          <w:lang w:eastAsia="zh-CN"/>
        </w:rPr>
        <w:t>呋喃西林是属于硝基呋喃类广谱抗生素，广泛应用于畜禽及水产养殖业。硝基呋喃类原型药在生物体内代谢迅速，和蛋白质结合而相当稳定，故常利用对其代谢物的检测来反应硝基呋喃类药物的残留状况。《食品动物中禁止使用的药品及其他化合物清单》（农业农村部公告 第250号）中规定，呋喃西林为禁用兽药，在动物性食品中不得检出。硝基呋喃类药物及其代谢物可引起溶血性贫血、多发性神经炎、眼部损害和急性肝坏死等残疾而对人类健康造成危害，对人体有致癌、致畸胎副作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highlight w:val="none"/>
          <w:lang w:val="en-US" w:eastAsia="zh-CN"/>
        </w:rPr>
      </w:pPr>
      <w:r>
        <w:rPr>
          <w:rFonts w:hint="eastAsia" w:ascii="黑体" w:hAnsi="黑体" w:eastAsia="黑体" w:cs="黑体"/>
          <w:highlight w:val="none"/>
          <w:lang w:val="en-US" w:eastAsia="zh-CN"/>
        </w:rPr>
        <w:t>三、孔雀石绿</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highlight w:val="none"/>
          <w:lang w:eastAsia="zh-CN"/>
        </w:rPr>
      </w:pPr>
      <w:r>
        <w:rPr>
          <w:rFonts w:hint="eastAsia" w:ascii="Times New Roman" w:hAnsi="Times New Roman" w:cs="Times New Roman"/>
          <w:highlight w:val="none"/>
          <w:lang w:eastAsia="zh-CN"/>
        </w:rPr>
        <w:t>孔雀石绿别名碱性绿、盐基块绿、孔雀绿，是一种三苯甲烷结构的染料，因其外观颜色呈孔雀绿而得名。自被证实具有抗菌杀虫等药效以来，许多国家曾广泛将其用作驱虫剂、杀菌剂和防腐剂，以杀灭水产动物体外的寄生虫、原生动物和鱼卵中的霉菌等。孔雀石绿可在鱼体内长时间残留，通过食物链可能对人体产生致畸、致癌和致突变等危害。</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highlight w:val="none"/>
          <w:lang w:eastAsia="zh-CN"/>
        </w:rPr>
      </w:pPr>
      <w:r>
        <w:rPr>
          <w:rFonts w:hint="eastAsia" w:ascii="黑体" w:hAnsi="黑体" w:eastAsia="黑体" w:cs="黑体"/>
          <w:highlight w:val="none"/>
          <w:lang w:eastAsia="zh-CN"/>
        </w:rPr>
        <w:t>四、氯霉素</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Times New Roman" w:hAnsi="Times New Roman" w:cs="Times New Roman"/>
          <w:highlight w:val="none"/>
          <w:lang w:eastAsia="zh-CN"/>
        </w:rPr>
      </w:pPr>
      <w:r>
        <w:rPr>
          <w:rFonts w:hint="eastAsia" w:ascii="Times New Roman" w:hAnsi="Times New Roman" w:cs="Times New Roman"/>
          <w:highlight w:val="none"/>
          <w:lang w:eastAsia="zh-CN"/>
        </w:rPr>
        <w:t>氯霉素是一种杀菌剂，也是高效广谱的抗生素，对革兰氏阳性菌和革兰氏阴性菌均有较好的抑制作用。《动物性食品中兽药最高残留限量》（农业部公告第235号）中规定，氯霉素为禁止使用的药物，在动物性食品中不得检出。长期食用检出氯霉素的食品可能引起肠道菌群失调，导致消化机能紊乱。人体过量摄入氯霉素可能引起人肝脏和骨髓造血机能的损害，导致再生障碍性贫血和血小板减少、肝损伤等健康危害。</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highlight w:val="none"/>
          <w:lang w:eastAsia="zh-CN"/>
        </w:rPr>
      </w:pPr>
      <w:r>
        <w:rPr>
          <w:rFonts w:hint="eastAsia" w:ascii="黑体" w:hAnsi="黑体" w:eastAsia="黑体" w:cs="黑体"/>
          <w:highlight w:val="none"/>
          <w:lang w:eastAsia="zh-CN"/>
        </w:rPr>
        <w:t>五、灭蝇胺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Times New Roman" w:hAnsi="Times New Roman" w:cs="Times New Roman"/>
          <w:highlight w:val="none"/>
          <w:lang w:eastAsia="zh-CN"/>
        </w:rPr>
      </w:pPr>
      <w:r>
        <w:rPr>
          <w:rFonts w:hint="eastAsia" w:ascii="Times New Roman" w:hAnsi="Times New Roman" w:cs="Times New Roman"/>
          <w:highlight w:val="none"/>
          <w:lang w:eastAsia="zh-CN"/>
        </w:rPr>
        <w:t>灭蝇胺是一种触杀、胃毒和内吸传导作用的昆虫生长调节剂类杀虫剂。主要用于防治双翅目昆虫病虫害。《食品安全国家标准 食品中农药最大残留限量》（GB 2763-2019）中规定，豇豆中灭蝇胺残留最大限量值不得超过0.5mg/kg。豇豆中灭蝇胺超标的原因，可能是菜农对使用农药的安全间隔期不了解违规使用或滥用农药。灭蝇胺对眼睛、皮肤有刺激作用，短期内大量接触可引起急性中毒，产生恶心、呕吐、眩晕等健康危害。</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highlight w:val="none"/>
          <w:lang w:eastAsia="zh-CN"/>
        </w:rPr>
      </w:pPr>
      <w:r>
        <w:rPr>
          <w:rFonts w:hint="eastAsia" w:ascii="黑体" w:hAnsi="黑体" w:eastAsia="黑体" w:cs="黑体"/>
          <w:highlight w:val="none"/>
          <w:lang w:eastAsia="zh-CN"/>
        </w:rPr>
        <w:t>六、4-氯苯氧乙酸钠</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Times New Roman" w:hAnsi="Times New Roman" w:cs="Times New Roman"/>
          <w:highlight w:val="none"/>
          <w:lang w:eastAsia="zh-CN"/>
        </w:rPr>
      </w:pPr>
      <w:r>
        <w:rPr>
          <w:rFonts w:hint="eastAsia" w:ascii="Times New Roman" w:hAnsi="Times New Roman" w:cs="Times New Roman"/>
          <w:highlight w:val="none"/>
          <w:lang w:eastAsia="zh-CN"/>
        </w:rPr>
        <w:t>4-氯苯氧乙酸钠（以4-氯苯氧乙酸计）又称防落素、保果灵，是一种植物生长调节剂。具有防止落花落果、抑制豆类生根、调节植物株内激素平衡等作用。《国家食品药品监督管理总局 农业部 国家卫生和计划生育委员会关于豆芽生产过程中禁止使用6-苄基腺嘌呤等物质的公告》（2015年第11号）中规定，生产者不得在豆芽生产过程中使用6-苄基腺嘌呤、4-氯苯氧乙酸钠、赤霉素等物质，豆芽经营者不得经营含有6-苄基腺嘌呤、4-氯苯氧乙酸钠、赤霉素等物质的豆芽。豆芽中检出4-氯苯氧乙酸钠的原因，可能是生产者为提高豆芽产量，从而违规使用相关农药。</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highlight w:val="none"/>
          <w:lang w:eastAsia="zh-CN"/>
        </w:rPr>
      </w:pPr>
      <w:r>
        <w:rPr>
          <w:rFonts w:hint="eastAsia" w:ascii="黑体" w:hAnsi="黑体" w:eastAsia="黑体" w:cs="黑体"/>
          <w:highlight w:val="none"/>
          <w:lang w:eastAsia="zh-CN"/>
        </w:rPr>
        <w:t>七、</w:t>
      </w:r>
      <w:r>
        <w:rPr>
          <w:rFonts w:hint="eastAsia" w:ascii="黑体" w:hAnsi="黑体" w:eastAsia="黑体"/>
        </w:rPr>
        <w:t>铝</w:t>
      </w:r>
      <w:r>
        <w:rPr>
          <w:rFonts w:hint="eastAsia" w:ascii="黑体" w:hAnsi="黑体" w:eastAsia="黑体"/>
          <w:lang w:eastAsia="zh-CN"/>
        </w:rPr>
        <w:t>的残留量</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Times New Roman" w:hAnsi="Times New Roman" w:cs="Times New Roman"/>
          <w:highlight w:val="none"/>
          <w:lang w:eastAsia="zh-CN"/>
        </w:rPr>
      </w:pPr>
      <w:r>
        <w:rPr>
          <w:rFonts w:hint="eastAsia" w:ascii="Times New Roman" w:hAnsi="Times New Roman" w:cs="Times New Roman"/>
          <w:highlight w:val="none"/>
          <w:lang w:eastAsia="zh-CN"/>
        </w:rPr>
        <w:t>含铝食品添加剂（比如明矾）是合法的食品添加剂，按标准使用不会对健康造成危害。铝在自然界中大量存在，铝进入人体的渠道主要有食物、含铝器具以及饮用水等。根据国家食品安全风险评估专家委员会完成的中国居民膳食铝暴露风险评估结果，我国日常膳食中的含铝食品对一般居民健康造成不良影响的可能性不大，但对于长期食用高铝食品的消费者应予以关注。铝一般不会引起急性中毒，其主要毒性表现在神经毒性、生殖和发育毒性，没有致癌性。部分研究提示过量摄入铝与老年性痴呆的发生存在一定相关。铝在人体中引起的毒性是缓慢的、长期的、不易被觉察的，一旦发生代谢紊乱的毒性反应，后果是严重的、不可恢复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Times New Roman" w:hAnsi="Times New Roman" w:cs="Times New Roman"/>
          <w:highlight w:val="none"/>
          <w:lang w:eastAsia="zh-CN"/>
        </w:rPr>
      </w:pPr>
      <w:r>
        <w:rPr>
          <w:rFonts w:hint="eastAsia" w:ascii="Times New Roman" w:hAnsi="Times New Roman" w:cs="Times New Roman"/>
          <w:highlight w:val="none"/>
          <w:lang w:eastAsia="zh-CN"/>
        </w:rPr>
        <w:t>我国对于食品中铝含量的规定为，油炸面制品铝的残留量不能超过100 mg/kg。油条中铝残留量不合格的原因主要在于超限量使用含铝食品添加剂，以及原料带入等。</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C40A71"/>
    <w:rsid w:val="0F0B731D"/>
    <w:rsid w:val="148A3466"/>
    <w:rsid w:val="1D2C1B43"/>
    <w:rsid w:val="26153BC5"/>
    <w:rsid w:val="299B360D"/>
    <w:rsid w:val="3C757FD8"/>
    <w:rsid w:val="44051BAD"/>
    <w:rsid w:val="53870E6F"/>
    <w:rsid w:val="56027433"/>
    <w:rsid w:val="5D0570A9"/>
    <w:rsid w:val="63C40A71"/>
    <w:rsid w:val="78E7683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 w:asciiTheme="minorHAnsi" w:hAnsiTheme="minorHAnsi" w:cstheme="minorBidi"/>
      <w:kern w:val="2"/>
      <w:sz w:val="32"/>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character" w:styleId="5">
    <w:name w:val="page number"/>
    <w:basedOn w:val="4"/>
    <w:qFormat/>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2020-06-08T08:06:00Z</dcterms:created>
  <dc:creator>罗钰珊</dc:creator>
  <cp:lastModifiedBy>hhy1405136765</cp:lastModifiedBy>
  <dcterms:modified xsi:type="dcterms:W3CDTF">2020-12-29T01:29:33Z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