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《惠州市集体土地征收与补偿办法》（征求意见稿）征求意见</w:t>
      </w:r>
      <w:bookmarkStart w:id="0" w:name="_GoBack"/>
      <w:bookmarkEnd w:id="0"/>
      <w:r>
        <w:rPr>
          <w:rFonts w:hint="eastAsia" w:ascii="方正小标宋_GBK" w:hAnsi="方正小标宋_GBK" w:eastAsia="方正小标宋_GBK" w:cs="方正小标宋_GBK"/>
          <w:sz w:val="36"/>
          <w:szCs w:val="36"/>
        </w:rPr>
        <w:t>采纳情况表</w:t>
      </w:r>
    </w:p>
    <w:p>
      <w:pPr>
        <w:jc w:val="center"/>
        <w:rPr>
          <w:rFonts w:ascii="方正小标宋_GBK" w:hAnsi="方正小标宋_GBK" w:eastAsia="方正小标宋_GBK" w:cs="方正小标宋_GBK"/>
          <w:szCs w:val="21"/>
        </w:rPr>
      </w:pPr>
      <w:r>
        <w:rPr>
          <w:rFonts w:hint="eastAsia" w:ascii="方正小标宋_GBK" w:hAnsi="方正小标宋_GBK" w:eastAsia="方正小标宋_GBK" w:cs="方正小标宋_GBK"/>
          <w:sz w:val="36"/>
          <w:szCs w:val="36"/>
        </w:rPr>
        <w:t>（社会公众）</w:t>
      </w:r>
    </w:p>
    <w:tbl>
      <w:tblPr>
        <w:tblStyle w:val="4"/>
        <w:tblW w:w="5000" w:type="pct"/>
        <w:tblInd w:w="0" w:type="dxa"/>
        <w:tblLayout w:type="autofit"/>
        <w:tblCellMar>
          <w:top w:w="0" w:type="dxa"/>
          <w:left w:w="108" w:type="dxa"/>
          <w:bottom w:w="0" w:type="dxa"/>
          <w:right w:w="108" w:type="dxa"/>
        </w:tblCellMar>
      </w:tblPr>
      <w:tblGrid>
        <w:gridCol w:w="1148"/>
        <w:gridCol w:w="1780"/>
        <w:gridCol w:w="5624"/>
        <w:gridCol w:w="5622"/>
      </w:tblGrid>
      <w:tr>
        <w:tblPrEx>
          <w:tblCellMar>
            <w:top w:w="0" w:type="dxa"/>
            <w:left w:w="108" w:type="dxa"/>
            <w:bottom w:w="0" w:type="dxa"/>
            <w:right w:w="108" w:type="dxa"/>
          </w:tblCellMar>
        </w:tblPrEx>
        <w:trPr>
          <w:trHeight w:val="567" w:hRule="atLeast"/>
          <w:tblHeader/>
        </w:trPr>
        <w:tc>
          <w:tcPr>
            <w:tcW w:w="40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628"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反馈途径</w:t>
            </w:r>
          </w:p>
        </w:tc>
        <w:tc>
          <w:tcPr>
            <w:tcW w:w="198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反馈意见内容</w:t>
            </w:r>
          </w:p>
        </w:tc>
        <w:tc>
          <w:tcPr>
            <w:tcW w:w="1984"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处理意见</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第十九条建议考虑将被征收房屋权利人、使用权人在规定时间内不腾退，申请人民法院强制执行过程中，将地上附着物的权利人一并包含在内。</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未采纳:由于缺乏法律依据，送审稿已删除此条规定。</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第二十一条建议设置一定的比例</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未采纳:情况复杂，不宜搞“一刀切”，可由县（区）人民政府灵活处理。</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3</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第二十九条第（三）项，建议最后明确为“合法住宅”。</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采纳:修改为(三)土地征收启动公告发布前户籍在被征收土地所在的村（或村小组）、具有农村土地承包经营权、宅基地资格权的集体经济组织成员的合法住宅。</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4</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第三十一条建议明确被国土、城市执法等相关部门已确定“两违”立案的，不予进行认定。</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采纳:增加“认定为违法建筑的，一律不予补偿。”。</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5</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第三十三条建议增加多户合建，统一办证在一户名下如何处理的规定。</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未采纳:应当按产权证补偿。</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6</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第四十二条有证载面积且实际建筑面积超出480 平方米的，签约补助能否按照证载面积计算。同时，目前征收项目中普遍没有安置房，惠阳区的做法计算签约补助已经开始执行周边普通商品住宅备案价的20%，在此条件中不得超出10%，与县区现行做法相互冲突，能否将权力下放至县区自行确定。建议支付签约补助不受时间限制，只需签订安置补偿协议。</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未采纳:安置房与商品房有明显价差，为了保证补偿的公平合理，应当采取不同的补助比例。</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7</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第四十三条建议继续明确安置房置换原则，坚持等值置换。</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采纳:增加了第四十二条【安置房原则】。</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8</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第四十五条选择房屋置换的建议继续按照189号文的做法，因为目前项目安置房的建设普遍滞后，选择房屋置换时没有安置房，即无法计算过渡期安置补助费。</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未采纳:可以先根据安置房规划设计计算安置房面积，多退少补。</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9</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附件3：地上附着物补偿标准（坟墓）目前实际征收过程中坟墓补偿已经远远高出规定的标准，新修订的征求意见稿坟墓补偿的标准并没有改变，已经不足以适用实际征收的需求。</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未采纳:经认真分析研究市场调查后不作调整。</w:t>
            </w:r>
          </w:p>
        </w:tc>
      </w:tr>
      <w:tr>
        <w:tblPrEx>
          <w:tblCellMar>
            <w:top w:w="0" w:type="dxa"/>
            <w:left w:w="108" w:type="dxa"/>
            <w:bottom w:w="0" w:type="dxa"/>
            <w:right w:w="108" w:type="dxa"/>
          </w:tblCellMar>
        </w:tblPrEx>
        <w:trPr>
          <w:trHeight w:val="340" w:hRule="atLeast"/>
        </w:trPr>
        <w:tc>
          <w:tcPr>
            <w:tcW w:w="40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10</w:t>
            </w:r>
          </w:p>
        </w:tc>
        <w:tc>
          <w:tcPr>
            <w:tcW w:w="62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通过邮件形式反馈</w:t>
            </w:r>
          </w:p>
        </w:tc>
        <w:tc>
          <w:tcPr>
            <w:tcW w:w="1984" w:type="pct"/>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建议在文件中对实测房屋建筑面积的做法做原则性规定。</w:t>
            </w:r>
          </w:p>
        </w:tc>
        <w:tc>
          <w:tcPr>
            <w:tcW w:w="1984"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未采纳:实测房屋建筑面积应当按照相关测绘规范进行。</w:t>
            </w:r>
          </w:p>
        </w:tc>
      </w:tr>
    </w:tbl>
    <w:p>
      <w:pPr>
        <w:jc w:val="left"/>
        <w:rPr>
          <w:rFonts w:ascii="方正小标宋_GBK" w:hAnsi="方正小标宋_GBK" w:eastAsia="方正小标宋_GBK" w:cs="方正小标宋_GBK"/>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1D35152"/>
    <w:rsid w:val="00263C60"/>
    <w:rsid w:val="002B0E30"/>
    <w:rsid w:val="00832E2C"/>
    <w:rsid w:val="0099632E"/>
    <w:rsid w:val="00B41527"/>
    <w:rsid w:val="00D93332"/>
    <w:rsid w:val="00E06EE7"/>
    <w:rsid w:val="259723BC"/>
    <w:rsid w:val="29E4347C"/>
    <w:rsid w:val="3FC45FC8"/>
    <w:rsid w:val="41D35152"/>
    <w:rsid w:val="42BF40DE"/>
    <w:rsid w:val="52267F13"/>
    <w:rsid w:val="54F9335B"/>
    <w:rsid w:val="5EFE28DB"/>
    <w:rsid w:val="720270EC"/>
    <w:rsid w:val="72BC6B43"/>
    <w:rsid w:val="7438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市住房和城乡建设局</Company>
  <Pages>2</Pages>
  <Words>155</Words>
  <Characters>885</Characters>
  <Lines>7</Lines>
  <Paragraphs>2</Paragraphs>
  <TotalTime>14</TotalTime>
  <ScaleCrop>false</ScaleCrop>
  <LinksUpToDate>false</LinksUpToDate>
  <CharactersWithSpaces>1038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2020-12-16T01:00:00Z</dcterms:created>
  <dc:creator>何晓琳</dc:creator>
  <cp:lastModifiedBy>王丽君</cp:lastModifiedBy>
  <dcterms:modified xsi:type="dcterms:W3CDTF">2020-12-17T06:44:13Z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