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4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013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3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县（区）专项资金申报、初审情况表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专项资金级次：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中央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省级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上级资金下达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专项资金金额：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申请项目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申请企业（单位）      家；申请项目    个；申请支持金额共        元；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是否核查原件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初审复核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分管领导审批</w:t>
            </w:r>
          </w:p>
        </w:tc>
        <w:tc>
          <w:tcPr>
            <w:tcW w:w="68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本级资金上报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项目初审情况应包括（并不限于）资金支持内容、审核通过项目个数、初审支持金额、审核不通过项目个数、金额及原因等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52BC"/>
    <w:rsid w:val="117C4B42"/>
    <w:rsid w:val="1B4C52BC"/>
    <w:rsid w:val="38A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2023-05-18T01:38:00Z</dcterms:created>
  <dc:creator>曹华琼</dc:creator>
  <cp:lastModifiedBy>郑雅虹</cp:lastModifiedBy>
  <cp:lastPrinted>2025-07-03T02:28:27Z</cp:lastPrinted>
  <dcterms:modified xsi:type="dcterms:W3CDTF">2025-07-03T02:35:24Z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C0FF2CAC54B04BBD8FB00D7582B4113A</vt:lpwstr>
  </property>
</Properties>
</file>