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ind w:firstLine="249" w:firstLineChars="0"/>
        <w:rPr>
          <w:rFonts w:hint="default"/>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eastAsia" w:ascii="方正小标宋_GBK" w:hAnsi="方正小标宋_GBK" w:eastAsia="方正小标宋_GBK" w:cs="方正小标宋_GBK"/>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20</w:t>
      </w:r>
      <w:r>
        <w:rPr>
          <w:rFonts w:hint="eastAsia" w:ascii="方正小标宋_GBK" w:hAnsi="方正小标宋_GBK" w:eastAsia="方正小标宋_GBK" w:cs="方正小标宋_GBK"/>
          <w:b w:val="0"/>
          <w:bCs w:val="0"/>
          <w:color w:val="auto"/>
          <w:sz w:val="44"/>
          <w:szCs w:val="44"/>
          <w:lang w:val="en-US" w:eastAsia="zh-CN"/>
        </w:rPr>
        <w:t>25业务年度省级促进开放型经济发展水平提升专项资金（促进投保出口信用保险事项）申报指南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b w:val="0"/>
          <w:bCs w:val="0"/>
          <w:color w:val="auto"/>
          <w:sz w:val="32"/>
          <w:szCs w:val="32"/>
          <w:highlight w:val="none"/>
        </w:rPr>
        <w:t>支持</w:t>
      </w:r>
      <w:r>
        <w:rPr>
          <w:rFonts w:hint="eastAsia" w:ascii="黑体" w:hAnsi="黑体" w:eastAsia="黑体" w:cs="黑体"/>
          <w:b w:val="0"/>
          <w:bCs w:val="0"/>
          <w:color w:val="auto"/>
          <w:sz w:val="32"/>
          <w:szCs w:val="32"/>
          <w:highlight w:val="none"/>
          <w:lang w:val="en-US" w:eastAsia="zh-CN"/>
        </w:rPr>
        <w:t>对象</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在我市登记注册，近三年无严重违法违规行为，且未拖欠应缴还财政性资金的企业和已备案从事短期出口信用保险业务的省级保险公司。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二、支持时间</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2025年1月1日至2025年12月31日，以保险费发票开具日期为准。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三、支持范围和标准</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方正仿宋_GBK" w:cs="Times New Roman"/>
          <w:color w:val="auto"/>
          <w:sz w:val="32"/>
          <w:szCs w:val="32"/>
          <w:lang w:val="en-US" w:eastAsia="zh-CN"/>
        </w:rPr>
      </w:pPr>
      <w:r>
        <w:rPr>
          <w:rFonts w:hint="eastAsia" w:ascii="楷体" w:hAnsi="楷体" w:eastAsia="楷体" w:cs="楷体"/>
          <w:b/>
          <w:bCs/>
          <w:color w:val="auto"/>
          <w:sz w:val="32"/>
          <w:szCs w:val="32"/>
          <w:lang w:val="en-US" w:eastAsia="zh-CN"/>
        </w:rPr>
        <w:t>（一）“企业类”项目。</w:t>
      </w:r>
      <w:r>
        <w:rPr>
          <w:rFonts w:hint="default" w:ascii="Times New Roman" w:hAnsi="Times New Roman" w:eastAsia="方正仿宋_GBK" w:cs="Times New Roman"/>
          <w:color w:val="auto"/>
          <w:sz w:val="32"/>
          <w:szCs w:val="32"/>
          <w:lang w:val="en-US" w:eastAsia="zh-CN"/>
        </w:rPr>
        <w:t>鼓励在我市登记注册的企业，向已备案从事短期出口信用保险业务的保险公司（以下称“保险公司”）投保“一般企业类”短期出口信用保险产品。按企业2025年实际缴纳保险费给予不超过30％的支持，单个企业最高支持500万元。若企业申报资金总额超过项目资金总额，则按比例进行分配。</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楷体" w:hAnsi="楷体" w:eastAsia="楷体" w:cs="楷体"/>
          <w:b/>
          <w:bCs/>
          <w:color w:val="auto"/>
          <w:kern w:val="2"/>
          <w:sz w:val="32"/>
          <w:szCs w:val="32"/>
          <w:lang w:val="en-US" w:eastAsia="zh-CN" w:bidi="ar-SA"/>
        </w:rPr>
        <w:t>（二）“平台类”项目。</w:t>
      </w:r>
      <w:r>
        <w:rPr>
          <w:rFonts w:hint="default" w:ascii="Times New Roman" w:hAnsi="Times New Roman" w:eastAsia="方正仿宋_GBK" w:cs="Times New Roman"/>
          <w:color w:val="auto"/>
          <w:kern w:val="2"/>
          <w:sz w:val="32"/>
          <w:szCs w:val="32"/>
          <w:lang w:val="en-US" w:eastAsia="zh-CN" w:bidi="ar-SA"/>
        </w:rPr>
        <w:t>鼓励保险公司</w:t>
      </w:r>
      <w:bookmarkStart w:id="0" w:name="OLE_LINK6"/>
      <w:r>
        <w:rPr>
          <w:rFonts w:hint="default" w:ascii="Times New Roman" w:hAnsi="Times New Roman" w:eastAsia="方正仿宋_GBK" w:cs="Times New Roman"/>
          <w:color w:val="auto"/>
          <w:kern w:val="2"/>
          <w:sz w:val="32"/>
          <w:szCs w:val="32"/>
          <w:lang w:val="en-US" w:eastAsia="zh-CN" w:bidi="ar-SA"/>
        </w:rPr>
        <w:t>对2024年出口额1000万美元（含）以下</w:t>
      </w:r>
      <w:bookmarkEnd w:id="0"/>
      <w:r>
        <w:rPr>
          <w:rFonts w:hint="default" w:ascii="Times New Roman" w:hAnsi="Times New Roman" w:eastAsia="方正仿宋_GBK" w:cs="Times New Roman"/>
          <w:color w:val="auto"/>
          <w:kern w:val="2"/>
          <w:sz w:val="32"/>
          <w:szCs w:val="32"/>
          <w:lang w:val="en-US" w:eastAsia="zh-CN" w:bidi="ar-SA"/>
        </w:rPr>
        <w:t>的外贸企业定向开展出口信保“普惠平台类”服务。对保险公司垫付的通过“单一窗口”投保的普惠平台保险费给予全额支持，支持金额不超过承保企业2024年出口额的0.048%。出口信保相关产品定义见附件1。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四、申报要求</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楷体" w:hAnsi="楷体" w:eastAsia="楷体" w:cs="楷体"/>
          <w:b/>
          <w:bCs/>
          <w:color w:val="auto"/>
          <w:kern w:val="2"/>
          <w:sz w:val="32"/>
          <w:szCs w:val="32"/>
          <w:lang w:val="en-US" w:eastAsia="zh-CN" w:bidi="ar-SA"/>
        </w:rPr>
      </w:pPr>
      <w:r>
        <w:rPr>
          <w:rFonts w:hint="default" w:ascii="楷体" w:hAnsi="楷体" w:eastAsia="楷体" w:cs="楷体"/>
          <w:b/>
          <w:bCs/>
          <w:color w:val="auto"/>
          <w:kern w:val="2"/>
          <w:sz w:val="32"/>
          <w:szCs w:val="32"/>
          <w:lang w:val="en-US" w:eastAsia="zh-CN" w:bidi="ar-SA"/>
        </w:rPr>
        <w:t>（一）申报程序</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1.“企业类”项目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由符合申报条件的企业提出申请，各保险公司组织所承保的企业申报，收集材料并复核确认。</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b w:val="0"/>
          <w:bCs w:val="0"/>
          <w:color w:val="auto"/>
          <w:sz w:val="32"/>
          <w:szCs w:val="32"/>
          <w:lang w:eastAsia="zh-CN"/>
        </w:rPr>
      </w:pPr>
      <w:r>
        <w:rPr>
          <w:rFonts w:hint="eastAsia"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lang w:val="en-US" w:eastAsia="zh-CN"/>
        </w:rPr>
        <w:t>1</w:t>
      </w:r>
      <w:r>
        <w:rPr>
          <w:rFonts w:hint="eastAsia" w:ascii="Times New Roman" w:hAnsi="Times New Roman" w:eastAsia="仿宋" w:cs="Times New Roman"/>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eastAsia="zh-CN"/>
        </w:rPr>
        <w:t>网上申报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申报企业应于2026年</w:t>
      </w: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月</w:t>
      </w:r>
      <w:r>
        <w:rPr>
          <w:rFonts w:hint="eastAsia" w:eastAsia="方正仿宋_GBK" w:cs="Times New Roman"/>
          <w:color w:val="auto"/>
          <w:sz w:val="32"/>
          <w:szCs w:val="32"/>
          <w:lang w:val="en-US" w:eastAsia="zh-CN"/>
        </w:rPr>
        <w:t>31</w:t>
      </w:r>
      <w:r>
        <w:rPr>
          <w:rFonts w:hint="default" w:ascii="Times New Roman" w:hAnsi="Times New Roman" w:eastAsia="方正仿宋_GBK" w:cs="Times New Roman"/>
          <w:color w:val="auto"/>
          <w:sz w:val="32"/>
          <w:szCs w:val="32"/>
          <w:lang w:val="en-US" w:eastAsia="zh-CN"/>
        </w:rPr>
        <w:t>日前在广东财政惠企利民服务平台（以下简称服务平台）注册并进行网上项目申报，按要求填写并上传相关申报材料。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val="0"/>
          <w:color w:val="auto"/>
          <w:sz w:val="32"/>
          <w:szCs w:val="32"/>
          <w:lang w:eastAsia="zh-CN"/>
        </w:rPr>
      </w:pPr>
      <w:r>
        <w:rPr>
          <w:rFonts w:hint="eastAsia" w:ascii="Times New Roman" w:hAnsi="Times New Roman" w:eastAsia="仿宋" w:cs="Times New Roman"/>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lang w:val="en-US" w:eastAsia="zh-CN"/>
        </w:rPr>
        <w:t>纸质材料</w:t>
      </w:r>
      <w:r>
        <w:rPr>
          <w:rFonts w:hint="eastAsia" w:ascii="方正仿宋_GBK" w:hAnsi="方正仿宋_GBK" w:eastAsia="方正仿宋_GBK" w:cs="方正仿宋_GBK"/>
          <w:b w:val="0"/>
          <w:bCs w:val="0"/>
          <w:color w:val="auto"/>
          <w:sz w:val="32"/>
          <w:szCs w:val="32"/>
          <w:lang w:eastAsia="zh-CN"/>
        </w:rPr>
        <w:t>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申报企业在网上服务平台申报后下载打印带水印</w:t>
      </w:r>
      <w:r>
        <w:rPr>
          <w:rFonts w:hint="eastAsia"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lang w:val="en-US" w:eastAsia="zh-CN"/>
        </w:rPr>
        <w:t>申报材料，按申报材料顺序依次摆放装订成册（一式三份），于2026年</w:t>
      </w: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月</w:t>
      </w: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日前提交纸质材料给到所投保的保险公司。各保险公司收集企业申报材料并复核确认，填报《2025业务年度省级出口信用保险“企业类”项目申请汇总表》（附件2），于2026年</w:t>
      </w: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月</w:t>
      </w:r>
      <w:r>
        <w:rPr>
          <w:rFonts w:hint="eastAsia"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val="en-US" w:eastAsia="zh-CN"/>
        </w:rPr>
        <w:t>日前将一套申报材料提交至企业所属县（区）商务主管部门，其余两份申报材料送至惠州市商务局外贸科。</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方正仿宋_GBK" w:hAnsi="方正仿宋_GBK" w:eastAsia="方正仿宋_GBK" w:cs="方正仿宋_GBK"/>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（3）</w:t>
      </w:r>
      <w:r>
        <w:rPr>
          <w:rFonts w:hint="eastAsia" w:ascii="方正仿宋_GBK" w:hAnsi="方正仿宋_GBK" w:eastAsia="方正仿宋_GBK" w:cs="方正仿宋_GBK"/>
          <w:b w:val="0"/>
          <w:bCs w:val="0"/>
          <w:color w:val="auto"/>
          <w:sz w:val="32"/>
          <w:szCs w:val="32"/>
          <w:lang w:val="en-US" w:eastAsia="zh-CN"/>
        </w:rPr>
        <w:t>项目审核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一、</w:t>
      </w:r>
      <w:r>
        <w:rPr>
          <w:rFonts w:hint="eastAsia" w:ascii="方正仿宋_GBK" w:hAnsi="方正仿宋_GBK" w:eastAsia="方正仿宋_GBK" w:cs="方正仿宋_GBK"/>
          <w:b w:val="0"/>
          <w:bCs w:val="0"/>
          <w:color w:val="auto"/>
          <w:sz w:val="32"/>
          <w:szCs w:val="32"/>
          <w:lang w:eastAsia="zh-CN"/>
        </w:rPr>
        <w:t>初审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auto"/>
          <w:sz w:val="32"/>
          <w:szCs w:val="32"/>
          <w:lang w:val="en-US" w:eastAsia="zh-CN"/>
        </w:rPr>
        <w:t>县（区）商务主管部门收到企业提交的申报材料后，核验企业申报材料真实、完整性，是否与广东财政惠企利民服务平台中企业网上提交的材料</w:t>
      </w:r>
      <w:r>
        <w:rPr>
          <w:rFonts w:hint="default" w:ascii="Times New Roman" w:hAnsi="Times New Roman" w:eastAsia="方正仿宋_GBK" w:cs="Times New Roman"/>
          <w:color w:val="auto"/>
          <w:sz w:val="32"/>
          <w:szCs w:val="32"/>
          <w:highlight w:val="none"/>
          <w:lang w:val="en-US" w:eastAsia="zh-CN"/>
        </w:rPr>
        <w:t>一致，如材料不齐全或不符合要求的，告知企业按要求补正材料。县（区）商务主管部门完成初审后，于2026年</w:t>
      </w:r>
      <w:r>
        <w:rPr>
          <w:rFonts w:hint="eastAsia"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月</w:t>
      </w:r>
      <w:r>
        <w:rPr>
          <w:rFonts w:hint="eastAsia" w:eastAsia="方正仿宋_GBK" w:cs="Times New Roman"/>
          <w:color w:val="auto"/>
          <w:sz w:val="32"/>
          <w:szCs w:val="32"/>
          <w:highlight w:val="none"/>
          <w:lang w:val="en-US" w:eastAsia="zh-CN"/>
        </w:rPr>
        <w:t>19</w:t>
      </w:r>
      <w:r>
        <w:rPr>
          <w:rFonts w:hint="default" w:ascii="Times New Roman" w:hAnsi="Times New Roman" w:eastAsia="方正仿宋_GBK" w:cs="Times New Roman"/>
          <w:color w:val="auto"/>
          <w:sz w:val="32"/>
          <w:szCs w:val="32"/>
          <w:highlight w:val="none"/>
          <w:lang w:val="en-US" w:eastAsia="zh-CN"/>
        </w:rPr>
        <w:t>日前填报《</w:t>
      </w:r>
      <w:r>
        <w:rPr>
          <w:rFonts w:hint="eastAsia" w:eastAsia="方正仿宋_GBK" w:cs="Times New Roman"/>
          <w:color w:val="auto"/>
          <w:sz w:val="32"/>
          <w:szCs w:val="32"/>
          <w:highlight w:val="none"/>
          <w:lang w:val="en-US" w:eastAsia="zh-CN"/>
        </w:rPr>
        <w:t>XX</w:t>
      </w:r>
      <w:bookmarkStart w:id="2" w:name="_GoBack"/>
      <w:bookmarkEnd w:id="2"/>
      <w:r>
        <w:rPr>
          <w:rFonts w:hint="default" w:ascii="Times New Roman" w:hAnsi="Times New Roman" w:eastAsia="方正仿宋_GBK" w:cs="Times New Roman"/>
          <w:color w:val="auto"/>
          <w:sz w:val="32"/>
          <w:szCs w:val="32"/>
          <w:highlight w:val="none"/>
          <w:lang w:val="en-US" w:eastAsia="zh-CN"/>
        </w:rPr>
        <w:t>县（区）专项资金申报、初审情况表》（附件3）提交至市商务局外贸科，并在广东财政惠企利民服务平台上报审批情况。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二、评</w:t>
      </w:r>
      <w:r>
        <w:rPr>
          <w:rFonts w:hint="eastAsia" w:ascii="方正仿宋_GBK" w:hAnsi="方正仿宋_GBK" w:eastAsia="方正仿宋_GBK" w:cs="方正仿宋_GBK"/>
          <w:b w:val="0"/>
          <w:bCs w:val="0"/>
          <w:color w:val="auto"/>
          <w:sz w:val="32"/>
          <w:szCs w:val="32"/>
          <w:lang w:eastAsia="zh-CN"/>
        </w:rPr>
        <w:t>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color w:val="000000"/>
          <w:sz w:val="32"/>
          <w:szCs w:val="32"/>
          <w:highlight w:val="none"/>
          <w:lang w:eastAsia="zh-CN"/>
        </w:rPr>
        <w:t>申报材料经</w:t>
      </w:r>
      <w:r>
        <w:rPr>
          <w:rFonts w:hint="default" w:ascii="Times New Roman" w:hAnsi="Times New Roman" w:eastAsia="方正仿宋_GBK" w:cs="Times New Roman"/>
          <w:color w:val="auto"/>
          <w:sz w:val="32"/>
          <w:szCs w:val="32"/>
          <w:lang w:val="en-US" w:eastAsia="zh-CN"/>
        </w:rPr>
        <w:t>县（区）</w:t>
      </w:r>
      <w:r>
        <w:rPr>
          <w:rFonts w:hint="default" w:ascii="Times New Roman" w:hAnsi="Times New Roman" w:eastAsia="方正仿宋_GBK" w:cs="Times New Roman"/>
          <w:color w:val="000000"/>
          <w:sz w:val="32"/>
          <w:szCs w:val="32"/>
          <w:highlight w:val="none"/>
          <w:lang w:eastAsia="zh-CN"/>
        </w:rPr>
        <w:t>商务主管部门初审后上报；市商务局委托第三方中介机构进行评审，向</w:t>
      </w:r>
      <w:r>
        <w:rPr>
          <w:rFonts w:hint="default" w:ascii="Times New Roman" w:hAnsi="Times New Roman" w:eastAsia="方正仿宋_GBK" w:cs="Times New Roman"/>
          <w:color w:val="auto"/>
          <w:kern w:val="0"/>
          <w:sz w:val="32"/>
          <w:szCs w:val="32"/>
          <w:highlight w:val="none"/>
          <w:lang w:val="en-US" w:eastAsia="zh-CN" w:bidi="ar"/>
        </w:rPr>
        <w:t>市信用中心征询企业信用记录。</w:t>
      </w:r>
      <w:r>
        <w:rPr>
          <w:rFonts w:hint="default" w:ascii="Times New Roman" w:hAnsi="Times New Roman" w:eastAsia="方正仿宋_GBK" w:cs="Times New Roman"/>
          <w:color w:val="000000"/>
          <w:sz w:val="32"/>
          <w:szCs w:val="32"/>
          <w:highlight w:val="none"/>
          <w:lang w:eastAsia="zh-CN"/>
        </w:rPr>
        <w:t>市商务局</w:t>
      </w:r>
      <w:r>
        <w:rPr>
          <w:rFonts w:hint="default" w:ascii="Times New Roman" w:hAnsi="Times New Roman" w:eastAsia="方正仿宋_GBK" w:cs="Times New Roman"/>
          <w:color w:val="000000"/>
          <w:sz w:val="32"/>
          <w:szCs w:val="32"/>
          <w:highlight w:val="none"/>
          <w:lang w:val="en-US" w:eastAsia="zh-CN"/>
        </w:rPr>
        <w:t>综合</w:t>
      </w:r>
      <w:r>
        <w:rPr>
          <w:rFonts w:hint="default" w:ascii="Times New Roman" w:hAnsi="Times New Roman" w:eastAsia="方正仿宋_GBK" w:cs="Times New Roman"/>
          <w:color w:val="auto"/>
          <w:sz w:val="32"/>
          <w:szCs w:val="32"/>
          <w:lang w:val="en-US" w:eastAsia="zh-CN"/>
        </w:rPr>
        <w:t>县（区）</w:t>
      </w:r>
      <w:r>
        <w:rPr>
          <w:rFonts w:hint="default" w:ascii="Times New Roman" w:hAnsi="Times New Roman" w:eastAsia="方正仿宋_GBK" w:cs="Times New Roman"/>
          <w:color w:val="000000"/>
          <w:sz w:val="32"/>
          <w:szCs w:val="32"/>
          <w:highlight w:val="none"/>
          <w:lang w:eastAsia="zh-CN"/>
        </w:rPr>
        <w:t>商务主管部门</w:t>
      </w:r>
      <w:r>
        <w:rPr>
          <w:rFonts w:hint="default" w:ascii="Times New Roman" w:hAnsi="Times New Roman" w:eastAsia="方正仿宋_GBK" w:cs="Times New Roman"/>
          <w:color w:val="000000"/>
          <w:sz w:val="32"/>
          <w:szCs w:val="32"/>
          <w:highlight w:val="none"/>
          <w:lang w:val="en-US" w:eastAsia="zh-CN"/>
        </w:rPr>
        <w:t>初审意见、</w:t>
      </w:r>
      <w:r>
        <w:rPr>
          <w:rFonts w:hint="default" w:ascii="Times New Roman" w:hAnsi="Times New Roman" w:eastAsia="方正仿宋_GBK" w:cs="Times New Roman"/>
          <w:color w:val="000000"/>
          <w:sz w:val="32"/>
          <w:szCs w:val="32"/>
          <w:highlight w:val="none"/>
          <w:lang w:eastAsia="zh-CN"/>
        </w:rPr>
        <w:t>第三方评审机构的评审报告</w:t>
      </w:r>
      <w:r>
        <w:rPr>
          <w:rFonts w:hint="default" w:ascii="Times New Roman" w:hAnsi="Times New Roman" w:eastAsia="方正仿宋_GBK" w:cs="Times New Roman"/>
          <w:color w:val="000000"/>
          <w:sz w:val="32"/>
          <w:szCs w:val="32"/>
          <w:highlight w:val="none"/>
          <w:lang w:val="en-US" w:eastAsia="zh-CN"/>
        </w:rPr>
        <w:t>及</w:t>
      </w:r>
      <w:r>
        <w:rPr>
          <w:rFonts w:hint="default" w:ascii="Times New Roman" w:hAnsi="Times New Roman" w:eastAsia="方正仿宋_GBK" w:cs="Times New Roman"/>
          <w:color w:val="auto"/>
          <w:kern w:val="0"/>
          <w:sz w:val="32"/>
          <w:szCs w:val="32"/>
          <w:highlight w:val="none"/>
          <w:lang w:val="en-US" w:eastAsia="zh-CN" w:bidi="ar"/>
        </w:rPr>
        <w:t>市信用中心核查结果确认资助企业名单，拟定资金分配方案后报</w:t>
      </w:r>
      <w:r>
        <w:rPr>
          <w:rFonts w:hint="default" w:ascii="Times New Roman" w:hAnsi="Times New Roman" w:eastAsia="方正仿宋_GBK" w:cs="Times New Roman"/>
          <w:color w:val="000000"/>
          <w:sz w:val="32"/>
          <w:szCs w:val="32"/>
          <w:highlight w:val="none"/>
          <w:lang w:eastAsia="zh-CN"/>
        </w:rPr>
        <w:t>局党组会议集体审议。</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方正仿宋_GBK" w:hAnsi="方正仿宋_GBK" w:eastAsia="方正仿宋_GBK" w:cs="方正仿宋_GBK"/>
          <w:b w:val="0"/>
          <w:bCs w:val="0"/>
          <w:color w:val="000000"/>
          <w:sz w:val="32"/>
          <w:szCs w:val="32"/>
          <w:highlight w:val="none"/>
          <w:lang w:eastAsia="zh-CN"/>
        </w:rPr>
      </w:pPr>
      <w:r>
        <w:rPr>
          <w:rFonts w:hint="eastAsia" w:ascii="方正仿宋_GBK" w:hAnsi="方正仿宋_GBK" w:eastAsia="方正仿宋_GBK" w:cs="方正仿宋_GBK"/>
          <w:b w:val="0"/>
          <w:bCs w:val="0"/>
          <w:color w:val="auto"/>
          <w:sz w:val="32"/>
          <w:szCs w:val="32"/>
          <w:lang w:val="en-US" w:eastAsia="zh-CN"/>
        </w:rPr>
        <w:t>三、</w:t>
      </w:r>
      <w:r>
        <w:rPr>
          <w:rFonts w:hint="eastAsia" w:ascii="方正仿宋_GBK" w:hAnsi="方正仿宋_GBK" w:eastAsia="方正仿宋_GBK" w:cs="方正仿宋_GBK"/>
          <w:b w:val="0"/>
          <w:bCs w:val="0"/>
          <w:color w:val="000000"/>
          <w:sz w:val="32"/>
          <w:szCs w:val="32"/>
          <w:highlight w:val="none"/>
          <w:lang w:val="en-US" w:eastAsia="zh-CN"/>
        </w:rPr>
        <w:t>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000000"/>
          <w:sz w:val="32"/>
          <w:szCs w:val="32"/>
          <w:highlight w:val="none"/>
          <w:lang w:val="en-US" w:eastAsia="zh-CN"/>
        </w:rPr>
        <w:t>市商务局党组</w:t>
      </w:r>
      <w:r>
        <w:rPr>
          <w:rFonts w:hint="default" w:ascii="Times New Roman" w:hAnsi="Times New Roman" w:eastAsia="方正仿宋_GBK" w:cs="Times New Roman"/>
          <w:color w:val="000000"/>
          <w:sz w:val="32"/>
          <w:szCs w:val="32"/>
          <w:highlight w:val="none"/>
          <w:lang w:eastAsia="zh-CN"/>
        </w:rPr>
        <w:t>集体审议通过</w:t>
      </w:r>
      <w:r>
        <w:rPr>
          <w:rFonts w:hint="default" w:ascii="Times New Roman" w:hAnsi="Times New Roman" w:eastAsia="方正仿宋_GBK" w:cs="Times New Roman"/>
          <w:color w:val="000000"/>
          <w:sz w:val="32"/>
          <w:szCs w:val="32"/>
          <w:highlight w:val="none"/>
          <w:lang w:val="en-US" w:eastAsia="zh-CN"/>
        </w:rPr>
        <w:t>后</w:t>
      </w:r>
      <w:r>
        <w:rPr>
          <w:rFonts w:hint="default" w:ascii="Times New Roman" w:hAnsi="Times New Roman" w:eastAsia="方正仿宋_GBK" w:cs="Times New Roman"/>
          <w:color w:val="auto"/>
          <w:kern w:val="0"/>
          <w:sz w:val="32"/>
          <w:szCs w:val="32"/>
          <w:highlight w:val="none"/>
          <w:lang w:val="en-US" w:eastAsia="zh-CN" w:bidi="ar"/>
        </w:rPr>
        <w:t>在市商务局门户网站发布公示，公示期共7天。公示期有异议的项目，市商务局将组织核查，情况属实的，取消该企业财政资金支持资格。</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四、资金拨付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经公示无异议的，市商务局将资金分配方案上报市政府审定；根据市政府审定结果，市商务局向市财政局提出资金明细分配计划，由市财政局拨付资金；县区财政部门收到市拨付的资金后，按有关规定及时、足额拨付资金到相关企业。</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2.“平台类”项目申报流程</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根据省商务厅的文件要求，由符合条件的省一级保险公司向省商务厅提交书面申报材料，请我市各保险公司与省一级保险公司做好对接沟通。</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逾期未提供或提供材料的真实性、完整性存在问题而导致无法享受财政资助的，责任由各单位自行承担。</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楷体" w:hAnsi="楷体" w:eastAsia="楷体" w:cs="楷体"/>
          <w:b/>
          <w:bCs/>
          <w:color w:val="auto"/>
          <w:kern w:val="2"/>
          <w:sz w:val="32"/>
          <w:szCs w:val="32"/>
          <w:lang w:val="en-US" w:eastAsia="zh-CN" w:bidi="ar-SA"/>
        </w:rPr>
      </w:pPr>
      <w:r>
        <w:rPr>
          <w:rFonts w:hint="default" w:ascii="楷体" w:hAnsi="楷体" w:eastAsia="楷体" w:cs="楷体"/>
          <w:b/>
          <w:bCs/>
          <w:color w:val="auto"/>
          <w:kern w:val="2"/>
          <w:sz w:val="32"/>
          <w:szCs w:val="32"/>
          <w:lang w:val="en-US" w:eastAsia="zh-CN" w:bidi="ar-SA"/>
        </w:rPr>
        <w:t>（二）申报材料</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1.“企业类”申报材料</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40"/>
        <w:jc w:val="both"/>
        <w:textAlignment w:val="auto"/>
        <w:rPr>
          <w:rFonts w:hint="default" w:ascii="Times New Roman" w:hAnsi="Times New Roman" w:eastAsia="方正仿宋_GBK" w:cs="Times New Roman"/>
          <w:color w:val="auto"/>
          <w:kern w:val="2"/>
          <w:sz w:val="32"/>
          <w:szCs w:val="32"/>
          <w:lang w:val="en-US" w:eastAsia="zh-CN" w:bidi="ar-SA"/>
        </w:rPr>
      </w:pPr>
      <w:bookmarkStart w:id="1" w:name="OLE_LINK3"/>
      <w:r>
        <w:rPr>
          <w:rFonts w:hint="default" w:ascii="Times New Roman" w:hAnsi="Times New Roman" w:eastAsia="方正仿宋_GBK" w:cs="Times New Roman"/>
          <w:color w:val="auto"/>
          <w:kern w:val="2"/>
          <w:sz w:val="32"/>
          <w:szCs w:val="32"/>
          <w:lang w:val="en-US" w:eastAsia="zh-CN" w:bidi="ar-SA"/>
        </w:rPr>
        <w:t>（1）“企业类”项目专项资金申请表（附件4，盖公章）；</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（2）企业营业执照（复印件，盖公章）；</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（3）保险费全额发票（复印件）；</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（4）保险单明细表（复印件）；</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（5）投保企业付款银行水单或流水清单（复印件）；</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sz w:val="32"/>
          <w:szCs w:val="32"/>
          <w:highlight w:val="none"/>
          <w:lang w:val="en-US" w:eastAsia="zh-CN"/>
        </w:rPr>
        <w:t>信用中国（广东惠州）的企业信用报告（登录https://xyhz.huizhou.gov.cn注册认证后下载打印）</w:t>
      </w:r>
      <w:r>
        <w:rPr>
          <w:rFonts w:hint="default" w:ascii="Times New Roman" w:hAnsi="Times New Roman" w:eastAsia="方正仿宋_GBK" w:cs="Times New Roman"/>
          <w:color w:val="auto"/>
          <w:kern w:val="2"/>
          <w:sz w:val="32"/>
          <w:szCs w:val="32"/>
          <w:lang w:val="en-US" w:eastAsia="zh-CN" w:bidi="ar-SA"/>
        </w:rPr>
        <w:t>。</w:t>
      </w:r>
    </w:p>
    <w:bookmarkEnd w:id="1"/>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方正仿宋_GBK" w:cs="Times New Roman"/>
          <w:color w:val="auto"/>
          <w:sz w:val="32"/>
          <w:szCs w:val="32"/>
          <w:lang w:val="en-US" w:eastAsia="zh-CN"/>
        </w:rPr>
        <w:t>以上申报材料为一式三套，须分别带封面（见附件6）且统</w:t>
      </w:r>
      <w:r>
        <w:rPr>
          <w:rFonts w:hint="default" w:ascii="Times New Roman" w:hAnsi="Times New Roman" w:eastAsia="方正仿宋_GBK" w:cs="Times New Roman"/>
          <w:color w:val="auto"/>
          <w:sz w:val="32"/>
          <w:szCs w:val="32"/>
          <w:highlight w:val="none"/>
          <w:lang w:val="en-US" w:eastAsia="zh-CN"/>
        </w:rPr>
        <w:t>一为A4纸，按申报材料顺序依次摆放装订成册。</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2.“平台类”申报材料</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（1）“平台类”项目专项资金申请表（附件3，盖公章）；</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（2）保险公司营业执照（复印件，盖公章）；</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（3）“单一窗口”投保企业有效保单明细和存续情况清单（含电子版，存续情况查询时间应不早于2026年1月5日）；</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（4）保险费发票明细清单（含电子版）；</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（5）相关应收款台账清单（含电子版）；</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（6）独立第三方会计师事务所专项审计报告（复印件）；</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（7）国家企业信用信息公示系统查询的“企业信用信息公示报告”或“信用中国”及其子平台查询的“信用记录报告”</w:t>
      </w:r>
      <w:r>
        <w:rPr>
          <w:rFonts w:hint="eastAsia" w:eastAsia="方正仿宋_GBK" w:cs="Times New Roman"/>
          <w:color w:val="auto"/>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64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（8）评审过程中需补充的其他佐证材料。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五、资金监督和检查</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firstLine="719" w:firstLineChars="0"/>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各县（区）商务主管部门、各有关保险公司和企业对申报项目及材料真实性等负责，规范专项资金监督管理，自觉接受对资金使用情况的审计、监督、检查和绩效评价。项目资金要确保专款专用，任何单位（企业）不得虚报、挤占、截留、挪用专项资金，对违反规定的单位，严格按有关规定处理。</w:t>
      </w:r>
    </w:p>
    <w:p>
      <w:pPr>
        <w:pStyle w:val="2"/>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附件：</w:t>
      </w:r>
      <w:r>
        <w:rPr>
          <w:rFonts w:hint="default" w:ascii="Times New Roman" w:hAnsi="Times New Roman" w:eastAsia="方正仿宋_GBK" w:cs="Times New Roman"/>
          <w:color w:val="auto"/>
          <w:sz w:val="32"/>
          <w:szCs w:val="32"/>
          <w:lang w:val="en-US" w:eastAsia="zh-CN"/>
        </w:rPr>
        <w:t>1.项目申报注意事项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2.202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业务年度省级出口信用保险“企业类”项目专项资金申请汇总表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3. </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lang w:val="en-US" w:eastAsia="zh-CN"/>
        </w:rPr>
        <w:t>县（区）专项资金申报、初审情况表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4.“企业类”项目专项资金申请表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5.“平台类”项目专项资金申请表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6.封面</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附件</w:t>
      </w:r>
      <w:r>
        <w:rPr>
          <w:rFonts w:hint="default" w:ascii="Times New Roman" w:hAnsi="Times New Roman" w:eastAsia="仿宋" w:cs="Times New Roman"/>
          <w:b w:val="0"/>
          <w:bCs w:val="0"/>
          <w:sz w:val="32"/>
          <w:szCs w:val="32"/>
          <w:lang w:val="en-US" w:eastAsia="zh-CN"/>
        </w:rPr>
        <w:t>1</w:t>
      </w:r>
    </w:p>
    <w:p>
      <w:pPr>
        <w:spacing w:line="600" w:lineRule="exact"/>
        <w:jc w:val="center"/>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lang w:eastAsia="zh-CN"/>
        </w:rPr>
        <w:t>项目申报注意事项</w:t>
      </w:r>
    </w:p>
    <w:p>
      <w:pPr>
        <w:numPr>
          <w:ilvl w:val="0"/>
          <w:numId w:val="0"/>
        </w:numPr>
        <w:spacing w:line="600" w:lineRule="exact"/>
        <w:ind w:firstLine="0" w:firstLineChars="0"/>
        <w:rPr>
          <w:rFonts w:hint="default" w:ascii="Times New Roman" w:hAnsi="Times New Roman" w:eastAsia="仿宋" w:cs="Times New Roman"/>
          <w:color w:val="auto"/>
          <w:sz w:val="32"/>
          <w:szCs w:val="32"/>
        </w:rPr>
      </w:pPr>
    </w:p>
    <w:p>
      <w:pPr>
        <w:numPr>
          <w:ilvl w:val="0"/>
          <w:numId w:val="1"/>
        </w:numPr>
        <w:spacing w:line="60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短期出口信用保险</w:t>
      </w:r>
      <w:r>
        <w:rPr>
          <w:rFonts w:hint="eastAsia" w:ascii="黑体" w:hAnsi="黑体" w:eastAsia="黑体" w:cs="黑体"/>
          <w:b w:val="0"/>
          <w:bCs w:val="0"/>
          <w:color w:val="auto"/>
          <w:sz w:val="32"/>
          <w:szCs w:val="32"/>
          <w:lang w:val="en-US" w:eastAsia="zh-CN"/>
        </w:rPr>
        <w:t>业务相关</w:t>
      </w:r>
      <w:r>
        <w:rPr>
          <w:rFonts w:hint="eastAsia" w:ascii="黑体" w:hAnsi="黑体" w:eastAsia="黑体" w:cs="黑体"/>
          <w:b w:val="0"/>
          <w:bCs w:val="0"/>
          <w:color w:val="auto"/>
          <w:sz w:val="32"/>
          <w:szCs w:val="32"/>
        </w:rPr>
        <w:t>定义</w:t>
      </w:r>
    </w:p>
    <w:p>
      <w:pPr>
        <w:adjustRightInd w:val="0"/>
        <w:snapToGrid w:val="0"/>
        <w:spacing w:beforeLines="0" w:afterLines="0" w:line="600" w:lineRule="exact"/>
        <w:ind w:firstLine="64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根据《中国国家金融监督管理总局会办公厅关于支持短期出口信用保险业务发展有关事项的通知》（银保监办便函〔2022〕785号），短期出口信用保险是指保障信用期间在1年以内，最长不超过2年的出口信用保险业务；有条件、有意愿的保险公司可以依法开展短期出口信用保险业务；保险公司首次开展短期出口信用保险业务的，应在开办之日起10个工作日内，将有关情况报告法人机构对口监管的机构监管部门或银保监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
        </w:rPr>
      </w:pPr>
      <w:r>
        <w:rPr>
          <w:rFonts w:hint="default" w:ascii="Times New Roman" w:hAnsi="Times New Roman" w:eastAsia="方正仿宋_GBK" w:cs="Times New Roman"/>
          <w:color w:val="auto"/>
          <w:kern w:val="2"/>
          <w:sz w:val="32"/>
          <w:szCs w:val="32"/>
          <w:lang w:val="en-US" w:eastAsia="zh-CN" w:bidi="ar-SA"/>
        </w:rPr>
        <w:t>本通知中，“企业类”是指“普惠平台类”以外的短期出口信用保险产品，</w:t>
      </w:r>
      <w:r>
        <w:rPr>
          <w:rFonts w:hint="default" w:ascii="Times New Roman" w:hAnsi="Times New Roman" w:eastAsia="方正仿宋_GBK" w:cs="Times New Roman"/>
          <w:color w:val="auto"/>
          <w:sz w:val="32"/>
          <w:szCs w:val="32"/>
          <w:highlight w:val="none"/>
          <w:lang w:val="en-US" w:eastAsia="zh-CN"/>
        </w:rPr>
        <w:t>包括中国信保的“短期出口信用保险综合保险”</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“短期出口信用保险中小企业综合保险”</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“短期出口信用保险中小企业综合保险（小微企业适用）”</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“短期出口信用保险特定合同保险A款”</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“短期出口信用保险特定合同保险B款”</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“短期出口信用保险特定合同保险C款”</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“跨境电商出口海外仓销售风险保险”</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“跨境电商出口政治</w:t>
      </w:r>
      <w:r>
        <w:rPr>
          <w:rFonts w:hint="eastAsia"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lang w:val="en-US" w:eastAsia="zh-CN"/>
        </w:rPr>
        <w:t>风险保险”</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“跨境电商出口平台支付风险保险”，中国人保的“短期出口贸易信用保险”</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“中小企业短期出口贸易信用保险”</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短期出口特定合同信用保险”，太平洋保险的“出口贸易信用保险（短期）”，平安产险的“出口贸易短期信用保险”，大地保险的“短期出口贸易信用保险”，中银保险的“出口贸易短期信用保险”，京东安联财产保险有限公司的“出口贸易信用保险（短期B款）”，太平财产保险有限公司的“短期出口贸易信用保险”等。</w:t>
      </w:r>
      <w:r>
        <w:rPr>
          <w:rFonts w:hint="default" w:ascii="Times New Roman" w:hAnsi="Times New Roman" w:eastAsia="方正仿宋_GBK" w:cs="Times New Roman"/>
          <w:color w:val="auto"/>
          <w:sz w:val="32"/>
          <w:szCs w:val="32"/>
          <w:highlight w:val="none"/>
          <w:lang w:val="en-US" w:eastAsia="zh"/>
        </w:rPr>
        <w:t>“普惠平台类”保险产品是指在上年度政策支持的出口额1000万美元（含）</w:t>
      </w:r>
      <w:r>
        <w:rPr>
          <w:rFonts w:hint="eastAsia" w:eastAsia="方正仿宋_GBK" w:cs="Times New Roman"/>
          <w:color w:val="auto"/>
          <w:sz w:val="32"/>
          <w:szCs w:val="32"/>
          <w:highlight w:val="none"/>
          <w:lang w:val="en-US" w:eastAsia="zh-CN"/>
        </w:rPr>
        <w:t>以下</w:t>
      </w:r>
      <w:r>
        <w:rPr>
          <w:rFonts w:hint="default" w:ascii="Times New Roman" w:hAnsi="Times New Roman" w:eastAsia="方正仿宋_GBK" w:cs="Times New Roman"/>
          <w:color w:val="auto"/>
          <w:sz w:val="32"/>
          <w:szCs w:val="32"/>
          <w:highlight w:val="none"/>
          <w:lang w:val="en-US" w:eastAsia="zh"/>
        </w:rPr>
        <w:t>的中小企业提供支持的短期出口信用保险产品，包括中国信保“短期出口信用保险中小企业综合保险（小微企业适用）”、中国人保“小微企业短期出口贸易信用保险”、太平洋保险“小微企业出口信用保险”等，上述产品需通过“单一窗口”投保/续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
        </w:rPr>
      </w:pPr>
      <w:r>
        <w:rPr>
          <w:rFonts w:hint="default" w:ascii="Times New Roman" w:hAnsi="Times New Roman" w:eastAsia="方正仿宋_GBK" w:cs="Times New Roman"/>
          <w:color w:val="auto"/>
          <w:sz w:val="32"/>
          <w:szCs w:val="32"/>
          <w:highlight w:val="none"/>
          <w:lang w:val="en-US" w:eastAsia="zh"/>
        </w:rPr>
        <w:t>对于在2025年度首次开展短期出口信用保险业务，按要求向监管机构报备的保险公司，应在2025年12月31日前将报备情况，“一般企业类”、“普惠平台类”保险产品介绍、保险方案报广东省商务厅备案。</w:t>
      </w:r>
    </w:p>
    <w:p>
      <w:pPr>
        <w:numPr>
          <w:ilvl w:val="0"/>
          <w:numId w:val="1"/>
        </w:numPr>
        <w:spacing w:line="600" w:lineRule="exact"/>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“企业类”项目注意事项</w:t>
      </w:r>
    </w:p>
    <w:p>
      <w:pPr>
        <w:keepNext w:val="0"/>
        <w:keepLines w:val="0"/>
        <w:pageBreakBefore w:val="0"/>
        <w:widowControl w:val="0"/>
        <w:numPr>
          <w:ilvl w:val="0"/>
          <w:numId w:val="2"/>
        </w:numPr>
        <w:tabs>
          <w:tab w:val="left" w:pos="540"/>
        </w:tabs>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发票方面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
        </w:rPr>
      </w:pPr>
      <w:r>
        <w:rPr>
          <w:rFonts w:hint="default" w:ascii="Times New Roman" w:hAnsi="Times New Roman" w:eastAsia="方正仿宋_GBK" w:cs="Times New Roman"/>
          <w:color w:val="auto"/>
          <w:sz w:val="32"/>
          <w:szCs w:val="32"/>
          <w:highlight w:val="none"/>
          <w:lang w:val="en-US" w:eastAsia="zh"/>
        </w:rPr>
        <w:t xml:space="preserve"> 1.保险费发票应在2025年1月至12月的规定申报期内，要剔除申报期外发票，“普惠平台类”项目因企业注销或搬迁而需调整重开的发票除外。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
        </w:rPr>
      </w:pPr>
      <w:r>
        <w:rPr>
          <w:rFonts w:hint="default" w:ascii="Times New Roman" w:hAnsi="Times New Roman" w:eastAsia="方正仿宋_GBK" w:cs="Times New Roman"/>
          <w:color w:val="auto"/>
          <w:sz w:val="32"/>
          <w:szCs w:val="32"/>
          <w:highlight w:val="none"/>
          <w:lang w:val="en-US" w:eastAsia="zh"/>
        </w:rPr>
        <w:t>2.保险费发票复印件上关键信息（含发票开具日</w:t>
      </w:r>
      <w:r>
        <w:rPr>
          <w:rFonts w:hint="default" w:ascii="Times New Roman" w:hAnsi="Times New Roman" w:eastAsia="方正仿宋_GBK" w:cs="Times New Roman"/>
          <w:color w:val="auto"/>
          <w:sz w:val="32"/>
          <w:szCs w:val="32"/>
          <w:lang w:val="en-US" w:eastAsia="zh"/>
        </w:rPr>
        <w:t>期、发票金额、发票抬头名称）应清晰完整，如无法辨认的，需用签字笔注明清楚，并加盖公章。</w:t>
      </w:r>
    </w:p>
    <w:p>
      <w:pPr>
        <w:keepNext w:val="0"/>
        <w:keepLines w:val="0"/>
        <w:pageBreakBefore w:val="0"/>
        <w:widowControl w:val="0"/>
        <w:numPr>
          <w:ilvl w:val="0"/>
          <w:numId w:val="2"/>
        </w:numPr>
        <w:tabs>
          <w:tab w:val="left" w:pos="540"/>
        </w:tabs>
        <w:kinsoku/>
        <w:wordWrap/>
        <w:overflowPunct/>
        <w:topLinePunct w:val="0"/>
        <w:autoSpaceDE/>
        <w:autoSpaceDN/>
        <w:bidi w:val="0"/>
        <w:adjustRightInd/>
        <w:snapToGrid/>
        <w:spacing w:line="600" w:lineRule="exact"/>
        <w:ind w:firstLine="643" w:firstLineChars="200"/>
        <w:jc w:val="both"/>
        <w:textAlignment w:val="auto"/>
        <w:rPr>
          <w:rFonts w:hint="default" w:ascii="楷体" w:hAnsi="楷体" w:eastAsia="楷体" w:cs="楷体"/>
          <w:b/>
          <w:bCs/>
          <w:color w:val="auto"/>
          <w:sz w:val="32"/>
          <w:szCs w:val="32"/>
          <w:lang w:val="en-US" w:eastAsia="zh"/>
        </w:rPr>
      </w:pPr>
      <w:r>
        <w:rPr>
          <w:rFonts w:hint="default" w:ascii="楷体" w:hAnsi="楷体" w:eastAsia="楷体" w:cs="楷体"/>
          <w:b/>
          <w:bCs/>
          <w:color w:val="auto"/>
          <w:sz w:val="32"/>
          <w:szCs w:val="32"/>
          <w:lang w:val="en-US" w:eastAsia="zh"/>
        </w:rPr>
        <w:t>重复投保情况</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
        </w:rPr>
      </w:pPr>
      <w:r>
        <w:rPr>
          <w:rFonts w:hint="default" w:ascii="Times New Roman" w:hAnsi="Times New Roman" w:eastAsia="方正仿宋_GBK" w:cs="Times New Roman"/>
          <w:color w:val="auto"/>
          <w:sz w:val="32"/>
          <w:szCs w:val="32"/>
          <w:lang w:val="en-US" w:eastAsia="zh"/>
        </w:rPr>
        <w:t>对企业就同一保险标的重复投保并同时申报资金的，取消企业当期该保险标的资助资格。同一企业</w:t>
      </w:r>
      <w:r>
        <w:rPr>
          <w:rFonts w:hint="eastAsia" w:ascii="Times New Roman" w:hAnsi="Times New Roman" w:eastAsia="方正仿宋_GBK" w:cs="Times New Roman"/>
          <w:color w:val="auto"/>
          <w:sz w:val="32"/>
          <w:szCs w:val="32"/>
          <w:lang w:val="en-US" w:eastAsia="zh"/>
        </w:rPr>
        <w:t>存在两条及以上投保申请明细，若为不同标的，在提供非同一保险标的（如出运货物发票等）相关证明后，均可申报。</w:t>
      </w:r>
    </w:p>
    <w:p>
      <w:pPr>
        <w:keepNext w:val="0"/>
        <w:keepLines w:val="0"/>
        <w:pageBreakBefore w:val="0"/>
        <w:widowControl w:val="0"/>
        <w:numPr>
          <w:ilvl w:val="0"/>
          <w:numId w:val="2"/>
        </w:numPr>
        <w:tabs>
          <w:tab w:val="left" w:pos="540"/>
        </w:tabs>
        <w:kinsoku/>
        <w:wordWrap/>
        <w:overflowPunct/>
        <w:topLinePunct w:val="0"/>
        <w:autoSpaceDE/>
        <w:autoSpaceDN/>
        <w:bidi w:val="0"/>
        <w:adjustRightInd/>
        <w:snapToGrid/>
        <w:spacing w:line="600" w:lineRule="exact"/>
        <w:ind w:firstLine="643" w:firstLineChars="200"/>
        <w:jc w:val="both"/>
        <w:textAlignment w:val="auto"/>
        <w:rPr>
          <w:rFonts w:hint="default" w:ascii="楷体" w:hAnsi="楷体" w:eastAsia="楷体" w:cs="楷体"/>
          <w:b/>
          <w:bCs/>
          <w:color w:val="auto"/>
          <w:sz w:val="32"/>
          <w:szCs w:val="32"/>
          <w:lang w:val="en-US" w:eastAsia="zh"/>
        </w:rPr>
      </w:pPr>
      <w:r>
        <w:rPr>
          <w:rFonts w:hint="default" w:ascii="楷体" w:hAnsi="楷体" w:eastAsia="楷体" w:cs="楷体"/>
          <w:b/>
          <w:bCs/>
          <w:color w:val="auto"/>
          <w:sz w:val="32"/>
          <w:szCs w:val="32"/>
          <w:lang w:val="en-US" w:eastAsia="zh"/>
        </w:rPr>
        <w:t>核实投保企业存续情况</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
        </w:rPr>
      </w:pPr>
      <w:r>
        <w:rPr>
          <w:rFonts w:hint="default" w:ascii="Times New Roman" w:hAnsi="Times New Roman" w:eastAsia="方正仿宋_GBK" w:cs="Times New Roman"/>
          <w:color w:val="auto"/>
          <w:sz w:val="32"/>
          <w:szCs w:val="32"/>
          <w:lang w:val="en-US" w:eastAsia="zh"/>
        </w:rPr>
        <w:t xml:space="preserve"> 在签订保险单时，保险公司务必严格核实投保企业存续情况。对于保险单生效日后、提交申请材料前已经注销（保险单年度失效日在企业注销日后）的企业，由于保险单生效后保险公司已承担一定期间风险，因此按照保险单生效日至企业注销日的保险单存续期间计算资助金额，即：应资助金额=实缴保险费金额÷365×存续期间×资助比例。存续期间按照保险单生效日（含当天）至企业注销日（含当天）的天数计算。因上述原因导致保险费发票修改重开的，以首次发票开具时间为准。</w:t>
      </w:r>
    </w:p>
    <w:p>
      <w:pPr>
        <w:keepNext w:val="0"/>
        <w:keepLines w:val="0"/>
        <w:pageBreakBefore w:val="0"/>
        <w:widowControl w:val="0"/>
        <w:numPr>
          <w:ilvl w:val="0"/>
          <w:numId w:val="2"/>
        </w:numPr>
        <w:tabs>
          <w:tab w:val="left" w:pos="540"/>
        </w:tabs>
        <w:kinsoku/>
        <w:wordWrap/>
        <w:overflowPunct/>
        <w:topLinePunct w:val="0"/>
        <w:autoSpaceDE/>
        <w:autoSpaceDN/>
        <w:bidi w:val="0"/>
        <w:adjustRightInd/>
        <w:snapToGrid/>
        <w:spacing w:line="600" w:lineRule="exact"/>
        <w:ind w:firstLine="643" w:firstLineChars="200"/>
        <w:jc w:val="both"/>
        <w:textAlignment w:val="auto"/>
        <w:rPr>
          <w:rFonts w:hint="default" w:ascii="楷体" w:hAnsi="楷体" w:eastAsia="楷体" w:cs="楷体"/>
          <w:b/>
          <w:bCs/>
          <w:color w:val="auto"/>
          <w:sz w:val="32"/>
          <w:szCs w:val="32"/>
          <w:lang w:val="en-US" w:eastAsia="zh"/>
        </w:rPr>
      </w:pPr>
      <w:r>
        <w:rPr>
          <w:rFonts w:hint="default" w:ascii="楷体" w:hAnsi="楷体" w:eastAsia="楷体" w:cs="楷体"/>
          <w:b/>
          <w:bCs/>
          <w:color w:val="auto"/>
          <w:sz w:val="32"/>
          <w:szCs w:val="32"/>
          <w:lang w:val="en-US" w:eastAsia="zh"/>
        </w:rPr>
        <w:t>审计监督责任</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
        </w:rPr>
      </w:pPr>
      <w:r>
        <w:rPr>
          <w:rFonts w:hint="default" w:ascii="Times New Roman" w:hAnsi="Times New Roman" w:eastAsia="方正仿宋_GBK" w:cs="Times New Roman"/>
          <w:color w:val="auto"/>
          <w:sz w:val="32"/>
          <w:szCs w:val="32"/>
          <w:lang w:val="en-US" w:eastAsia="zh"/>
        </w:rPr>
        <w:t>保险公司应选取独立第三方会计师事务所开展专项审计，确保保单、发票、应收款、企业存续情况等对碰统一。自觉接受有关部门对申报项目及资金使用情况的审计、监督、检查，配合做好资金绩效评价、经验总结等工作。省商务厅对申报单位的经营情况、内部管理、工作流程开展现场核查。</w:t>
      </w:r>
    </w:p>
    <w:p>
      <w:pPr>
        <w:keepNext w:val="0"/>
        <w:keepLines w:val="0"/>
        <w:pageBreakBefore w:val="0"/>
        <w:widowControl w:val="0"/>
        <w:numPr>
          <w:ilvl w:val="0"/>
          <w:numId w:val="2"/>
        </w:numPr>
        <w:tabs>
          <w:tab w:val="left" w:pos="540"/>
        </w:tabs>
        <w:kinsoku/>
        <w:wordWrap/>
        <w:overflowPunct/>
        <w:topLinePunct w:val="0"/>
        <w:autoSpaceDE/>
        <w:autoSpaceDN/>
        <w:bidi w:val="0"/>
        <w:adjustRightInd/>
        <w:snapToGrid/>
        <w:spacing w:line="600" w:lineRule="exact"/>
        <w:ind w:firstLine="643" w:firstLineChars="200"/>
        <w:jc w:val="both"/>
        <w:textAlignment w:val="auto"/>
        <w:rPr>
          <w:rFonts w:hint="default" w:ascii="楷体" w:hAnsi="楷体" w:eastAsia="楷体" w:cs="楷体"/>
          <w:b/>
          <w:bCs/>
          <w:color w:val="auto"/>
          <w:sz w:val="32"/>
          <w:szCs w:val="32"/>
          <w:lang w:val="en-US" w:eastAsia="zh"/>
        </w:rPr>
      </w:pPr>
      <w:r>
        <w:rPr>
          <w:rFonts w:hint="default" w:ascii="楷体" w:hAnsi="楷体" w:eastAsia="楷体" w:cs="楷体"/>
          <w:b/>
          <w:bCs/>
          <w:color w:val="auto"/>
          <w:sz w:val="32"/>
          <w:szCs w:val="32"/>
          <w:lang w:val="en-US" w:eastAsia="zh"/>
        </w:rPr>
        <w:t>保险责任</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
        </w:rPr>
      </w:pPr>
      <w:r>
        <w:rPr>
          <w:rFonts w:hint="default" w:ascii="Times New Roman" w:hAnsi="Times New Roman" w:eastAsia="方正仿宋_GBK" w:cs="Times New Roman"/>
          <w:color w:val="auto"/>
          <w:sz w:val="32"/>
          <w:szCs w:val="32"/>
          <w:lang w:val="en-US" w:eastAsia="zh"/>
        </w:rPr>
        <w:t>为保障投保“普惠平台类”保险产品的企业权益，符合投保“普惠平台类”保险产品条件的企业确认投保意向、且经保险公司审核同意的，在“平台类”项目支持资金到账前，保险公司可以向“普惠平台类”企业出具并生效保险单。保险公司自保险单约定的保险单生效日起承担保险责任，“平台类”项目支持资金到账前发生保险责任损失的，保险公司按照内部相关规定对案件进行处理，并承担保险合同义务。</w:t>
      </w:r>
    </w:p>
    <w:p>
      <w:pPr>
        <w:keepNext w:val="0"/>
        <w:keepLines w:val="0"/>
        <w:pageBreakBefore w:val="0"/>
        <w:widowControl w:val="0"/>
        <w:numPr>
          <w:ilvl w:val="0"/>
          <w:numId w:val="2"/>
        </w:numPr>
        <w:tabs>
          <w:tab w:val="left" w:pos="540"/>
        </w:tabs>
        <w:kinsoku/>
        <w:wordWrap/>
        <w:overflowPunct/>
        <w:topLinePunct w:val="0"/>
        <w:autoSpaceDE/>
        <w:autoSpaceDN/>
        <w:bidi w:val="0"/>
        <w:adjustRightInd/>
        <w:snapToGrid/>
        <w:spacing w:line="600" w:lineRule="exact"/>
        <w:ind w:firstLine="643" w:firstLineChars="200"/>
        <w:jc w:val="both"/>
        <w:textAlignment w:val="auto"/>
        <w:rPr>
          <w:rFonts w:hint="default" w:ascii="楷体" w:hAnsi="楷体" w:eastAsia="楷体" w:cs="楷体"/>
          <w:b/>
          <w:bCs/>
          <w:color w:val="auto"/>
          <w:sz w:val="32"/>
          <w:szCs w:val="32"/>
          <w:lang w:val="en-US" w:eastAsia="zh"/>
        </w:rPr>
      </w:pPr>
      <w:r>
        <w:rPr>
          <w:rFonts w:hint="default" w:ascii="楷体" w:hAnsi="楷体" w:eastAsia="楷体" w:cs="楷体"/>
          <w:b/>
          <w:bCs/>
          <w:color w:val="auto"/>
          <w:sz w:val="32"/>
          <w:szCs w:val="32"/>
          <w:lang w:val="en-US" w:eastAsia="zh"/>
        </w:rPr>
        <w:t>汇率</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sz w:val="32"/>
          <w:szCs w:val="32"/>
          <w:lang w:val="en-US" w:eastAsia="zh"/>
        </w:rPr>
      </w:pPr>
      <w:r>
        <w:rPr>
          <w:rFonts w:hint="eastAsia" w:ascii="Times New Roman" w:hAnsi="Times New Roman" w:eastAsia="方正仿宋_GBK" w:cs="方正仿宋_GBK"/>
          <w:color w:val="auto"/>
          <w:sz w:val="32"/>
          <w:szCs w:val="32"/>
          <w:lang w:val="en-US" w:eastAsia="zh"/>
        </w:rPr>
        <w:t>折算汇率以2025年6月26日当天中国银行的美元中间价折算为美元金额，主要用于换算“平台类”项目资助额上限。</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lang w:val="en-US" w:eastAsia="zh"/>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600" w:lineRule="exact"/>
        <w:jc w:val="both"/>
        <w:textAlignment w:val="auto"/>
        <w:rPr>
          <w:rFonts w:hint="default" w:eastAsia="方正仿宋_GBK" w:cs="仿宋"/>
          <w:color w:val="auto"/>
          <w:sz w:val="32"/>
          <w:szCs w:val="32"/>
          <w:lang w:val="en-US" w:eastAsia="zh-CN"/>
        </w:rPr>
      </w:pPr>
      <w:r>
        <w:rPr>
          <w:rFonts w:hint="default" w:eastAsia="方正仿宋_GBK" w:cs="仿宋"/>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2025业务年度省级出口信用保险“企业类”项目专项资金申请汇总表</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600" w:lineRule="exact"/>
        <w:ind w:firstLine="640" w:firstLineChars="200"/>
        <w:jc w:val="center"/>
        <w:textAlignment w:val="auto"/>
        <w:rPr>
          <w:rFonts w:hint="default" w:eastAsia="方正仿宋_GBK" w:cs="仿宋"/>
          <w:color w:val="auto"/>
          <w:sz w:val="32"/>
          <w:szCs w:val="32"/>
          <w:lang w:val="en-US" w:eastAsia="zh-CN"/>
        </w:rPr>
      </w:pPr>
      <w:r>
        <w:rPr>
          <w:rFonts w:hint="default" w:eastAsia="方正仿宋_GBK" w:cs="仿宋"/>
          <w:color w:val="auto"/>
          <w:sz w:val="32"/>
          <w:szCs w:val="32"/>
          <w:lang w:val="en-US" w:eastAsia="zh-CN"/>
        </w:rPr>
        <w:t>结算时间：  202</w:t>
      </w:r>
      <w:r>
        <w:rPr>
          <w:rFonts w:hint="eastAsia" w:eastAsia="方正仿宋_GBK" w:cs="仿宋"/>
          <w:color w:val="auto"/>
          <w:sz w:val="32"/>
          <w:szCs w:val="32"/>
          <w:lang w:val="en-US" w:eastAsia="zh-CN"/>
        </w:rPr>
        <w:t>5</w:t>
      </w:r>
      <w:r>
        <w:rPr>
          <w:rFonts w:hint="default" w:eastAsia="方正仿宋_GBK" w:cs="仿宋"/>
          <w:color w:val="auto"/>
          <w:sz w:val="32"/>
          <w:szCs w:val="32"/>
          <w:lang w:val="en-US" w:eastAsia="zh-CN"/>
        </w:rPr>
        <w:t>年1月至</w:t>
      </w:r>
      <w:r>
        <w:rPr>
          <w:rFonts w:hint="eastAsia" w:eastAsia="方正仿宋_GBK" w:cs="仿宋"/>
          <w:color w:val="auto"/>
          <w:sz w:val="32"/>
          <w:szCs w:val="32"/>
          <w:lang w:val="en-US" w:eastAsia="zh-CN"/>
        </w:rPr>
        <w:t>12</w:t>
      </w:r>
      <w:r>
        <w:rPr>
          <w:rFonts w:hint="default" w:eastAsia="方正仿宋_GBK" w:cs="仿宋"/>
          <w:color w:val="auto"/>
          <w:sz w:val="32"/>
          <w:szCs w:val="32"/>
          <w:lang w:val="en-US" w:eastAsia="zh-CN"/>
        </w:rPr>
        <w:t>月</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600" w:lineRule="exact"/>
        <w:jc w:val="both"/>
        <w:textAlignment w:val="auto"/>
        <w:rPr>
          <w:rFonts w:hint="eastAsia" w:eastAsia="方正仿宋_GBK" w:cs="仿宋"/>
          <w:color w:val="auto"/>
          <w:sz w:val="32"/>
          <w:szCs w:val="32"/>
          <w:lang w:val="en-US" w:eastAsia="zh-CN"/>
        </w:rPr>
      </w:pPr>
      <w:r>
        <w:rPr>
          <w:rFonts w:hint="eastAsia" w:eastAsia="方正仿宋_GBK" w:cs="仿宋"/>
          <w:color w:val="auto"/>
          <w:sz w:val="32"/>
          <w:szCs w:val="32"/>
          <w:lang w:val="en-US" w:eastAsia="zh-CN"/>
        </w:rPr>
        <w:t>填报单位：                                                      填报时间：   年  月  日</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7"/>
        <w:gridCol w:w="872"/>
        <w:gridCol w:w="1338"/>
        <w:gridCol w:w="1811"/>
        <w:gridCol w:w="2248"/>
        <w:gridCol w:w="4"/>
        <w:gridCol w:w="2588"/>
        <w:gridCol w:w="2820"/>
        <w:gridCol w:w="1256"/>
        <w:gridCol w:w="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 w:type="dxa"/>
          <w:trHeight w:val="575" w:hRule="atLeast"/>
          <w:jc w:val="center"/>
        </w:trPr>
        <w:tc>
          <w:tcPr>
            <w:tcW w:w="1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序号</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所属</w:t>
            </w:r>
          </w:p>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cs="Times New Roman"/>
                <w:b/>
                <w:i w:val="0"/>
                <w:color w:val="000000"/>
                <w:kern w:val="0"/>
                <w:sz w:val="21"/>
                <w:szCs w:val="21"/>
                <w:u w:val="none"/>
                <w:lang w:val="en-US" w:eastAsia="zh-CN" w:bidi="ar"/>
              </w:rPr>
              <w:t>县区</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sz w:val="21"/>
                <w:szCs w:val="21"/>
                <w:u w:val="none"/>
                <w:lang w:val="en-US" w:eastAsia="zh-CN"/>
              </w:rPr>
            </w:pPr>
            <w:r>
              <w:rPr>
                <w:rFonts w:hint="default" w:ascii="Times New Roman" w:hAnsi="Times New Roman" w:cs="Times New Roman"/>
                <w:b/>
                <w:i w:val="0"/>
                <w:color w:val="000000"/>
                <w:sz w:val="21"/>
                <w:szCs w:val="21"/>
                <w:u w:val="none"/>
                <w:lang w:val="en-US" w:eastAsia="zh-CN"/>
              </w:rPr>
              <w:t>海关编码</w:t>
            </w:r>
          </w:p>
        </w:tc>
        <w:tc>
          <w:tcPr>
            <w:tcW w:w="1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企业名称</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cs="Times New Roman"/>
                <w:b/>
                <w:i w:val="0"/>
                <w:color w:val="000000"/>
                <w:kern w:val="0"/>
                <w:sz w:val="21"/>
                <w:szCs w:val="21"/>
                <w:u w:val="none"/>
                <w:lang w:val="en-US" w:eastAsia="zh-CN" w:bidi="ar"/>
              </w:rPr>
            </w:pPr>
            <w:r>
              <w:rPr>
                <w:rFonts w:hint="default" w:ascii="Times New Roman" w:hAnsi="Times New Roman" w:cs="Times New Roman"/>
                <w:b/>
                <w:i w:val="0"/>
                <w:color w:val="000000"/>
                <w:kern w:val="0"/>
                <w:sz w:val="21"/>
                <w:szCs w:val="21"/>
                <w:u w:val="none"/>
                <w:lang w:val="en-US" w:eastAsia="zh-CN" w:bidi="ar"/>
              </w:rPr>
              <w:t>保单编号</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cs="Times New Roman"/>
                <w:b/>
                <w:i w:val="0"/>
                <w:color w:val="000000"/>
                <w:kern w:val="0"/>
                <w:sz w:val="21"/>
                <w:szCs w:val="21"/>
                <w:u w:val="none"/>
                <w:lang w:val="en-US" w:eastAsia="zh-CN" w:bidi="ar"/>
              </w:rPr>
            </w:pPr>
            <w:r>
              <w:rPr>
                <w:rFonts w:hint="default" w:ascii="Times New Roman" w:hAnsi="Times New Roman" w:cs="Times New Roman"/>
                <w:b/>
                <w:i w:val="0"/>
                <w:color w:val="000000"/>
                <w:kern w:val="0"/>
                <w:sz w:val="21"/>
                <w:szCs w:val="21"/>
                <w:u w:val="none"/>
                <w:lang w:val="en-US" w:eastAsia="zh-CN" w:bidi="ar"/>
              </w:rPr>
              <w:t>实缴保费</w:t>
            </w:r>
            <w:r>
              <w:rPr>
                <w:rFonts w:hint="eastAsia" w:cs="Times New Roman"/>
                <w:b/>
                <w:i w:val="0"/>
                <w:color w:val="000000"/>
                <w:kern w:val="0"/>
                <w:sz w:val="21"/>
                <w:szCs w:val="21"/>
                <w:u w:val="none"/>
                <w:lang w:val="en-US" w:eastAsia="zh-CN" w:bidi="ar"/>
              </w:rPr>
              <w:t>金额</w:t>
            </w:r>
            <w:r>
              <w:rPr>
                <w:rFonts w:hint="default" w:ascii="Times New Roman" w:hAnsi="Times New Roman" w:eastAsia="宋体" w:cs="Times New Roman"/>
                <w:b/>
                <w:i w:val="0"/>
                <w:color w:val="000000"/>
                <w:kern w:val="0"/>
                <w:sz w:val="21"/>
                <w:szCs w:val="21"/>
                <w:u w:val="none"/>
                <w:lang w:val="en-US" w:eastAsia="zh-CN" w:bidi="ar"/>
              </w:rPr>
              <w:t>(</w:t>
            </w:r>
            <w:r>
              <w:rPr>
                <w:rFonts w:hint="default" w:ascii="Times New Roman" w:hAnsi="Times New Roman" w:cs="Times New Roman"/>
                <w:b/>
                <w:i w:val="0"/>
                <w:color w:val="000000"/>
                <w:kern w:val="0"/>
                <w:sz w:val="21"/>
                <w:szCs w:val="21"/>
                <w:u w:val="none"/>
                <w:lang w:val="en-US" w:eastAsia="zh-CN" w:bidi="ar"/>
              </w:rPr>
              <w:t>人民币元</w:t>
            </w:r>
            <w:r>
              <w:rPr>
                <w:rFonts w:hint="default" w:ascii="Times New Roman" w:hAnsi="Times New Roman" w:eastAsia="宋体" w:cs="Times New Roman"/>
                <w:b/>
                <w:i w:val="0"/>
                <w:color w:val="000000"/>
                <w:kern w:val="0"/>
                <w:sz w:val="21"/>
                <w:szCs w:val="21"/>
                <w:u w:val="none"/>
                <w:lang w:val="en-US" w:eastAsia="zh-CN" w:bidi="ar"/>
              </w:rPr>
              <w:t>)</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申请资助金额（人民币元）</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lang w:val="en-US"/>
              </w:rPr>
            </w:pPr>
            <w:r>
              <w:rPr>
                <w:rFonts w:hint="default"/>
                <w:b/>
                <w:bCs/>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 w:type="dxa"/>
          <w:trHeight w:val="369" w:hRule="atLeast"/>
          <w:jc w:val="center"/>
        </w:trPr>
        <w:tc>
          <w:tcPr>
            <w:tcW w:w="104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lang w:val="en-US" w:eastAsia="zh-CN"/>
              </w:rPr>
            </w:pPr>
            <w:r>
              <w:rPr>
                <w:rFonts w:hint="default" w:ascii="Times New Roman" w:hAnsi="Times New Roman" w:cs="Times New Roman"/>
                <w:b/>
                <w:i w:val="0"/>
                <w:color w:val="000000"/>
                <w:sz w:val="21"/>
                <w:szCs w:val="21"/>
                <w:u w:val="none"/>
                <w:lang w:val="en-US" w:eastAsia="zh-CN"/>
              </w:rPr>
              <w:t>1</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224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 w:type="dxa"/>
          <w:trHeight w:val="335" w:hRule="atLeast"/>
          <w:jc w:val="center"/>
        </w:trPr>
        <w:tc>
          <w:tcPr>
            <w:tcW w:w="104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lang w:val="en-US" w:eastAsia="zh-CN"/>
              </w:rPr>
            </w:pPr>
            <w:r>
              <w:rPr>
                <w:rFonts w:hint="default" w:ascii="Times New Roman" w:hAnsi="Times New Roman" w:cs="Times New Roman"/>
                <w:b/>
                <w:i w:val="0"/>
                <w:color w:val="000000"/>
                <w:sz w:val="21"/>
                <w:szCs w:val="21"/>
                <w:u w:val="none"/>
                <w:lang w:val="en-US" w:eastAsia="zh-CN"/>
              </w:rPr>
              <w:t>2</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224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 w:type="dxa"/>
          <w:trHeight w:val="335" w:hRule="atLeast"/>
          <w:jc w:val="center"/>
        </w:trPr>
        <w:tc>
          <w:tcPr>
            <w:tcW w:w="104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lang w:val="en-US" w:eastAsia="zh-CN"/>
              </w:rPr>
            </w:pPr>
            <w:r>
              <w:rPr>
                <w:rFonts w:hint="default" w:ascii="Times New Roman" w:hAnsi="Times New Roman" w:cs="Times New Roman"/>
                <w:b/>
                <w:i w:val="0"/>
                <w:color w:val="000000"/>
                <w:sz w:val="20"/>
                <w:szCs w:val="20"/>
                <w:u w:val="none"/>
                <w:lang w:val="en-US" w:eastAsia="zh-CN"/>
              </w:rPr>
              <w:t>3</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224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 w:type="dxa"/>
          <w:trHeight w:val="452" w:hRule="atLeast"/>
          <w:jc w:val="center"/>
        </w:trPr>
        <w:tc>
          <w:tcPr>
            <w:tcW w:w="104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lang w:val="en-US" w:eastAsia="zh-CN"/>
              </w:rPr>
            </w:pPr>
            <w:r>
              <w:rPr>
                <w:rFonts w:hint="default" w:ascii="Times New Roman" w:hAnsi="Times New Roman" w:cs="Times New Roman"/>
                <w:b/>
                <w:i w:val="0"/>
                <w:color w:val="000000"/>
                <w:sz w:val="20"/>
                <w:szCs w:val="20"/>
                <w:u w:val="none"/>
                <w:lang w:val="en-US" w:eastAsia="zh-CN"/>
              </w:rPr>
              <w:t>4</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224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jc w:val="center"/>
        </w:trPr>
        <w:tc>
          <w:tcPr>
            <w:tcW w:w="7320"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r>
              <w:rPr>
                <w:rFonts w:hint="default" w:ascii="Times New Roman" w:hAnsi="Times New Roman" w:cs="Times New Roman"/>
                <w:b/>
                <w:i w:val="0"/>
                <w:color w:val="000000"/>
                <w:sz w:val="20"/>
                <w:szCs w:val="20"/>
                <w:u w:val="none"/>
                <w:lang w:val="en-US" w:eastAsia="zh-CN"/>
              </w:rPr>
              <w:t>合计</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宋体" w:hAnsi="宋体" w:eastAsia="宋体" w:cs="宋体"/>
          <w:sz w:val="24"/>
          <w:szCs w:val="24"/>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sz w:val="24"/>
          <w:szCs w:val="24"/>
          <w:lang w:val="en-US" w:eastAsia="zh-CN"/>
        </w:rPr>
        <w:t xml:space="preserve">填表人：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联系电话：</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方正黑体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宋体" w:hAnsi="宋体" w:eastAsia="宋体" w:cs="宋体"/>
          <w:b/>
          <w:bCs/>
          <w:sz w:val="28"/>
          <w:szCs w:val="28"/>
          <w:lang w:val="en-US" w:eastAsia="zh-CN"/>
        </w:rPr>
      </w:pPr>
      <w:r>
        <w:rPr>
          <w:rFonts w:hint="default" w:ascii="Times New Roman" w:hAnsi="Times New Roman" w:eastAsia="方正黑体_GBK" w:cs="Times New Roman"/>
          <w:b w:val="0"/>
          <w:bCs w:val="0"/>
          <w:sz w:val="32"/>
          <w:szCs w:val="32"/>
          <w:lang w:val="en-US" w:eastAsia="zh-CN"/>
        </w:rPr>
        <w:t>附件3</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35"/>
        <w:gridCol w:w="4013"/>
        <w:gridCol w:w="2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520" w:type="dxa"/>
            <w:gridSpan w:val="3"/>
            <w:tcBorders>
              <w:top w:val="nil"/>
              <w:left w:val="nil"/>
              <w:bottom w:val="nil"/>
              <w:right w:val="nil"/>
            </w:tcBorders>
            <w:noWrap w:val="0"/>
            <w:vAlign w:val="center"/>
          </w:tcPr>
          <w:p>
            <w:pPr>
              <w:widowControl/>
              <w:wordWrap/>
              <w:spacing w:line="600" w:lineRule="exact"/>
              <w:jc w:val="center"/>
              <w:textAlignment w:val="center"/>
              <w:rPr>
                <w:rFonts w:hint="eastAsia" w:ascii="宋体" w:hAnsi="宋体" w:eastAsia="宋体" w:cs="宋体"/>
                <w:b/>
                <w:i w:val="0"/>
                <w:color w:val="auto"/>
                <w:sz w:val="36"/>
                <w:szCs w:val="36"/>
                <w:highlight w:val="none"/>
                <w:u w:val="none"/>
              </w:rPr>
            </w:pPr>
            <w:r>
              <w:rPr>
                <w:rFonts w:hint="eastAsia" w:ascii="方正小标宋_GBK" w:hAnsi="方正小标宋_GBK" w:eastAsia="方正小标宋_GBK" w:cs="方正小标宋_GBK"/>
                <w:b w:val="0"/>
                <w:bCs/>
                <w:i w:val="0"/>
                <w:color w:val="auto"/>
                <w:kern w:val="0"/>
                <w:sz w:val="36"/>
                <w:szCs w:val="36"/>
                <w:highlight w:val="none"/>
                <w:u w:val="single"/>
                <w:lang w:val="en-US" w:eastAsia="zh-CN"/>
              </w:rPr>
              <w:t xml:space="preserve">      </w:t>
            </w:r>
            <w:r>
              <w:rPr>
                <w:rFonts w:hint="eastAsia" w:ascii="方正小标宋_GBK" w:hAnsi="方正小标宋_GBK" w:eastAsia="方正小标宋_GBK" w:cs="方正小标宋_GBK"/>
                <w:b w:val="0"/>
                <w:bCs/>
                <w:i w:val="0"/>
                <w:color w:val="auto"/>
                <w:kern w:val="0"/>
                <w:sz w:val="36"/>
                <w:szCs w:val="36"/>
                <w:highlight w:val="none"/>
                <w:u w:val="none"/>
                <w:lang w:val="en-US" w:eastAsia="zh-CN"/>
              </w:rPr>
              <w:t>县（区）专项资金申报、初审情况表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rPr>
              <w:t>专项资金名称</w:t>
            </w:r>
          </w:p>
        </w:tc>
        <w:tc>
          <w:tcPr>
            <w:tcW w:w="4013" w:type="dxa"/>
            <w:tcBorders>
              <w:top w:val="single" w:color="000000" w:sz="4" w:space="0"/>
              <w:left w:val="single" w:color="000000" w:sz="4" w:space="0"/>
              <w:bottom w:val="single" w:color="000000" w:sz="4" w:space="0"/>
              <w:right w:val="nil"/>
            </w:tcBorders>
            <w:noWrap w:val="0"/>
            <w:vAlign w:val="center"/>
          </w:tcPr>
          <w:p>
            <w:pPr>
              <w:widowControl/>
              <w:wordWrap/>
              <w:spacing w:line="5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 xml:space="preserve">专项资金级次：       </w:t>
            </w:r>
            <w:r>
              <w:rPr>
                <w:rFonts w:hint="eastAsia" w:ascii="宋体" w:hAnsi="宋体" w:eastAsia="宋体" w:cs="宋体"/>
                <w:i w:val="0"/>
                <w:color w:val="auto"/>
                <w:kern w:val="0"/>
                <w:sz w:val="20"/>
                <w:szCs w:val="20"/>
                <w:highlight w:val="none"/>
                <w:u w:val="none"/>
                <w:lang w:val="en-US" w:eastAsia="zh-CN"/>
              </w:rPr>
              <w:br w:type="textWrapping"/>
            </w:r>
            <w:r>
              <w:rPr>
                <w:rFonts w:hint="eastAsia" w:ascii="宋体" w:hAnsi="宋体" w:eastAsia="宋体" w:cs="宋体"/>
                <w:i w:val="0"/>
                <w:color w:val="auto"/>
                <w:kern w:val="0"/>
                <w:sz w:val="20"/>
                <w:szCs w:val="20"/>
                <w:highlight w:val="none"/>
                <w:u w:val="none"/>
                <w:lang w:val="en-US" w:eastAsia="zh-CN"/>
              </w:rPr>
              <w:t xml:space="preserve">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 xml:space="preserve">中央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 xml:space="preserve">省级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上级资金</w:t>
            </w:r>
            <w:r>
              <w:rPr>
                <w:rFonts w:hint="eastAsia" w:ascii="宋体" w:hAnsi="宋体" w:cs="宋体"/>
                <w:b/>
                <w:i w:val="0"/>
                <w:color w:val="auto"/>
                <w:kern w:val="0"/>
                <w:sz w:val="20"/>
                <w:szCs w:val="20"/>
                <w:highlight w:val="none"/>
                <w:u w:val="none"/>
                <w:lang w:val="en-US" w:eastAsia="zh-CN"/>
              </w:rPr>
              <w:t>下达</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文件及文号</w:t>
            </w:r>
          </w:p>
        </w:tc>
        <w:tc>
          <w:tcPr>
            <w:tcW w:w="40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spacing w:line="5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nil"/>
              <w:bottom w:val="single" w:color="000000" w:sz="4" w:space="0"/>
              <w:right w:val="single" w:color="000000" w:sz="4" w:space="0"/>
            </w:tcBorders>
            <w:noWrap w:val="0"/>
            <w:vAlign w:val="center"/>
          </w:tcPr>
          <w:p>
            <w:pPr>
              <w:widowControl/>
              <w:wordWrap/>
              <w:adjustRightInd w:val="0"/>
              <w:snapToGrid w:val="0"/>
              <w:spacing w:after="0" w:line="5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专项资金金额：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申请项目</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基本情况</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left"/>
              <w:textAlignment w:val="center"/>
              <w:rPr>
                <w:rFonts w:hint="eastAsia"/>
                <w:color w:val="auto"/>
                <w:highlight w:val="none"/>
                <w:lang w:val="en-US" w:eastAsia="zh-CN"/>
              </w:rPr>
            </w:pPr>
            <w:r>
              <w:rPr>
                <w:rFonts w:hint="eastAsia"/>
                <w:color w:val="auto"/>
                <w:highlight w:val="none"/>
                <w:lang w:val="en-US" w:eastAsia="zh-CN"/>
              </w:rPr>
              <w:t>申请企业（单位）      家；申请项目    个；申请支持金额共        元；</w:t>
            </w:r>
          </w:p>
          <w:p>
            <w:pPr>
              <w:pStyle w:val="13"/>
              <w:widowControl/>
              <w:wordWrap/>
              <w:spacing w:line="500" w:lineRule="exact"/>
              <w:ind w:left="0" w:leftChars="0" w:firstLine="0" w:firstLineChars="0"/>
              <w:rPr>
                <w:rFonts w:hint="eastAsia"/>
                <w:color w:val="auto"/>
                <w:highlight w:val="none"/>
              </w:rPr>
            </w:pPr>
            <w:r>
              <w:rPr>
                <w:rFonts w:hint="eastAsia" w:ascii="宋体" w:hAnsi="宋体" w:eastAsia="宋体" w:cs="宋体"/>
                <w:i w:val="0"/>
                <w:color w:val="auto"/>
                <w:kern w:val="0"/>
                <w:sz w:val="20"/>
                <w:szCs w:val="20"/>
                <w:highlight w:val="none"/>
                <w:u w:val="none"/>
                <w:lang w:val="en-US" w:eastAsia="zh-CN"/>
              </w:rPr>
              <w:t>项目申请时间：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4" w:hRule="atLeast"/>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申报资料</w:t>
            </w:r>
          </w:p>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初审情况</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5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项目初审情况：</w:t>
            </w: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right"/>
              <w:textAlignment w:val="center"/>
              <w:rPr>
                <w:rFonts w:hint="default"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 w:hRule="atLeast"/>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是否核查原件</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center"/>
              <w:textAlignment w:val="center"/>
              <w:rPr>
                <w:rFonts w:hint="default" w:ascii="宋体" w:hAnsi="宋体" w:eastAsia="宋体" w:cs="宋体"/>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是否实地查验</w:t>
            </w:r>
          </w:p>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企业情况</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500" w:lineRule="exact"/>
              <w:jc w:val="lef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center"/>
              <w:textAlignment w:val="center"/>
              <w:rPr>
                <w:rFonts w:hint="eastAsia" w:ascii="宋体" w:hAnsi="宋体" w:eastAsia="宋体" w:cs="宋体"/>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初审复核</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5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复核意见：</w:t>
            </w:r>
          </w:p>
          <w:p>
            <w:pPr>
              <w:widowControl/>
              <w:wordWrap/>
              <w:adjustRightInd w:val="0"/>
              <w:snapToGrid w:val="0"/>
              <w:spacing w:after="0" w:line="500" w:lineRule="exact"/>
              <w:jc w:val="left"/>
              <w:textAlignment w:val="center"/>
              <w:rPr>
                <w:rFonts w:hint="eastAsia"/>
                <w:color w:val="auto"/>
                <w:highlight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jc w:val="center"/>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分管领导审批</w:t>
            </w:r>
          </w:p>
        </w:tc>
        <w:tc>
          <w:tcPr>
            <w:tcW w:w="6885" w:type="dxa"/>
            <w:gridSpan w:val="2"/>
            <w:tcBorders>
              <w:top w:val="nil"/>
              <w:left w:val="single" w:color="000000" w:sz="4" w:space="0"/>
              <w:bottom w:val="single" w:color="auto" w:sz="4" w:space="0"/>
              <w:right w:val="single" w:color="000000" w:sz="4" w:space="0"/>
            </w:tcBorders>
            <w:noWrap w:val="0"/>
            <w:vAlign w:val="top"/>
          </w:tcPr>
          <w:p>
            <w:pPr>
              <w:widowControl/>
              <w:wordWrap/>
              <w:adjustRightInd w:val="0"/>
              <w:snapToGrid w:val="0"/>
              <w:spacing w:after="0" w:line="5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审批意见：</w:t>
            </w:r>
          </w:p>
          <w:p>
            <w:pPr>
              <w:widowControl/>
              <w:wordWrap/>
              <w:adjustRightInd w:val="0"/>
              <w:snapToGrid w:val="0"/>
              <w:spacing w:after="0" w:line="500" w:lineRule="exact"/>
              <w:jc w:val="left"/>
              <w:textAlignment w:val="center"/>
              <w:rPr>
                <w:rFonts w:hint="eastAsia"/>
                <w:color w:val="auto"/>
                <w:highlight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500" w:lineRule="exact"/>
              <w:jc w:val="righ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jc w:val="center"/>
        </w:trPr>
        <w:tc>
          <w:tcPr>
            <w:tcW w:w="1635" w:type="dxa"/>
            <w:tcBorders>
              <w:top w:val="single" w:color="000000" w:sz="4" w:space="0"/>
              <w:left w:val="single" w:color="000000" w:sz="4" w:space="0"/>
              <w:bottom w:val="single" w:color="000000" w:sz="4" w:space="0"/>
              <w:right w:val="nil"/>
            </w:tcBorders>
            <w:noWrap w:val="0"/>
            <w:vAlign w:val="center"/>
          </w:tcPr>
          <w:p>
            <w:pPr>
              <w:widowControl/>
              <w:wordWrap/>
              <w:adjustRightInd w:val="0"/>
              <w:snapToGrid w:val="0"/>
              <w:spacing w:after="0" w:line="5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本级资金上报</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文件及文号</w:t>
            </w:r>
          </w:p>
        </w:tc>
        <w:tc>
          <w:tcPr>
            <w:tcW w:w="4013" w:type="dxa"/>
            <w:tcBorders>
              <w:top w:val="single" w:color="000000" w:sz="4" w:space="0"/>
              <w:left w:val="single" w:color="000000" w:sz="4" w:space="0"/>
              <w:bottom w:val="single" w:color="000000" w:sz="4" w:space="0"/>
              <w:right w:val="single" w:color="000000" w:sz="4" w:space="0"/>
            </w:tcBorders>
            <w:noWrap w:val="0"/>
            <w:vAlign w:val="center"/>
          </w:tcPr>
          <w:p>
            <w:pPr>
              <w:widowControl/>
              <w:wordWrap/>
              <w:spacing w:line="5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5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b w:val="0"/>
                <w:bCs w:val="0"/>
                <w:i w:val="0"/>
                <w:color w:val="auto"/>
                <w:kern w:val="0"/>
                <w:sz w:val="20"/>
                <w:szCs w:val="20"/>
                <w:highlight w:val="none"/>
                <w:u w:val="none"/>
                <w:lang w:val="en-US" w:eastAsia="zh-CN"/>
              </w:rPr>
              <w:t>申报时间：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635" w:type="dxa"/>
            <w:tcBorders>
              <w:top w:val="single" w:color="000000" w:sz="4" w:space="0"/>
              <w:left w:val="single" w:color="000000" w:sz="4" w:space="0"/>
              <w:bottom w:val="single" w:color="000000" w:sz="4" w:space="0"/>
              <w:right w:val="single" w:color="auto" w:sz="4" w:space="0"/>
            </w:tcBorders>
            <w:noWrap w:val="0"/>
            <w:vAlign w:val="center"/>
          </w:tcPr>
          <w:p>
            <w:pPr>
              <w:widowControl/>
              <w:wordWrap/>
              <w:adjustRightInd w:val="0"/>
              <w:snapToGrid w:val="0"/>
              <w:spacing w:after="0" w:line="500" w:lineRule="exact"/>
              <w:jc w:val="center"/>
              <w:textAlignment w:val="center"/>
              <w:rPr>
                <w:rFonts w:hint="default"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备注</w:t>
            </w:r>
          </w:p>
        </w:tc>
        <w:tc>
          <w:tcPr>
            <w:tcW w:w="6885" w:type="dxa"/>
            <w:gridSpan w:val="2"/>
            <w:tcBorders>
              <w:top w:val="single" w:color="auto" w:sz="4" w:space="0"/>
              <w:left w:val="single" w:color="auto" w:sz="4" w:space="0"/>
              <w:bottom w:val="single" w:color="auto" w:sz="4" w:space="0"/>
              <w:right w:val="single" w:color="auto" w:sz="4" w:space="0"/>
            </w:tcBorders>
            <w:noWrap w:val="0"/>
            <w:vAlign w:val="center"/>
          </w:tcPr>
          <w:p>
            <w:pPr>
              <w:widowControl/>
              <w:wordWrap/>
              <w:adjustRightInd w:val="0"/>
              <w:snapToGrid w:val="0"/>
              <w:spacing w:after="0" w:line="5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项目初审情况应包括（并不限于）资金支持内容、审核通过项目个数、初审支持金额、审核不通过项目个数、金额及原因等</w:t>
            </w:r>
          </w:p>
        </w:tc>
      </w:tr>
    </w:tbl>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pStyle w:val="3"/>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default" w:ascii="Times New Roman" w:hAnsi="Times New Roman" w:eastAsia="方正黑体_GBK" w:cs="Times New Roman"/>
          <w:b w:val="0"/>
          <w:bCs w:val="0"/>
          <w:sz w:val="32"/>
          <w:szCs w:val="32"/>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560" w:lineRule="exact"/>
        <w:ind w:right="-189" w:rightChars="-90"/>
        <w:jc w:val="left"/>
        <w:textAlignment w:val="auto"/>
        <w:rPr>
          <w:rFonts w:hint="eastAsia" w:ascii="CESI黑体-GB2312" w:hAnsi="CESI黑体-GB2312" w:eastAsia="CESI黑体-GB2312" w:cs="CESI黑体-GB2312"/>
          <w:b/>
          <w:bCs/>
          <w:sz w:val="32"/>
          <w:szCs w:val="32"/>
          <w:lang w:eastAsia="zh-CN"/>
        </w:rPr>
      </w:pPr>
      <w:r>
        <w:rPr>
          <w:rFonts w:hint="eastAsia" w:ascii="CESI黑体-GB2312" w:hAnsi="CESI黑体-GB2312" w:eastAsia="CESI黑体-GB2312" w:cs="CESI黑体-GB2312"/>
          <w:b/>
          <w:bCs/>
          <w:sz w:val="32"/>
          <w:szCs w:val="32"/>
        </w:rPr>
        <w:t>附件</w:t>
      </w:r>
      <w:r>
        <w:rPr>
          <w:rFonts w:hint="eastAsia" w:ascii="CESI黑体-GB2312" w:hAnsi="CESI黑体-GB2312" w:eastAsia="CESI黑体-GB2312" w:cs="CESI黑体-GB2312"/>
          <w:b/>
          <w:bCs/>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“企业类”项目专项资金申请表</w:t>
      </w:r>
    </w:p>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sz w:val="24"/>
          <w:szCs w:val="24"/>
        </w:rPr>
      </w:pPr>
      <w:r>
        <w:rPr>
          <w:rFonts w:hint="eastAsia"/>
          <w:sz w:val="24"/>
          <w:szCs w:val="24"/>
        </w:rPr>
        <w:t>填报时间：</w:t>
      </w:r>
      <w:r>
        <w:rPr>
          <w:rFonts w:hint="eastAsia"/>
          <w:sz w:val="24"/>
          <w:szCs w:val="24"/>
        </w:rPr>
        <w:tab/>
      </w:r>
      <w:r>
        <w:rPr>
          <w:rFonts w:hint="eastAsia"/>
          <w:sz w:val="24"/>
          <w:szCs w:val="24"/>
        </w:rPr>
        <w:t>年</w:t>
      </w:r>
      <w:r>
        <w:rPr>
          <w:rFonts w:hint="eastAsia"/>
          <w:sz w:val="24"/>
          <w:szCs w:val="24"/>
        </w:rPr>
        <w:tab/>
      </w:r>
      <w:r>
        <w:rPr>
          <w:rFonts w:hint="eastAsia"/>
          <w:sz w:val="24"/>
          <w:szCs w:val="24"/>
        </w:rPr>
        <w:t>月</w:t>
      </w:r>
      <w:r>
        <w:rPr>
          <w:rFonts w:hint="eastAsia"/>
          <w:sz w:val="24"/>
          <w:szCs w:val="24"/>
        </w:rPr>
        <w:tab/>
      </w:r>
      <w:r>
        <w:rPr>
          <w:rFonts w:hint="eastAsia"/>
          <w:sz w:val="24"/>
          <w:szCs w:val="24"/>
        </w:rPr>
        <w:t>日</w:t>
      </w:r>
    </w:p>
    <w:tbl>
      <w:tblPr>
        <w:tblStyle w:val="10"/>
        <w:tblpPr w:leftFromText="180" w:rightFromText="180" w:vertAnchor="text" w:tblpX="100" w:tblpY="1"/>
        <w:tblOverlap w:val="never"/>
        <w:tblW w:w="0" w:type="auto"/>
        <w:tblInd w:w="102" w:type="dxa"/>
        <w:tblLayout w:type="fixed"/>
        <w:tblCellMar>
          <w:top w:w="0" w:type="dxa"/>
          <w:left w:w="0" w:type="dxa"/>
          <w:bottom w:w="0" w:type="dxa"/>
          <w:right w:w="0" w:type="dxa"/>
        </w:tblCellMar>
      </w:tblPr>
      <w:tblGrid>
        <w:gridCol w:w="934"/>
        <w:gridCol w:w="821"/>
        <w:gridCol w:w="832"/>
        <w:gridCol w:w="447"/>
        <w:gridCol w:w="1690"/>
        <w:gridCol w:w="1081"/>
        <w:gridCol w:w="1759"/>
        <w:gridCol w:w="587"/>
        <w:gridCol w:w="1431"/>
        <w:gridCol w:w="2499"/>
        <w:gridCol w:w="2092"/>
      </w:tblGrid>
      <w:tr>
        <w:tblPrEx>
          <w:tblCellMar>
            <w:top w:w="0" w:type="dxa"/>
            <w:left w:w="0" w:type="dxa"/>
            <w:bottom w:w="0" w:type="dxa"/>
            <w:right w:w="0" w:type="dxa"/>
          </w:tblCellMar>
        </w:tblPrEx>
        <w:trPr>
          <w:trHeight w:val="340" w:hRule="exact"/>
        </w:trPr>
        <w:tc>
          <w:tcPr>
            <w:tcW w:w="2587" w:type="dxa"/>
            <w:gridSpan w:val="3"/>
            <w:vMerge w:val="restart"/>
            <w:tcBorders>
              <w:top w:val="single" w:color="000000" w:sz="4" w:space="0"/>
              <w:left w:val="single" w:color="000000" w:sz="4" w:space="0"/>
              <w:right w:val="single" w:color="000000" w:sz="4" w:space="0"/>
            </w:tcBorders>
            <w:noWrap w:val="0"/>
            <w:vAlign w:val="top"/>
          </w:tcPr>
          <w:p>
            <w:pPr>
              <w:pStyle w:val="15"/>
              <w:spacing w:before="161" w:line="240" w:lineRule="auto"/>
              <w:ind w:left="847" w:right="0"/>
              <w:jc w:val="left"/>
              <w:rPr>
                <w:rFonts w:ascii="PMingLiU" w:hAnsi="PMingLiU" w:eastAsia="PMingLiU" w:cs="PMingLiU"/>
                <w:sz w:val="22"/>
                <w:szCs w:val="22"/>
              </w:rPr>
            </w:pPr>
            <w:r>
              <w:rPr>
                <w:rFonts w:ascii="PMingLiU" w:hAnsi="PMingLiU" w:eastAsia="PMingLiU" w:cs="PMingLiU"/>
                <w:sz w:val="22"/>
                <w:szCs w:val="22"/>
              </w:rPr>
              <w:t>企业名称</w:t>
            </w:r>
          </w:p>
        </w:tc>
        <w:tc>
          <w:tcPr>
            <w:tcW w:w="3218" w:type="dxa"/>
            <w:gridSpan w:val="3"/>
            <w:vMerge w:val="restart"/>
            <w:tcBorders>
              <w:top w:val="single" w:color="000000" w:sz="4" w:space="0"/>
              <w:left w:val="single" w:color="000000" w:sz="4" w:space="0"/>
              <w:right w:val="single" w:color="000000" w:sz="4" w:space="0"/>
            </w:tcBorders>
            <w:noWrap w:val="0"/>
            <w:vAlign w:val="top"/>
          </w:tcPr>
          <w:p/>
        </w:tc>
        <w:tc>
          <w:tcPr>
            <w:tcW w:w="2346"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spacing w:line="281" w:lineRule="exact"/>
              <w:ind w:left="1" w:right="0"/>
              <w:jc w:val="center"/>
              <w:rPr>
                <w:rFonts w:ascii="PMingLiU" w:hAnsi="PMingLiU" w:eastAsia="PMingLiU" w:cs="PMingLiU"/>
                <w:sz w:val="22"/>
                <w:szCs w:val="22"/>
              </w:rPr>
            </w:pPr>
            <w:r>
              <w:rPr>
                <w:rFonts w:ascii="PMingLiU" w:hAnsi="PMingLiU" w:eastAsia="PMingLiU" w:cs="PMingLiU"/>
                <w:sz w:val="22"/>
                <w:szCs w:val="22"/>
              </w:rPr>
              <w:t>联系人</w:t>
            </w:r>
          </w:p>
        </w:tc>
        <w:tc>
          <w:tcPr>
            <w:tcW w:w="6022" w:type="dxa"/>
            <w:gridSpan w:val="3"/>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340" w:hRule="exact"/>
        </w:trPr>
        <w:tc>
          <w:tcPr>
            <w:tcW w:w="2587" w:type="dxa"/>
            <w:gridSpan w:val="3"/>
            <w:vMerge w:val="continue"/>
            <w:tcBorders>
              <w:left w:val="single" w:color="000000" w:sz="4" w:space="0"/>
              <w:bottom w:val="single" w:color="000000" w:sz="4" w:space="0"/>
              <w:right w:val="single" w:color="000000" w:sz="4" w:space="0"/>
            </w:tcBorders>
            <w:noWrap w:val="0"/>
            <w:vAlign w:val="top"/>
          </w:tcPr>
          <w:p/>
        </w:tc>
        <w:tc>
          <w:tcPr>
            <w:tcW w:w="3218" w:type="dxa"/>
            <w:gridSpan w:val="3"/>
            <w:vMerge w:val="continue"/>
            <w:tcBorders>
              <w:left w:val="single" w:color="000000" w:sz="4" w:space="0"/>
              <w:bottom w:val="single" w:color="000000" w:sz="4" w:space="0"/>
              <w:right w:val="single" w:color="000000" w:sz="4" w:space="0"/>
            </w:tcBorders>
            <w:noWrap w:val="0"/>
            <w:vAlign w:val="top"/>
          </w:tcPr>
          <w:p/>
        </w:tc>
        <w:tc>
          <w:tcPr>
            <w:tcW w:w="2346"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spacing w:line="280" w:lineRule="exact"/>
              <w:ind w:left="728" w:right="0"/>
              <w:jc w:val="left"/>
              <w:rPr>
                <w:rFonts w:ascii="PMingLiU" w:hAnsi="PMingLiU" w:eastAsia="PMingLiU" w:cs="PMingLiU"/>
                <w:sz w:val="22"/>
                <w:szCs w:val="22"/>
              </w:rPr>
            </w:pPr>
            <w:r>
              <w:rPr>
                <w:rFonts w:ascii="PMingLiU" w:hAnsi="PMingLiU" w:eastAsia="PMingLiU" w:cs="PMingLiU"/>
                <w:sz w:val="22"/>
                <w:szCs w:val="22"/>
              </w:rPr>
              <w:t>联系电话</w:t>
            </w:r>
          </w:p>
        </w:tc>
        <w:tc>
          <w:tcPr>
            <w:tcW w:w="6022" w:type="dxa"/>
            <w:gridSpan w:val="3"/>
            <w:tcBorders>
              <w:top w:val="single" w:color="000000" w:sz="4" w:space="0"/>
              <w:left w:val="single" w:color="000000" w:sz="4" w:space="0"/>
              <w:bottom w:val="single" w:color="000000" w:sz="4" w:space="0"/>
              <w:right w:val="single" w:color="000000" w:sz="4" w:space="0"/>
            </w:tcBorders>
            <w:noWrap w:val="0"/>
            <w:vAlign w:val="top"/>
          </w:tcPr>
          <w:p>
            <w:pPr>
              <w:pStyle w:val="15"/>
              <w:tabs>
                <w:tab w:val="left" w:pos="2304"/>
              </w:tabs>
              <w:spacing w:line="280" w:lineRule="exact"/>
              <w:ind w:left="103" w:right="0"/>
              <w:jc w:val="left"/>
              <w:rPr>
                <w:rFonts w:ascii="PMingLiU" w:hAnsi="PMingLiU" w:eastAsia="PMingLiU" w:cs="PMingLiU"/>
                <w:sz w:val="22"/>
                <w:szCs w:val="22"/>
              </w:rPr>
            </w:pPr>
            <w:r>
              <w:rPr>
                <w:rFonts w:ascii="PMingLiU" w:hAnsi="PMingLiU" w:eastAsia="PMingLiU" w:cs="PMingLiU"/>
                <w:spacing w:val="-2"/>
                <w:sz w:val="22"/>
                <w:szCs w:val="22"/>
              </w:rPr>
              <w:t>固话：</w:t>
            </w:r>
            <w:r>
              <w:rPr>
                <w:rFonts w:ascii="PMingLiU" w:hAnsi="PMingLiU" w:eastAsia="PMingLiU" w:cs="PMingLiU"/>
                <w:spacing w:val="-2"/>
                <w:sz w:val="22"/>
                <w:szCs w:val="22"/>
              </w:rPr>
              <w:tab/>
            </w:r>
            <w:r>
              <w:rPr>
                <w:rFonts w:ascii="PMingLiU" w:hAnsi="PMingLiU" w:eastAsia="PMingLiU" w:cs="PMingLiU"/>
                <w:spacing w:val="-2"/>
                <w:sz w:val="22"/>
                <w:szCs w:val="22"/>
              </w:rPr>
              <w:t>手机：</w:t>
            </w:r>
          </w:p>
        </w:tc>
      </w:tr>
      <w:tr>
        <w:tblPrEx>
          <w:tblCellMar>
            <w:top w:w="0" w:type="dxa"/>
            <w:left w:w="0" w:type="dxa"/>
            <w:bottom w:w="0" w:type="dxa"/>
            <w:right w:w="0" w:type="dxa"/>
          </w:tblCellMar>
        </w:tblPrEx>
        <w:trPr>
          <w:trHeight w:val="340" w:hRule="exact"/>
        </w:trPr>
        <w:tc>
          <w:tcPr>
            <w:tcW w:w="2587" w:type="dxa"/>
            <w:gridSpan w:val="3"/>
            <w:tcBorders>
              <w:top w:val="single" w:color="000000" w:sz="4" w:space="0"/>
              <w:left w:val="single" w:color="000000" w:sz="4" w:space="0"/>
              <w:bottom w:val="single" w:color="000000" w:sz="4" w:space="0"/>
              <w:right w:val="single" w:color="000000" w:sz="4" w:space="0"/>
            </w:tcBorders>
            <w:noWrap w:val="0"/>
            <w:vAlign w:val="top"/>
          </w:tcPr>
          <w:p>
            <w:pPr>
              <w:pStyle w:val="15"/>
              <w:spacing w:line="280" w:lineRule="exact"/>
              <w:ind w:left="737" w:right="0"/>
              <w:jc w:val="left"/>
              <w:rPr>
                <w:rFonts w:ascii="PMingLiU" w:hAnsi="PMingLiU" w:eastAsia="PMingLiU" w:cs="PMingLiU"/>
                <w:sz w:val="22"/>
                <w:szCs w:val="22"/>
              </w:rPr>
            </w:pPr>
            <w:r>
              <w:rPr>
                <w:rFonts w:ascii="PMingLiU" w:hAnsi="PMingLiU" w:eastAsia="PMingLiU" w:cs="PMingLiU"/>
                <w:sz w:val="22"/>
                <w:szCs w:val="22"/>
              </w:rPr>
              <w:t>企业注册地</w:t>
            </w:r>
          </w:p>
        </w:tc>
        <w:tc>
          <w:tcPr>
            <w:tcW w:w="3218" w:type="dxa"/>
            <w:gridSpan w:val="3"/>
            <w:tcBorders>
              <w:top w:val="single" w:color="000000" w:sz="4" w:space="0"/>
              <w:left w:val="single" w:color="000000" w:sz="4" w:space="0"/>
              <w:bottom w:val="single" w:color="000000" w:sz="4" w:space="0"/>
              <w:right w:val="single" w:color="000000" w:sz="4" w:space="0"/>
            </w:tcBorders>
            <w:noWrap w:val="0"/>
            <w:vAlign w:val="top"/>
          </w:tcPr>
          <w:p/>
        </w:tc>
        <w:tc>
          <w:tcPr>
            <w:tcW w:w="2346"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spacing w:line="280" w:lineRule="exact"/>
              <w:ind w:left="507" w:right="0"/>
              <w:jc w:val="left"/>
              <w:rPr>
                <w:rFonts w:ascii="PMingLiU" w:hAnsi="PMingLiU" w:eastAsia="PMingLiU" w:cs="PMingLiU"/>
                <w:sz w:val="22"/>
                <w:szCs w:val="22"/>
              </w:rPr>
            </w:pPr>
            <w:r>
              <w:rPr>
                <w:rFonts w:ascii="PMingLiU" w:hAnsi="PMingLiU" w:eastAsia="PMingLiU" w:cs="PMingLiU"/>
                <w:sz w:val="22"/>
                <w:szCs w:val="22"/>
              </w:rPr>
              <w:t>企业经营地址</w:t>
            </w:r>
          </w:p>
        </w:tc>
        <w:tc>
          <w:tcPr>
            <w:tcW w:w="6022" w:type="dxa"/>
            <w:gridSpan w:val="3"/>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340" w:hRule="exact"/>
        </w:trPr>
        <w:tc>
          <w:tcPr>
            <w:tcW w:w="2587" w:type="dxa"/>
            <w:gridSpan w:val="3"/>
            <w:tcBorders>
              <w:top w:val="single" w:color="000000" w:sz="4" w:space="0"/>
              <w:left w:val="single" w:color="000000" w:sz="4" w:space="0"/>
              <w:bottom w:val="single" w:color="000000" w:sz="4" w:space="0"/>
              <w:right w:val="single" w:color="000000" w:sz="4" w:space="0"/>
            </w:tcBorders>
            <w:noWrap w:val="0"/>
            <w:vAlign w:val="top"/>
          </w:tcPr>
          <w:p>
            <w:pPr>
              <w:pStyle w:val="15"/>
              <w:spacing w:line="281" w:lineRule="exact"/>
              <w:ind w:left="408" w:right="0"/>
              <w:jc w:val="left"/>
              <w:rPr>
                <w:rFonts w:ascii="PMingLiU" w:hAnsi="PMingLiU" w:eastAsia="PMingLiU" w:cs="PMingLiU"/>
                <w:sz w:val="22"/>
                <w:szCs w:val="22"/>
              </w:rPr>
            </w:pPr>
            <w:r>
              <w:rPr>
                <w:rFonts w:ascii="PMingLiU" w:hAnsi="PMingLiU" w:eastAsia="PMingLiU" w:cs="PMingLiU"/>
                <w:sz w:val="22"/>
                <w:szCs w:val="22"/>
              </w:rPr>
              <w:t>统一社会信用代码</w:t>
            </w:r>
          </w:p>
        </w:tc>
        <w:tc>
          <w:tcPr>
            <w:tcW w:w="3218" w:type="dxa"/>
            <w:gridSpan w:val="3"/>
            <w:tcBorders>
              <w:top w:val="single" w:color="000000" w:sz="4" w:space="0"/>
              <w:left w:val="single" w:color="000000" w:sz="4" w:space="0"/>
              <w:bottom w:val="single" w:color="000000" w:sz="4" w:space="0"/>
              <w:right w:val="single" w:color="000000" w:sz="4" w:space="0"/>
            </w:tcBorders>
            <w:noWrap w:val="0"/>
            <w:vAlign w:val="top"/>
          </w:tcPr>
          <w:p/>
        </w:tc>
        <w:tc>
          <w:tcPr>
            <w:tcW w:w="2346"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spacing w:line="281" w:lineRule="exact"/>
              <w:ind w:left="507" w:right="0"/>
              <w:jc w:val="left"/>
              <w:rPr>
                <w:rFonts w:ascii="PMingLiU" w:hAnsi="PMingLiU" w:eastAsia="PMingLiU" w:cs="PMingLiU"/>
                <w:sz w:val="22"/>
                <w:szCs w:val="22"/>
              </w:rPr>
            </w:pPr>
            <w:r>
              <w:rPr>
                <w:rFonts w:ascii="PMingLiU" w:hAnsi="PMingLiU" w:eastAsia="PMingLiU" w:cs="PMingLiU"/>
                <w:sz w:val="22"/>
                <w:szCs w:val="22"/>
              </w:rPr>
              <w:t>工商登记机关</w:t>
            </w:r>
          </w:p>
        </w:tc>
        <w:tc>
          <w:tcPr>
            <w:tcW w:w="6022" w:type="dxa"/>
            <w:gridSpan w:val="3"/>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340" w:hRule="exact"/>
        </w:trPr>
        <w:tc>
          <w:tcPr>
            <w:tcW w:w="5805" w:type="dxa"/>
            <w:gridSpan w:val="6"/>
            <w:tcBorders>
              <w:top w:val="single" w:color="000000" w:sz="4" w:space="0"/>
              <w:left w:val="single" w:color="000000" w:sz="4" w:space="0"/>
              <w:bottom w:val="single" w:color="000000" w:sz="4" w:space="0"/>
              <w:right w:val="single" w:color="000000" w:sz="4" w:space="0"/>
            </w:tcBorders>
            <w:noWrap w:val="0"/>
            <w:vAlign w:val="top"/>
          </w:tcPr>
          <w:p>
            <w:pPr>
              <w:pStyle w:val="15"/>
              <w:spacing w:line="280" w:lineRule="exact"/>
              <w:ind w:left="103" w:right="0"/>
              <w:jc w:val="left"/>
              <w:rPr>
                <w:rFonts w:ascii="PMingLiU" w:hAnsi="PMingLiU" w:eastAsia="PMingLiU" w:cs="PMingLiU"/>
                <w:sz w:val="22"/>
                <w:szCs w:val="22"/>
              </w:rPr>
            </w:pPr>
            <w:r>
              <w:rPr>
                <w:rFonts w:ascii="PMingLiU" w:hAnsi="PMingLiU" w:eastAsia="PMingLiU" w:cs="PMingLiU"/>
                <w:sz w:val="22"/>
                <w:szCs w:val="22"/>
              </w:rPr>
              <w:t>是否省属企业或中央驻穗企业</w:t>
            </w:r>
          </w:p>
        </w:tc>
        <w:tc>
          <w:tcPr>
            <w:tcW w:w="8368" w:type="dxa"/>
            <w:gridSpan w:val="5"/>
            <w:tcBorders>
              <w:top w:val="single" w:color="000000" w:sz="4" w:space="0"/>
              <w:left w:val="single" w:color="000000" w:sz="4" w:space="0"/>
              <w:bottom w:val="single" w:color="000000" w:sz="4" w:space="0"/>
              <w:right w:val="single" w:color="000000" w:sz="4" w:space="0"/>
            </w:tcBorders>
            <w:noWrap w:val="0"/>
            <w:vAlign w:val="top"/>
          </w:tcPr>
          <w:p>
            <w:pPr>
              <w:pStyle w:val="15"/>
              <w:tabs>
                <w:tab w:val="left" w:pos="1210"/>
                <w:tab w:val="left" w:pos="1652"/>
              </w:tabs>
              <w:spacing w:line="280" w:lineRule="exact"/>
              <w:ind w:left="1" w:right="0"/>
              <w:jc w:val="center"/>
              <w:rPr>
                <w:rFonts w:ascii="PMingLiU" w:hAnsi="PMingLiU" w:eastAsia="PMingLiU" w:cs="PMingLiU"/>
                <w:sz w:val="22"/>
                <w:szCs w:val="22"/>
              </w:rPr>
            </w:pPr>
            <w:r>
              <w:rPr>
                <w:rFonts w:ascii="PMingLiU" w:hAnsi="PMingLiU" w:eastAsia="PMingLiU" w:cs="PMingLiU"/>
                <w:sz w:val="22"/>
                <w:szCs w:val="22"/>
              </w:rPr>
              <w:t>□是</w:t>
            </w:r>
            <w:r>
              <w:rPr>
                <w:rFonts w:ascii="PMingLiU" w:hAnsi="PMingLiU" w:eastAsia="PMingLiU" w:cs="PMingLiU"/>
                <w:sz w:val="22"/>
                <w:szCs w:val="22"/>
              </w:rPr>
              <w:tab/>
            </w:r>
            <w:r>
              <w:rPr>
                <w:rFonts w:ascii="PMingLiU" w:hAnsi="PMingLiU" w:eastAsia="PMingLiU" w:cs="PMingLiU"/>
                <w:sz w:val="22"/>
                <w:szCs w:val="22"/>
              </w:rPr>
              <w:t>□</w:t>
            </w:r>
            <w:r>
              <w:rPr>
                <w:rFonts w:ascii="PMingLiU" w:hAnsi="PMingLiU" w:eastAsia="PMingLiU" w:cs="PMingLiU"/>
                <w:sz w:val="22"/>
                <w:szCs w:val="22"/>
              </w:rPr>
              <w:tab/>
            </w:r>
            <w:r>
              <w:rPr>
                <w:rFonts w:ascii="PMingLiU" w:hAnsi="PMingLiU" w:eastAsia="PMingLiU" w:cs="PMingLiU"/>
                <w:sz w:val="22"/>
                <w:szCs w:val="22"/>
              </w:rPr>
              <w:t>否</w:t>
            </w:r>
          </w:p>
        </w:tc>
      </w:tr>
      <w:tr>
        <w:tblPrEx>
          <w:tblCellMar>
            <w:top w:w="0" w:type="dxa"/>
            <w:left w:w="0" w:type="dxa"/>
            <w:bottom w:w="0" w:type="dxa"/>
            <w:right w:w="0" w:type="dxa"/>
          </w:tblCellMar>
        </w:tblPrEx>
        <w:trPr>
          <w:trHeight w:val="340" w:hRule="exact"/>
        </w:trPr>
        <w:tc>
          <w:tcPr>
            <w:tcW w:w="5805" w:type="dxa"/>
            <w:gridSpan w:val="6"/>
            <w:tcBorders>
              <w:top w:val="single" w:color="000000" w:sz="4" w:space="0"/>
              <w:left w:val="single" w:color="000000" w:sz="4" w:space="0"/>
              <w:bottom w:val="single" w:color="000000" w:sz="4" w:space="0"/>
              <w:right w:val="single" w:color="000000" w:sz="4" w:space="0"/>
            </w:tcBorders>
            <w:noWrap w:val="0"/>
            <w:vAlign w:val="top"/>
          </w:tcPr>
          <w:p>
            <w:pPr>
              <w:pStyle w:val="15"/>
              <w:spacing w:line="280" w:lineRule="exact"/>
              <w:ind w:left="103" w:right="0"/>
              <w:jc w:val="left"/>
              <w:rPr>
                <w:rFonts w:hint="default" w:ascii="PMingLiU" w:hAnsi="PMingLiU" w:eastAsia="宋体" w:cs="PMingLiU"/>
                <w:sz w:val="22"/>
                <w:szCs w:val="22"/>
                <w:lang w:val="en-US" w:eastAsia="zh-CN"/>
              </w:rPr>
            </w:pPr>
            <w:r>
              <w:rPr>
                <w:rFonts w:hint="eastAsia" w:ascii="PMingLiU" w:hAnsi="PMingLiU" w:cs="PMingLiU"/>
                <w:sz w:val="22"/>
                <w:szCs w:val="22"/>
                <w:lang w:val="en-US" w:eastAsia="zh-CN"/>
              </w:rPr>
              <w:t>2025年投保金额（美元）</w:t>
            </w:r>
          </w:p>
        </w:tc>
        <w:tc>
          <w:tcPr>
            <w:tcW w:w="8368" w:type="dxa"/>
            <w:gridSpan w:val="5"/>
            <w:tcBorders>
              <w:top w:val="single" w:color="000000" w:sz="4" w:space="0"/>
              <w:left w:val="single" w:color="000000" w:sz="4" w:space="0"/>
              <w:bottom w:val="single" w:color="000000" w:sz="4" w:space="0"/>
              <w:right w:val="single" w:color="000000" w:sz="4" w:space="0"/>
            </w:tcBorders>
            <w:noWrap w:val="0"/>
            <w:vAlign w:val="top"/>
          </w:tcPr>
          <w:p>
            <w:pPr>
              <w:pStyle w:val="15"/>
              <w:tabs>
                <w:tab w:val="left" w:pos="1210"/>
                <w:tab w:val="left" w:pos="1652"/>
              </w:tabs>
              <w:spacing w:line="280" w:lineRule="exact"/>
              <w:ind w:left="1" w:right="0"/>
              <w:jc w:val="center"/>
              <w:rPr>
                <w:rFonts w:ascii="PMingLiU" w:hAnsi="PMingLiU" w:eastAsia="PMingLiU" w:cs="PMingLiU"/>
                <w:sz w:val="22"/>
                <w:szCs w:val="22"/>
              </w:rPr>
            </w:pPr>
          </w:p>
        </w:tc>
      </w:tr>
      <w:tr>
        <w:tblPrEx>
          <w:tblCellMar>
            <w:top w:w="0" w:type="dxa"/>
            <w:left w:w="0" w:type="dxa"/>
            <w:bottom w:w="0" w:type="dxa"/>
            <w:right w:w="0" w:type="dxa"/>
          </w:tblCellMar>
        </w:tblPrEx>
        <w:trPr>
          <w:trHeight w:val="758" w:hRule="exact"/>
        </w:trPr>
        <w:tc>
          <w:tcPr>
            <w:tcW w:w="934"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18" w:line="240" w:lineRule="auto"/>
              <w:ind w:right="0"/>
              <w:jc w:val="center"/>
              <w:rPr>
                <w:rFonts w:hint="eastAsia" w:ascii="Microsoft JhengHei" w:hAnsi="Microsoft JhengHei" w:eastAsia="Microsoft JhengHei" w:cs="Microsoft JhengHei"/>
                <w:b/>
                <w:bCs/>
                <w:sz w:val="18"/>
                <w:szCs w:val="18"/>
                <w:lang w:val="en-US" w:eastAsia="zh-CN"/>
              </w:rPr>
            </w:pPr>
            <w:r>
              <w:rPr>
                <w:rFonts w:hint="eastAsia" w:ascii="Microsoft JhengHei" w:hAnsi="Microsoft JhengHei" w:eastAsia="Microsoft JhengHei" w:cs="Microsoft JhengHei"/>
                <w:b/>
                <w:bCs/>
                <w:sz w:val="18"/>
                <w:szCs w:val="18"/>
                <w:lang w:val="en-US" w:eastAsia="zh-CN"/>
              </w:rPr>
              <w:t>序号</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18" w:line="240" w:lineRule="auto"/>
              <w:ind w:right="0"/>
              <w:jc w:val="center"/>
              <w:rPr>
                <w:rFonts w:hint="eastAsia" w:ascii="Microsoft JhengHei" w:hAnsi="Microsoft JhengHei" w:eastAsia="Microsoft JhengHei" w:cs="Microsoft JhengHei"/>
                <w:b/>
                <w:bCs/>
                <w:sz w:val="18"/>
                <w:szCs w:val="18"/>
                <w:lang w:val="en-US" w:eastAsia="zh-CN"/>
              </w:rPr>
            </w:pPr>
            <w:r>
              <w:rPr>
                <w:rFonts w:hint="eastAsia" w:ascii="Microsoft JhengHei" w:hAnsi="Microsoft JhengHei" w:eastAsia="Microsoft JhengHei" w:cs="Microsoft JhengHei"/>
                <w:b/>
                <w:bCs/>
                <w:sz w:val="18"/>
                <w:szCs w:val="18"/>
                <w:lang w:val="en-US" w:eastAsia="zh-CN"/>
              </w:rPr>
              <w:t>保险公司</w:t>
            </w:r>
          </w:p>
        </w:tc>
        <w:tc>
          <w:tcPr>
            <w:tcW w:w="1279"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spacing w:before="118" w:line="240" w:lineRule="auto"/>
              <w:ind w:right="0"/>
              <w:jc w:val="center"/>
              <w:rPr>
                <w:rFonts w:hint="eastAsia" w:ascii="Microsoft JhengHei" w:hAnsi="Microsoft JhengHei" w:eastAsia="Microsoft JhengHei" w:cs="Microsoft JhengHei"/>
                <w:b/>
                <w:bCs/>
                <w:sz w:val="18"/>
                <w:szCs w:val="18"/>
                <w:lang w:val="en-US" w:eastAsia="zh-CN"/>
              </w:rPr>
            </w:pPr>
            <w:r>
              <w:rPr>
                <w:rFonts w:hint="eastAsia" w:ascii="Microsoft JhengHei" w:hAnsi="Microsoft JhengHei" w:eastAsia="Microsoft JhengHei" w:cs="Microsoft JhengHei"/>
                <w:b/>
                <w:bCs/>
                <w:sz w:val="18"/>
                <w:szCs w:val="18"/>
                <w:lang w:val="en-US" w:eastAsia="zh-CN"/>
              </w:rPr>
              <w:t>保险单编号</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18" w:line="240" w:lineRule="auto"/>
              <w:ind w:right="0"/>
              <w:jc w:val="center"/>
              <w:rPr>
                <w:rFonts w:hint="default" w:ascii="Microsoft JhengHei" w:hAnsi="Microsoft JhengHei" w:eastAsia="Microsoft JhengHei" w:cs="Microsoft JhengHei"/>
                <w:b/>
                <w:bCs/>
                <w:sz w:val="18"/>
                <w:szCs w:val="18"/>
                <w:lang w:val="en-US" w:eastAsia="zh-CN"/>
              </w:rPr>
            </w:pPr>
            <w:r>
              <w:rPr>
                <w:rFonts w:hint="eastAsia" w:ascii="Microsoft JhengHei" w:hAnsi="Microsoft JhengHei" w:eastAsia="Microsoft JhengHei" w:cs="Microsoft JhengHei"/>
                <w:b/>
                <w:bCs/>
                <w:sz w:val="18"/>
                <w:szCs w:val="18"/>
                <w:lang w:val="en-US" w:eastAsia="zh-CN"/>
              </w:rPr>
              <w:t>被保险人名称</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18" w:line="240" w:lineRule="auto"/>
              <w:ind w:right="0"/>
              <w:jc w:val="center"/>
              <w:rPr>
                <w:rFonts w:hint="default" w:ascii="Microsoft JhengHei" w:hAnsi="Microsoft JhengHei" w:eastAsia="Microsoft JhengHei" w:cs="Microsoft JhengHei"/>
                <w:b/>
                <w:bCs/>
                <w:sz w:val="18"/>
                <w:szCs w:val="18"/>
                <w:lang w:val="en-US" w:eastAsia="zh-CN"/>
              </w:rPr>
            </w:pPr>
            <w:r>
              <w:rPr>
                <w:rFonts w:hint="eastAsia" w:ascii="Microsoft JhengHei" w:hAnsi="Microsoft JhengHei" w:eastAsia="Microsoft JhengHei" w:cs="Microsoft JhengHei"/>
                <w:b/>
                <w:bCs/>
                <w:sz w:val="18"/>
                <w:szCs w:val="18"/>
                <w:lang w:val="en-US" w:eastAsia="zh-CN"/>
              </w:rPr>
              <w:t>海关编码</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18" w:line="240" w:lineRule="auto"/>
              <w:ind w:right="0"/>
              <w:jc w:val="center"/>
              <w:rPr>
                <w:rFonts w:hint="eastAsia" w:ascii="Microsoft JhengHei" w:hAnsi="Microsoft JhengHei" w:eastAsia="Microsoft JhengHei" w:cs="Microsoft JhengHei"/>
                <w:b/>
                <w:bCs/>
                <w:sz w:val="18"/>
                <w:szCs w:val="18"/>
                <w:lang w:val="en-US" w:eastAsia="zh-CN"/>
              </w:rPr>
            </w:pPr>
            <w:r>
              <w:rPr>
                <w:rFonts w:hint="eastAsia" w:ascii="Microsoft JhengHei" w:hAnsi="Microsoft JhengHei" w:eastAsia="Microsoft JhengHei" w:cs="Microsoft JhengHei"/>
                <w:b/>
                <w:bCs/>
                <w:sz w:val="18"/>
                <w:szCs w:val="18"/>
                <w:lang w:val="en-US" w:eastAsia="zh-CN"/>
              </w:rPr>
              <w:t>发票开具时间</w:t>
            </w:r>
          </w:p>
        </w:tc>
        <w:tc>
          <w:tcPr>
            <w:tcW w:w="2018"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spacing w:before="118" w:line="240" w:lineRule="auto"/>
              <w:ind w:right="0"/>
              <w:jc w:val="center"/>
              <w:rPr>
                <w:rFonts w:hint="default" w:ascii="Microsoft JhengHei" w:hAnsi="Microsoft JhengHei" w:eastAsia="Microsoft JhengHei" w:cs="Microsoft JhengHei"/>
                <w:b/>
                <w:bCs/>
                <w:sz w:val="18"/>
                <w:szCs w:val="18"/>
                <w:lang w:val="en-US" w:eastAsia="zh-CN"/>
              </w:rPr>
            </w:pPr>
            <w:r>
              <w:rPr>
                <w:rFonts w:hint="eastAsia" w:ascii="Microsoft JhengHei" w:hAnsi="Microsoft JhengHei" w:eastAsia="Microsoft JhengHei" w:cs="Microsoft JhengHei"/>
                <w:b/>
                <w:bCs/>
                <w:sz w:val="18"/>
                <w:szCs w:val="18"/>
                <w:lang w:val="en-US" w:eastAsia="zh-CN"/>
              </w:rPr>
              <w:t>发票号</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Microsoft JhengHei" w:hAnsi="Microsoft JhengHei" w:eastAsia="Microsoft JhengHei" w:cs="Microsoft JhengHei"/>
                <w:b/>
                <w:bCs/>
                <w:sz w:val="18"/>
                <w:szCs w:val="18"/>
                <w:lang w:val="en-US" w:eastAsia="zh-CN"/>
              </w:rPr>
            </w:pPr>
            <w:r>
              <w:rPr>
                <w:rFonts w:hint="eastAsia" w:ascii="Microsoft JhengHei" w:hAnsi="Microsoft JhengHei" w:eastAsia="Microsoft JhengHei" w:cs="Microsoft JhengHei"/>
                <w:b/>
                <w:bCs/>
                <w:sz w:val="18"/>
                <w:szCs w:val="18"/>
                <w:lang w:val="en-US" w:eastAsia="zh-CN"/>
              </w:rPr>
              <w:t>2025年实缴保险费</w:t>
            </w:r>
          </w:p>
          <w:p>
            <w:pPr>
              <w:pStyle w:val="15"/>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Microsoft JhengHei" w:hAnsi="Microsoft JhengHei" w:eastAsia="Microsoft JhengHei" w:cs="Microsoft JhengHei"/>
                <w:b/>
                <w:bCs/>
                <w:sz w:val="18"/>
                <w:szCs w:val="18"/>
                <w:lang w:val="en-US" w:eastAsia="zh-CN"/>
              </w:rPr>
            </w:pPr>
            <w:r>
              <w:rPr>
                <w:rFonts w:hint="eastAsia" w:ascii="Microsoft JhengHei" w:hAnsi="Microsoft JhengHei" w:eastAsia="Microsoft JhengHei" w:cs="Microsoft JhengHei"/>
                <w:b/>
                <w:bCs/>
                <w:sz w:val="18"/>
                <w:szCs w:val="18"/>
                <w:lang w:val="en-US" w:eastAsia="zh-CN"/>
              </w:rPr>
              <w:t>（人民币元）</w:t>
            </w:r>
          </w:p>
        </w:tc>
        <w:tc>
          <w:tcPr>
            <w:tcW w:w="209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Microsoft JhengHei" w:hAnsi="Microsoft JhengHei" w:eastAsia="Microsoft JhengHei" w:cs="Microsoft JhengHei"/>
                <w:b/>
                <w:bCs/>
                <w:sz w:val="18"/>
                <w:szCs w:val="18"/>
                <w:lang w:val="en-US" w:eastAsia="zh-CN"/>
              </w:rPr>
            </w:pPr>
            <w:r>
              <w:rPr>
                <w:rFonts w:hint="eastAsia" w:ascii="Microsoft JhengHei" w:hAnsi="Microsoft JhengHei" w:eastAsia="Microsoft JhengHei" w:cs="Microsoft JhengHei"/>
                <w:b/>
                <w:bCs/>
                <w:sz w:val="18"/>
                <w:szCs w:val="18"/>
                <w:lang w:val="en-US" w:eastAsia="zh-CN"/>
              </w:rPr>
              <w:t>申请资助金额</w:t>
            </w:r>
          </w:p>
          <w:p>
            <w:pPr>
              <w:pStyle w:val="15"/>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Microsoft JhengHei" w:hAnsi="Microsoft JhengHei" w:eastAsia="Microsoft JhengHei" w:cs="Microsoft JhengHei"/>
                <w:b/>
                <w:bCs/>
                <w:sz w:val="18"/>
                <w:szCs w:val="18"/>
                <w:lang w:val="en-US" w:eastAsia="zh-CN"/>
              </w:rPr>
            </w:pPr>
            <w:r>
              <w:rPr>
                <w:rFonts w:hint="eastAsia" w:ascii="Microsoft JhengHei" w:hAnsi="Microsoft JhengHei" w:eastAsia="Microsoft JhengHei" w:cs="Microsoft JhengHei"/>
                <w:b/>
                <w:bCs/>
                <w:sz w:val="18"/>
                <w:szCs w:val="18"/>
                <w:lang w:val="en-US" w:eastAsia="zh-CN"/>
              </w:rPr>
              <w:t>（人民币元）</w:t>
            </w:r>
          </w:p>
        </w:tc>
      </w:tr>
      <w:tr>
        <w:tblPrEx>
          <w:tblCellMar>
            <w:top w:w="0" w:type="dxa"/>
            <w:left w:w="0" w:type="dxa"/>
            <w:bottom w:w="0" w:type="dxa"/>
            <w:right w:w="0" w:type="dxa"/>
          </w:tblCellMar>
        </w:tblPrEx>
        <w:trPr>
          <w:trHeight w:val="282" w:hRule="exact"/>
        </w:trPr>
        <w:tc>
          <w:tcPr>
            <w:tcW w:w="934" w:type="dxa"/>
            <w:tcBorders>
              <w:top w:val="single" w:color="000000" w:sz="4" w:space="0"/>
              <w:left w:val="single" w:color="000000" w:sz="4" w:space="0"/>
              <w:bottom w:val="single" w:color="000000" w:sz="4" w:space="0"/>
              <w:right w:val="single" w:color="000000" w:sz="4" w:space="0"/>
            </w:tcBorders>
            <w:noWrap w:val="0"/>
            <w:vAlign w:val="top"/>
          </w:tcPr>
          <w:p/>
        </w:tc>
        <w:tc>
          <w:tcPr>
            <w:tcW w:w="821" w:type="dxa"/>
            <w:tcBorders>
              <w:top w:val="single" w:color="000000" w:sz="4" w:space="0"/>
              <w:left w:val="single" w:color="000000" w:sz="4" w:space="0"/>
              <w:bottom w:val="single" w:color="000000" w:sz="4" w:space="0"/>
              <w:right w:val="single" w:color="000000" w:sz="4" w:space="0"/>
            </w:tcBorders>
            <w:noWrap w:val="0"/>
            <w:vAlign w:val="top"/>
          </w:tcPr>
          <w:p/>
        </w:tc>
        <w:tc>
          <w:tcPr>
            <w:tcW w:w="1279" w:type="dxa"/>
            <w:gridSpan w:val="2"/>
            <w:tcBorders>
              <w:top w:val="single" w:color="000000" w:sz="4" w:space="0"/>
              <w:left w:val="single" w:color="000000" w:sz="4" w:space="0"/>
              <w:bottom w:val="single" w:color="000000" w:sz="4" w:space="0"/>
              <w:right w:val="single" w:color="000000" w:sz="4" w:space="0"/>
            </w:tcBorders>
            <w:noWrap w:val="0"/>
            <w:vAlign w:val="top"/>
          </w:tcPr>
          <w:p/>
        </w:tc>
        <w:tc>
          <w:tcPr>
            <w:tcW w:w="1690" w:type="dxa"/>
            <w:tcBorders>
              <w:top w:val="single" w:color="000000" w:sz="4" w:space="0"/>
              <w:left w:val="single" w:color="000000" w:sz="4" w:space="0"/>
              <w:bottom w:val="single" w:color="000000" w:sz="4" w:space="0"/>
              <w:right w:val="single" w:color="000000" w:sz="4" w:space="0"/>
            </w:tcBorders>
            <w:noWrap w:val="0"/>
            <w:vAlign w:val="top"/>
          </w:tcPr>
          <w:p/>
        </w:tc>
        <w:tc>
          <w:tcPr>
            <w:tcW w:w="1081" w:type="dxa"/>
            <w:tcBorders>
              <w:top w:val="single" w:color="000000" w:sz="4" w:space="0"/>
              <w:left w:val="single" w:color="000000" w:sz="4" w:space="0"/>
              <w:bottom w:val="single" w:color="000000" w:sz="4" w:space="0"/>
              <w:right w:val="single" w:color="000000" w:sz="4" w:space="0"/>
            </w:tcBorders>
            <w:noWrap w:val="0"/>
            <w:vAlign w:val="top"/>
          </w:tcPr>
          <w:p/>
        </w:tc>
        <w:tc>
          <w:tcPr>
            <w:tcW w:w="1759" w:type="dxa"/>
            <w:tcBorders>
              <w:top w:val="single" w:color="000000" w:sz="4" w:space="0"/>
              <w:left w:val="single" w:color="000000" w:sz="4" w:space="0"/>
              <w:bottom w:val="single" w:color="000000" w:sz="4" w:space="0"/>
              <w:right w:val="single" w:color="000000" w:sz="4" w:space="0"/>
            </w:tcBorders>
            <w:noWrap w:val="0"/>
            <w:vAlign w:val="top"/>
          </w:tcPr>
          <w:p/>
        </w:tc>
        <w:tc>
          <w:tcPr>
            <w:tcW w:w="2018" w:type="dxa"/>
            <w:gridSpan w:val="2"/>
            <w:tcBorders>
              <w:top w:val="single" w:color="000000" w:sz="4" w:space="0"/>
              <w:left w:val="single" w:color="000000" w:sz="4" w:space="0"/>
              <w:bottom w:val="single" w:color="000000" w:sz="4" w:space="0"/>
              <w:right w:val="single" w:color="000000" w:sz="4" w:space="0"/>
            </w:tcBorders>
            <w:noWrap w:val="0"/>
            <w:vAlign w:val="top"/>
          </w:tcPr>
          <w:p/>
        </w:tc>
        <w:tc>
          <w:tcPr>
            <w:tcW w:w="2499" w:type="dxa"/>
            <w:tcBorders>
              <w:top w:val="single" w:color="000000" w:sz="4" w:space="0"/>
              <w:left w:val="single" w:color="000000" w:sz="4" w:space="0"/>
              <w:bottom w:val="single" w:color="000000" w:sz="4" w:space="0"/>
              <w:right w:val="single" w:color="000000" w:sz="4" w:space="0"/>
            </w:tcBorders>
            <w:noWrap w:val="0"/>
            <w:vAlign w:val="top"/>
          </w:tcPr>
          <w:p/>
        </w:tc>
        <w:tc>
          <w:tcPr>
            <w:tcW w:w="2092" w:type="dxa"/>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302" w:hRule="exact"/>
        </w:trPr>
        <w:tc>
          <w:tcPr>
            <w:tcW w:w="934" w:type="dxa"/>
            <w:tcBorders>
              <w:top w:val="single" w:color="000000" w:sz="4" w:space="0"/>
              <w:left w:val="single" w:color="000000" w:sz="4" w:space="0"/>
              <w:bottom w:val="single" w:color="000000" w:sz="4" w:space="0"/>
              <w:right w:val="single" w:color="000000" w:sz="4" w:space="0"/>
            </w:tcBorders>
            <w:noWrap w:val="0"/>
            <w:vAlign w:val="top"/>
          </w:tcPr>
          <w:p>
            <w:pPr>
              <w:pStyle w:val="15"/>
              <w:spacing w:line="288" w:lineRule="exact"/>
              <w:ind w:left="353" w:right="0"/>
              <w:jc w:val="left"/>
              <w:rPr>
                <w:rFonts w:ascii="Microsoft JhengHei" w:hAnsi="Microsoft JhengHei" w:eastAsia="Microsoft JhengHei" w:cs="Microsoft JhengHei"/>
                <w:sz w:val="22"/>
                <w:szCs w:val="22"/>
              </w:rPr>
            </w:pPr>
            <w:r>
              <w:rPr>
                <w:rFonts w:ascii="Microsoft JhengHei" w:hAnsi="Microsoft JhengHei" w:eastAsia="Microsoft JhengHei" w:cs="Microsoft JhengHei"/>
                <w:b/>
                <w:bCs/>
                <w:w w:val="115"/>
                <w:sz w:val="22"/>
                <w:szCs w:val="22"/>
              </w:rPr>
              <w:t>……</w:t>
            </w:r>
          </w:p>
        </w:tc>
        <w:tc>
          <w:tcPr>
            <w:tcW w:w="821" w:type="dxa"/>
            <w:tcBorders>
              <w:top w:val="single" w:color="000000" w:sz="4" w:space="0"/>
              <w:left w:val="single" w:color="000000" w:sz="4" w:space="0"/>
              <w:bottom w:val="single" w:color="000000" w:sz="4" w:space="0"/>
              <w:right w:val="single" w:color="000000" w:sz="4" w:space="0"/>
            </w:tcBorders>
            <w:noWrap w:val="0"/>
            <w:vAlign w:val="top"/>
          </w:tcPr>
          <w:p/>
        </w:tc>
        <w:tc>
          <w:tcPr>
            <w:tcW w:w="1279" w:type="dxa"/>
            <w:gridSpan w:val="2"/>
            <w:tcBorders>
              <w:top w:val="single" w:color="000000" w:sz="4" w:space="0"/>
              <w:left w:val="single" w:color="000000" w:sz="4" w:space="0"/>
              <w:bottom w:val="single" w:color="000000" w:sz="4" w:space="0"/>
              <w:right w:val="single" w:color="000000" w:sz="4" w:space="0"/>
            </w:tcBorders>
            <w:noWrap w:val="0"/>
            <w:vAlign w:val="top"/>
          </w:tcPr>
          <w:p/>
        </w:tc>
        <w:tc>
          <w:tcPr>
            <w:tcW w:w="1690" w:type="dxa"/>
            <w:tcBorders>
              <w:top w:val="single" w:color="000000" w:sz="4" w:space="0"/>
              <w:left w:val="single" w:color="000000" w:sz="4" w:space="0"/>
              <w:bottom w:val="single" w:color="000000" w:sz="4" w:space="0"/>
              <w:right w:val="single" w:color="000000" w:sz="4" w:space="0"/>
            </w:tcBorders>
            <w:noWrap w:val="0"/>
            <w:vAlign w:val="top"/>
          </w:tcPr>
          <w:p/>
        </w:tc>
        <w:tc>
          <w:tcPr>
            <w:tcW w:w="1081" w:type="dxa"/>
            <w:tcBorders>
              <w:top w:val="single" w:color="000000" w:sz="4" w:space="0"/>
              <w:left w:val="single" w:color="000000" w:sz="4" w:space="0"/>
              <w:bottom w:val="single" w:color="000000" w:sz="4" w:space="0"/>
              <w:right w:val="single" w:color="000000" w:sz="4" w:space="0"/>
            </w:tcBorders>
            <w:noWrap w:val="0"/>
            <w:vAlign w:val="top"/>
          </w:tcPr>
          <w:p/>
        </w:tc>
        <w:tc>
          <w:tcPr>
            <w:tcW w:w="1759" w:type="dxa"/>
            <w:tcBorders>
              <w:top w:val="single" w:color="000000" w:sz="4" w:space="0"/>
              <w:left w:val="single" w:color="000000" w:sz="4" w:space="0"/>
              <w:bottom w:val="single" w:color="000000" w:sz="4" w:space="0"/>
              <w:right w:val="single" w:color="000000" w:sz="4" w:space="0"/>
            </w:tcBorders>
            <w:noWrap w:val="0"/>
            <w:vAlign w:val="top"/>
          </w:tcPr>
          <w:p/>
        </w:tc>
        <w:tc>
          <w:tcPr>
            <w:tcW w:w="2018" w:type="dxa"/>
            <w:gridSpan w:val="2"/>
            <w:tcBorders>
              <w:top w:val="single" w:color="000000" w:sz="4" w:space="0"/>
              <w:left w:val="single" w:color="000000" w:sz="4" w:space="0"/>
              <w:bottom w:val="single" w:color="000000" w:sz="4" w:space="0"/>
              <w:right w:val="single" w:color="000000" w:sz="4" w:space="0"/>
            </w:tcBorders>
            <w:noWrap w:val="0"/>
            <w:vAlign w:val="top"/>
          </w:tcPr>
          <w:p/>
        </w:tc>
        <w:tc>
          <w:tcPr>
            <w:tcW w:w="2499" w:type="dxa"/>
            <w:tcBorders>
              <w:top w:val="single" w:color="000000" w:sz="4" w:space="0"/>
              <w:left w:val="single" w:color="000000" w:sz="4" w:space="0"/>
              <w:bottom w:val="single" w:color="000000" w:sz="4" w:space="0"/>
              <w:right w:val="single" w:color="000000" w:sz="4" w:space="0"/>
            </w:tcBorders>
            <w:noWrap w:val="0"/>
            <w:vAlign w:val="top"/>
          </w:tcPr>
          <w:p/>
        </w:tc>
        <w:tc>
          <w:tcPr>
            <w:tcW w:w="2092" w:type="dxa"/>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256" w:hRule="exact"/>
        </w:trPr>
        <w:tc>
          <w:tcPr>
            <w:tcW w:w="9582" w:type="dxa"/>
            <w:gridSpan w:val="9"/>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eastAsia="宋体"/>
                <w:lang w:val="en-US" w:eastAsia="zh-CN"/>
              </w:rPr>
            </w:pPr>
            <w:r>
              <w:rPr>
                <w:rFonts w:hint="eastAsia"/>
                <w:lang w:val="en-US" w:eastAsia="zh-CN"/>
              </w:rPr>
              <w:t>合计</w:t>
            </w:r>
          </w:p>
        </w:tc>
        <w:tc>
          <w:tcPr>
            <w:tcW w:w="2499" w:type="dxa"/>
            <w:tcBorders>
              <w:top w:val="single" w:color="000000" w:sz="4" w:space="0"/>
              <w:left w:val="single" w:color="000000" w:sz="4" w:space="0"/>
              <w:bottom w:val="single" w:color="000000" w:sz="4" w:space="0"/>
              <w:right w:val="single" w:color="000000" w:sz="4" w:space="0"/>
            </w:tcBorders>
            <w:noWrap w:val="0"/>
            <w:vAlign w:val="top"/>
          </w:tcPr>
          <w:p/>
        </w:tc>
        <w:tc>
          <w:tcPr>
            <w:tcW w:w="2092" w:type="dxa"/>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257" w:hRule="exact"/>
        </w:trPr>
        <w:tc>
          <w:tcPr>
            <w:tcW w:w="14173" w:type="dxa"/>
            <w:gridSpan w:val="11"/>
            <w:tcBorders>
              <w:top w:val="single" w:color="000000" w:sz="4" w:space="0"/>
              <w:left w:val="single" w:color="000000" w:sz="4" w:space="0"/>
              <w:bottom w:val="single" w:color="000000" w:sz="4" w:space="0"/>
              <w:right w:val="single" w:color="000000" w:sz="4" w:space="0"/>
            </w:tcBorders>
            <w:noWrap w:val="0"/>
            <w:vAlign w:val="top"/>
          </w:tcPr>
          <w:p>
            <w:pPr>
              <w:pStyle w:val="15"/>
              <w:spacing w:line="280" w:lineRule="exact"/>
              <w:ind w:left="103" w:right="0"/>
              <w:jc w:val="left"/>
              <w:rPr>
                <w:rFonts w:ascii="PMingLiU" w:hAnsi="PMingLiU" w:eastAsia="PMingLiU" w:cs="PMingLiU"/>
                <w:sz w:val="22"/>
                <w:szCs w:val="22"/>
              </w:rPr>
            </w:pPr>
            <w:r>
              <w:rPr>
                <w:rFonts w:ascii="PMingLiU" w:hAnsi="PMingLiU" w:eastAsia="PMingLiU" w:cs="PMingLiU"/>
                <w:sz w:val="22"/>
                <w:szCs w:val="22"/>
              </w:rPr>
              <w:t>企业开户银行名称：</w:t>
            </w:r>
          </w:p>
        </w:tc>
      </w:tr>
      <w:tr>
        <w:tblPrEx>
          <w:tblCellMar>
            <w:top w:w="0" w:type="dxa"/>
            <w:left w:w="0" w:type="dxa"/>
            <w:bottom w:w="0" w:type="dxa"/>
            <w:right w:w="0" w:type="dxa"/>
          </w:tblCellMar>
        </w:tblPrEx>
        <w:trPr>
          <w:trHeight w:val="269" w:hRule="exact"/>
        </w:trPr>
        <w:tc>
          <w:tcPr>
            <w:tcW w:w="14173" w:type="dxa"/>
            <w:gridSpan w:val="11"/>
            <w:tcBorders>
              <w:top w:val="single" w:color="000000" w:sz="4" w:space="0"/>
              <w:left w:val="single" w:color="000000" w:sz="4" w:space="0"/>
              <w:bottom w:val="single" w:color="000000" w:sz="4" w:space="0"/>
              <w:right w:val="single" w:color="000000" w:sz="4" w:space="0"/>
            </w:tcBorders>
            <w:noWrap w:val="0"/>
            <w:vAlign w:val="top"/>
          </w:tcPr>
          <w:p>
            <w:pPr>
              <w:pStyle w:val="15"/>
              <w:spacing w:line="281" w:lineRule="exact"/>
              <w:ind w:left="103" w:right="0"/>
              <w:jc w:val="left"/>
              <w:rPr>
                <w:rFonts w:ascii="PMingLiU" w:hAnsi="PMingLiU" w:eastAsia="PMingLiU" w:cs="PMingLiU"/>
                <w:sz w:val="22"/>
                <w:szCs w:val="22"/>
              </w:rPr>
            </w:pPr>
            <w:r>
              <w:rPr>
                <w:rFonts w:ascii="PMingLiU" w:hAnsi="PMingLiU" w:eastAsia="PMingLiU" w:cs="PMingLiU"/>
                <w:sz w:val="22"/>
                <w:szCs w:val="22"/>
              </w:rPr>
              <w:t>企业开户银行人民币账号：</w:t>
            </w:r>
          </w:p>
        </w:tc>
      </w:tr>
      <w:tr>
        <w:tblPrEx>
          <w:tblCellMar>
            <w:top w:w="0" w:type="dxa"/>
            <w:left w:w="0" w:type="dxa"/>
            <w:bottom w:w="0" w:type="dxa"/>
            <w:right w:w="0" w:type="dxa"/>
          </w:tblCellMar>
        </w:tblPrEx>
        <w:trPr>
          <w:trHeight w:val="1575" w:hRule="exact"/>
        </w:trPr>
        <w:tc>
          <w:tcPr>
            <w:tcW w:w="14173" w:type="dxa"/>
            <w:gridSpan w:val="11"/>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20" w:lineRule="exact"/>
              <w:ind w:left="982" w:right="2893" w:hanging="879"/>
              <w:jc w:val="left"/>
              <w:textAlignment w:val="auto"/>
              <w:rPr>
                <w:rFonts w:ascii="PMingLiU" w:hAnsi="PMingLiU" w:eastAsia="PMingLiU" w:cs="PMingLiU"/>
                <w:sz w:val="22"/>
                <w:szCs w:val="22"/>
              </w:rPr>
            </w:pPr>
            <w:r>
              <w:rPr>
                <w:rFonts w:ascii="PMingLiU" w:hAnsi="PMingLiU" w:eastAsia="PMingLiU" w:cs="PMingLiU"/>
                <w:sz w:val="22"/>
                <w:szCs w:val="22"/>
              </w:rPr>
              <w:t>兹声明：1.以上填报内容无讹并承担法律责任。</w:t>
            </w:r>
          </w:p>
          <w:p>
            <w:pPr>
              <w:pStyle w:val="15"/>
              <w:keepNext w:val="0"/>
              <w:keepLines w:val="0"/>
              <w:pageBreakBefore w:val="0"/>
              <w:widowControl w:val="0"/>
              <w:kinsoku/>
              <w:wordWrap/>
              <w:overflowPunct/>
              <w:topLinePunct w:val="0"/>
              <w:autoSpaceDE/>
              <w:autoSpaceDN/>
              <w:bidi w:val="0"/>
              <w:adjustRightInd/>
              <w:snapToGrid/>
              <w:spacing w:line="320" w:lineRule="exact"/>
              <w:ind w:left="937" w:leftChars="446" w:right="2893" w:firstLine="0" w:firstLineChars="0"/>
              <w:jc w:val="left"/>
              <w:textAlignment w:val="auto"/>
              <w:rPr>
                <w:rFonts w:ascii="PMingLiU" w:hAnsi="PMingLiU" w:eastAsia="PMingLiU" w:cs="PMingLiU"/>
                <w:spacing w:val="-2"/>
                <w:sz w:val="22"/>
                <w:szCs w:val="22"/>
              </w:rPr>
            </w:pPr>
            <w:r>
              <w:rPr>
                <w:rFonts w:ascii="PMingLiU" w:hAnsi="PMingLiU" w:eastAsia="PMingLiU" w:cs="PMingLiU"/>
                <w:spacing w:val="-2"/>
                <w:sz w:val="22"/>
                <w:szCs w:val="22"/>
              </w:rPr>
              <w:t>2.本企业获得财政等配套政策支持后，愿意积极配合有关部门做好资金绩效评价、审计和经验总结等工作。</w:t>
            </w:r>
          </w:p>
          <w:p>
            <w:pPr>
              <w:pStyle w:val="15"/>
              <w:keepNext w:val="0"/>
              <w:keepLines w:val="0"/>
              <w:pageBreakBefore w:val="0"/>
              <w:widowControl w:val="0"/>
              <w:kinsoku/>
              <w:wordWrap/>
              <w:overflowPunct/>
              <w:topLinePunct w:val="0"/>
              <w:autoSpaceDE/>
              <w:autoSpaceDN/>
              <w:bidi w:val="0"/>
              <w:adjustRightInd/>
              <w:snapToGrid/>
              <w:spacing w:line="320" w:lineRule="exact"/>
              <w:ind w:right="99"/>
              <w:jc w:val="right"/>
              <w:textAlignment w:val="auto"/>
              <w:rPr>
                <w:rFonts w:ascii="PMingLiU" w:hAnsi="PMingLiU" w:eastAsia="PMingLiU" w:cs="PMingLiU"/>
                <w:sz w:val="22"/>
                <w:szCs w:val="22"/>
              </w:rPr>
            </w:pPr>
            <w:r>
              <w:rPr>
                <w:rFonts w:ascii="PMingLiU" w:hAnsi="PMingLiU" w:eastAsia="PMingLiU" w:cs="PMingLiU"/>
                <w:spacing w:val="-2"/>
                <w:sz w:val="22"/>
                <w:szCs w:val="22"/>
              </w:rPr>
              <w:t>企业法人（签名或印鉴）</w:t>
            </w:r>
          </w:p>
          <w:p>
            <w:pPr>
              <w:pStyle w:val="15"/>
              <w:keepNext w:val="0"/>
              <w:keepLines w:val="0"/>
              <w:pageBreakBefore w:val="0"/>
              <w:widowControl w:val="0"/>
              <w:kinsoku/>
              <w:wordWrap/>
              <w:overflowPunct/>
              <w:topLinePunct w:val="0"/>
              <w:autoSpaceDE/>
              <w:autoSpaceDN/>
              <w:bidi w:val="0"/>
              <w:adjustRightInd/>
              <w:snapToGrid/>
              <w:spacing w:line="320" w:lineRule="exact"/>
              <w:ind w:right="699"/>
              <w:jc w:val="right"/>
              <w:textAlignment w:val="auto"/>
              <w:rPr>
                <w:rFonts w:ascii="PMingLiU" w:hAnsi="PMingLiU" w:eastAsia="PMingLiU" w:cs="PMingLiU"/>
                <w:sz w:val="22"/>
                <w:szCs w:val="22"/>
              </w:rPr>
            </w:pPr>
            <w:r>
              <w:rPr>
                <w:rFonts w:ascii="PMingLiU" w:hAnsi="PMingLiU" w:eastAsia="PMingLiU" w:cs="PMingLiU"/>
                <w:spacing w:val="-1"/>
                <w:sz w:val="22"/>
                <w:szCs w:val="22"/>
              </w:rPr>
              <w:t>公章</w:t>
            </w:r>
          </w:p>
          <w:p>
            <w:pPr>
              <w:pStyle w:val="15"/>
              <w:keepNext w:val="0"/>
              <w:keepLines w:val="0"/>
              <w:pageBreakBefore w:val="0"/>
              <w:widowControl w:val="0"/>
              <w:tabs>
                <w:tab w:val="left" w:pos="549"/>
                <w:tab w:val="left" w:pos="1209"/>
              </w:tabs>
              <w:kinsoku/>
              <w:wordWrap/>
              <w:overflowPunct/>
              <w:topLinePunct w:val="0"/>
              <w:autoSpaceDE/>
              <w:autoSpaceDN/>
              <w:bidi w:val="0"/>
              <w:adjustRightInd/>
              <w:snapToGrid/>
              <w:spacing w:line="320" w:lineRule="exact"/>
              <w:ind w:right="101"/>
              <w:jc w:val="right"/>
              <w:textAlignment w:val="auto"/>
              <w:rPr>
                <w:rFonts w:ascii="PMingLiU" w:hAnsi="PMingLiU" w:eastAsia="PMingLiU" w:cs="PMingLiU"/>
                <w:sz w:val="22"/>
                <w:szCs w:val="22"/>
              </w:rPr>
            </w:pPr>
            <w:r>
              <w:rPr>
                <w:rFonts w:ascii="PMingLiU" w:hAnsi="PMingLiU" w:eastAsia="PMingLiU" w:cs="PMingLiU"/>
                <w:sz w:val="22"/>
                <w:szCs w:val="22"/>
              </w:rPr>
              <w:t>年</w:t>
            </w:r>
            <w:r>
              <w:rPr>
                <w:rFonts w:ascii="PMingLiU" w:hAnsi="PMingLiU" w:eastAsia="PMingLiU" w:cs="PMingLiU"/>
                <w:sz w:val="22"/>
                <w:szCs w:val="22"/>
              </w:rPr>
              <w:tab/>
            </w:r>
            <w:r>
              <w:rPr>
                <w:rFonts w:ascii="PMingLiU" w:hAnsi="PMingLiU" w:eastAsia="PMingLiU" w:cs="PMingLiU"/>
                <w:sz w:val="22"/>
                <w:szCs w:val="22"/>
              </w:rPr>
              <w:t>月</w:t>
            </w:r>
            <w:r>
              <w:rPr>
                <w:rFonts w:ascii="PMingLiU" w:hAnsi="PMingLiU" w:eastAsia="PMingLiU" w:cs="PMingLiU"/>
                <w:sz w:val="22"/>
                <w:szCs w:val="22"/>
              </w:rPr>
              <w:tab/>
            </w:r>
            <w:r>
              <w:rPr>
                <w:rFonts w:ascii="PMingLiU" w:hAnsi="PMingLiU" w:eastAsia="PMingLiU" w:cs="PMingLiU"/>
                <w:sz w:val="22"/>
                <w:szCs w:val="22"/>
              </w:rPr>
              <w:t>日</w:t>
            </w:r>
          </w:p>
        </w:tc>
      </w:tr>
    </w:tbl>
    <w:p>
      <w:pPr>
        <w:keepNext w:val="0"/>
        <w:keepLines w:val="0"/>
        <w:pageBreakBefore w:val="0"/>
        <w:widowControl w:val="0"/>
        <w:kinsoku/>
        <w:wordWrap/>
        <w:overflowPunct/>
        <w:topLinePunct w:val="0"/>
        <w:autoSpaceDE/>
        <w:autoSpaceDN/>
        <w:bidi w:val="0"/>
        <w:adjustRightInd/>
        <w:snapToGrid/>
        <w:spacing w:line="340" w:lineRule="exact"/>
        <w:ind w:left="900" w:right="2970" w:rightChars="0" w:hanging="661"/>
        <w:jc w:val="left"/>
        <w:textAlignment w:val="auto"/>
        <w:rPr>
          <w:rFonts w:hint="eastAsia" w:ascii="宋体" w:hAnsi="宋体" w:eastAsia="宋体" w:cs="宋体"/>
          <w:sz w:val="21"/>
          <w:szCs w:val="21"/>
        </w:rPr>
      </w:pPr>
      <w:r>
        <w:rPr>
          <w:rFonts w:hint="eastAsia" w:ascii="宋体" w:hAnsi="宋体" w:eastAsia="宋体" w:cs="宋体"/>
          <w:sz w:val="21"/>
          <w:szCs w:val="21"/>
        </w:rPr>
        <w:t>说明：1.被保险人包括广东共同被保险人，海关编码均以44开头。</w:t>
      </w:r>
    </w:p>
    <w:p>
      <w:pPr>
        <w:keepNext w:val="0"/>
        <w:keepLines w:val="0"/>
        <w:pageBreakBefore w:val="0"/>
        <w:widowControl w:val="0"/>
        <w:kinsoku/>
        <w:wordWrap/>
        <w:overflowPunct/>
        <w:topLinePunct w:val="0"/>
        <w:autoSpaceDE/>
        <w:autoSpaceDN/>
        <w:bidi w:val="0"/>
        <w:adjustRightInd/>
        <w:snapToGrid/>
        <w:spacing w:line="340" w:lineRule="exact"/>
        <w:ind w:left="857" w:leftChars="408" w:right="2970" w:righ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2.实缴保险费以保险公司开具的发票金额为准。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pacing w:val="-5"/>
          <w:sz w:val="21"/>
          <w:szCs w:val="21"/>
          <w:lang w:eastAsia="zh"/>
        </w:rPr>
      </w:pPr>
      <w:r>
        <w:rPr>
          <w:rFonts w:hint="eastAsia" w:ascii="宋体" w:hAnsi="宋体" w:eastAsia="宋体" w:cs="宋体"/>
          <w:spacing w:val="-3"/>
          <w:sz w:val="21"/>
          <w:szCs w:val="21"/>
          <w:lang w:val="en-US" w:eastAsia="zh"/>
        </w:rPr>
        <w:t xml:space="preserve">        </w:t>
      </w:r>
      <w:r>
        <w:rPr>
          <w:rFonts w:hint="eastAsia" w:ascii="宋体" w:hAnsi="宋体" w:eastAsia="宋体" w:cs="宋体"/>
          <w:spacing w:val="-3"/>
          <w:sz w:val="21"/>
          <w:szCs w:val="21"/>
        </w:rPr>
        <w:t>3.企业名称及开户银行名称需填全称，即“XX</w:t>
      </w:r>
      <w:r>
        <w:rPr>
          <w:rFonts w:hint="eastAsia" w:ascii="宋体" w:hAnsi="宋体" w:eastAsia="宋体" w:cs="宋体"/>
          <w:sz w:val="21"/>
          <w:szCs w:val="21"/>
        </w:rPr>
        <w:t>银行股份有限公司XX</w:t>
      </w:r>
      <w:r>
        <w:rPr>
          <w:rFonts w:hint="eastAsia" w:ascii="宋体" w:hAnsi="宋体" w:eastAsia="宋体" w:cs="宋体"/>
          <w:spacing w:val="-5"/>
          <w:sz w:val="21"/>
          <w:szCs w:val="21"/>
        </w:rPr>
        <w:t>分行（支行）”；银行账号应为申请资助企业的人民币开户银行账号</w:t>
      </w:r>
      <w:r>
        <w:rPr>
          <w:rFonts w:hint="eastAsia" w:ascii="宋体" w:hAnsi="宋体" w:eastAsia="宋体" w:cs="宋体"/>
          <w:spacing w:val="-5"/>
          <w:sz w:val="21"/>
          <w:szCs w:val="21"/>
          <w:lang w:eastAsia="zh"/>
        </w:rPr>
        <w:t>。</w:t>
      </w:r>
    </w:p>
    <w:p>
      <w:pPr>
        <w:pStyle w:val="9"/>
        <w:rPr>
          <w:rFonts w:hint="default"/>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eastAsia" w:ascii="CESI黑体-GB2312" w:hAnsi="CESI黑体-GB2312" w:eastAsia="CESI黑体-GB2312" w:cs="CESI黑体-GB2312"/>
          <w:b/>
          <w:bCs/>
          <w:spacing w:val="-5"/>
          <w:sz w:val="32"/>
          <w:szCs w:val="32"/>
          <w:lang w:val="en-US" w:eastAsia="zh-CN"/>
        </w:rPr>
      </w:pPr>
      <w:r>
        <w:rPr>
          <w:rFonts w:hint="eastAsia" w:ascii="CESI黑体-GB2312" w:hAnsi="CESI黑体-GB2312" w:eastAsia="CESI黑体-GB2312" w:cs="CESI黑体-GB2312"/>
          <w:b/>
          <w:bCs/>
          <w:spacing w:val="-5"/>
          <w:sz w:val="32"/>
          <w:szCs w:val="32"/>
          <w:lang w:eastAsia="zh"/>
        </w:rPr>
        <w:t>附件</w:t>
      </w:r>
      <w:r>
        <w:rPr>
          <w:rFonts w:hint="eastAsia" w:ascii="CESI黑体-GB2312" w:hAnsi="CESI黑体-GB2312" w:eastAsia="CESI黑体-GB2312" w:cs="CESI黑体-GB2312"/>
          <w:b/>
          <w:bCs/>
          <w:spacing w:val="-5"/>
          <w:sz w:val="32"/>
          <w:szCs w:val="32"/>
          <w:lang w:val="en-US" w:eastAsia="zh-CN"/>
        </w:rPr>
        <w:t>5</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877"/>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“平台类”项目专项资金申请表</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1071" w:firstLine="0"/>
        <w:jc w:val="center"/>
        <w:textAlignment w:val="auto"/>
        <w:rPr>
          <w:rFonts w:ascii="PMingLiU" w:hAnsi="PMingLiU" w:eastAsia="PMingLiU" w:cs="PMingLiU"/>
          <w:w w:val="105"/>
          <w:sz w:val="24"/>
          <w:szCs w:val="24"/>
        </w:rPr>
      </w:pPr>
      <w:r>
        <w:rPr>
          <w:rFonts w:ascii="PMingLiU" w:hAnsi="PMingLiU" w:eastAsia="PMingLiU" w:cs="PMingLiU"/>
          <w:w w:val="105"/>
          <w:sz w:val="24"/>
          <w:szCs w:val="24"/>
        </w:rPr>
        <w:t>支持时间：202</w:t>
      </w:r>
      <w:r>
        <w:rPr>
          <w:rFonts w:hint="eastAsia" w:ascii="PMingLiU" w:hAnsi="PMingLiU" w:cs="PMingLiU"/>
          <w:w w:val="105"/>
          <w:sz w:val="24"/>
          <w:szCs w:val="24"/>
          <w:lang w:val="en-US" w:eastAsia="zh-CN"/>
        </w:rPr>
        <w:t>5</w:t>
      </w:r>
      <w:r>
        <w:rPr>
          <w:rFonts w:ascii="PMingLiU" w:hAnsi="PMingLiU" w:eastAsia="PMingLiU" w:cs="PMingLiU"/>
          <w:w w:val="105"/>
          <w:sz w:val="24"/>
          <w:szCs w:val="24"/>
        </w:rPr>
        <w:t>年1月至12月</w:t>
      </w:r>
    </w:p>
    <w:p>
      <w:pPr>
        <w:pStyle w:val="9"/>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CESI黑体-GB2312" w:hAnsi="CESI黑体-GB2312" w:eastAsia="CESI黑体-GB2312" w:cs="CESI黑体-GB2312"/>
          <w:b w:val="0"/>
          <w:bCs w:val="0"/>
          <w:sz w:val="24"/>
          <w:szCs w:val="24"/>
        </w:rPr>
      </w:pPr>
      <w:r>
        <w:rPr>
          <w:rFonts w:hint="eastAsia" w:ascii="CESI黑体-GB2312" w:hAnsi="CESI黑体-GB2312" w:eastAsia="CESI黑体-GB2312" w:cs="CESI黑体-GB2312"/>
          <w:b w:val="0"/>
          <w:bCs w:val="0"/>
          <w:sz w:val="24"/>
          <w:szCs w:val="24"/>
        </w:rPr>
        <w:t>填报单位（盖章）：</w:t>
      </w:r>
      <w:r>
        <w:rPr>
          <w:rFonts w:hint="eastAsia" w:ascii="CESI黑体-GB2312" w:hAnsi="CESI黑体-GB2312" w:eastAsia="CESI黑体-GB2312" w:cs="CESI黑体-GB2312"/>
          <w:b w:val="0"/>
          <w:bCs w:val="0"/>
          <w:sz w:val="24"/>
          <w:szCs w:val="24"/>
          <w:lang w:val="en-US" w:eastAsia="zh"/>
        </w:rPr>
        <w:t xml:space="preserve">                                                                           </w:t>
      </w:r>
      <w:r>
        <w:rPr>
          <w:rFonts w:hint="eastAsia" w:ascii="CESI黑体-GB2312" w:hAnsi="CESI黑体-GB2312" w:eastAsia="CESI黑体-GB2312" w:cs="CESI黑体-GB2312"/>
          <w:b w:val="0"/>
          <w:bCs w:val="0"/>
          <w:sz w:val="24"/>
          <w:szCs w:val="24"/>
        </w:rPr>
        <w:tab/>
      </w:r>
      <w:r>
        <w:rPr>
          <w:rFonts w:hint="eastAsia" w:ascii="CESI黑体-GB2312" w:hAnsi="CESI黑体-GB2312" w:eastAsia="CESI黑体-GB2312" w:cs="CESI黑体-GB2312"/>
          <w:b w:val="0"/>
          <w:bCs w:val="0"/>
          <w:sz w:val="24"/>
          <w:szCs w:val="24"/>
        </w:rPr>
        <w:t>填报时间：</w:t>
      </w:r>
      <w:r>
        <w:rPr>
          <w:rFonts w:hint="eastAsia" w:ascii="CESI黑体-GB2312" w:hAnsi="CESI黑体-GB2312" w:eastAsia="CESI黑体-GB2312" w:cs="CESI黑体-GB2312"/>
          <w:b w:val="0"/>
          <w:bCs w:val="0"/>
          <w:sz w:val="24"/>
          <w:szCs w:val="24"/>
        </w:rPr>
        <w:tab/>
      </w:r>
      <w:r>
        <w:rPr>
          <w:rFonts w:hint="eastAsia" w:ascii="CESI黑体-GB2312" w:hAnsi="CESI黑体-GB2312" w:eastAsia="CESI黑体-GB2312" w:cs="CESI黑体-GB2312"/>
          <w:b w:val="0"/>
          <w:bCs w:val="0"/>
          <w:sz w:val="24"/>
          <w:szCs w:val="24"/>
        </w:rPr>
        <w:t>年</w:t>
      </w:r>
      <w:r>
        <w:rPr>
          <w:rFonts w:hint="eastAsia" w:ascii="CESI黑体-GB2312" w:hAnsi="CESI黑体-GB2312" w:eastAsia="CESI黑体-GB2312" w:cs="CESI黑体-GB2312"/>
          <w:b w:val="0"/>
          <w:bCs w:val="0"/>
          <w:sz w:val="24"/>
          <w:szCs w:val="24"/>
        </w:rPr>
        <w:tab/>
      </w:r>
      <w:r>
        <w:rPr>
          <w:rFonts w:hint="eastAsia" w:ascii="CESI黑体-GB2312" w:hAnsi="CESI黑体-GB2312" w:eastAsia="CESI黑体-GB2312" w:cs="CESI黑体-GB2312"/>
          <w:b w:val="0"/>
          <w:bCs w:val="0"/>
          <w:sz w:val="24"/>
          <w:szCs w:val="24"/>
        </w:rPr>
        <w:t>月</w:t>
      </w:r>
      <w:r>
        <w:rPr>
          <w:rFonts w:hint="eastAsia" w:ascii="CESI黑体-GB2312" w:hAnsi="CESI黑体-GB2312" w:eastAsia="CESI黑体-GB2312" w:cs="CESI黑体-GB2312"/>
          <w:b w:val="0"/>
          <w:bCs w:val="0"/>
          <w:sz w:val="24"/>
          <w:szCs w:val="24"/>
        </w:rPr>
        <w:tab/>
      </w:r>
      <w:r>
        <w:rPr>
          <w:rFonts w:hint="eastAsia" w:ascii="CESI黑体-GB2312" w:hAnsi="CESI黑体-GB2312" w:eastAsia="CESI黑体-GB2312" w:cs="CESI黑体-GB2312"/>
          <w:b w:val="0"/>
          <w:bCs w:val="0"/>
          <w:sz w:val="24"/>
          <w:szCs w:val="24"/>
        </w:rPr>
        <w:t>日</w:t>
      </w:r>
    </w:p>
    <w:tbl>
      <w:tblPr>
        <w:tblStyle w:val="10"/>
        <w:tblW w:w="0" w:type="auto"/>
        <w:tblInd w:w="111" w:type="dxa"/>
        <w:tblLayout w:type="fixed"/>
        <w:tblCellMar>
          <w:top w:w="0" w:type="dxa"/>
          <w:left w:w="0" w:type="dxa"/>
          <w:bottom w:w="0" w:type="dxa"/>
          <w:right w:w="0" w:type="dxa"/>
        </w:tblCellMar>
      </w:tblPr>
      <w:tblGrid>
        <w:gridCol w:w="459"/>
        <w:gridCol w:w="510"/>
        <w:gridCol w:w="984"/>
        <w:gridCol w:w="1077"/>
        <w:gridCol w:w="1088"/>
        <w:gridCol w:w="1570"/>
        <w:gridCol w:w="1346"/>
        <w:gridCol w:w="1638"/>
        <w:gridCol w:w="1702"/>
        <w:gridCol w:w="1704"/>
        <w:gridCol w:w="1510"/>
        <w:gridCol w:w="585"/>
      </w:tblGrid>
      <w:tr>
        <w:tblPrEx>
          <w:tblCellMar>
            <w:top w:w="0" w:type="dxa"/>
            <w:left w:w="0" w:type="dxa"/>
            <w:bottom w:w="0" w:type="dxa"/>
            <w:right w:w="0" w:type="dxa"/>
          </w:tblCellMar>
        </w:tblPrEx>
        <w:trPr>
          <w:trHeight w:val="1096" w:hRule="exact"/>
        </w:trPr>
        <w:tc>
          <w:tcPr>
            <w:tcW w:w="459"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320" w:lineRule="exact"/>
              <w:ind w:right="120"/>
              <w:jc w:val="center"/>
              <w:rPr>
                <w:rFonts w:ascii="Microsoft JhengHei" w:hAnsi="Microsoft JhengHei" w:eastAsia="Microsoft JhengHei" w:cs="Microsoft JhengHei"/>
                <w:sz w:val="21"/>
                <w:szCs w:val="21"/>
              </w:rPr>
            </w:pPr>
            <w:r>
              <w:rPr>
                <w:rFonts w:ascii="Microsoft JhengHei" w:hAnsi="Microsoft JhengHei" w:eastAsia="Microsoft JhengHei" w:cs="Microsoft JhengHei"/>
                <w:b/>
                <w:bCs/>
                <w:sz w:val="21"/>
                <w:szCs w:val="21"/>
              </w:rPr>
              <w:t>序号</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320" w:lineRule="exact"/>
              <w:ind w:right="145"/>
              <w:jc w:val="center"/>
              <w:rPr>
                <w:rFonts w:ascii="Microsoft JhengHei" w:hAnsi="Microsoft JhengHei" w:eastAsia="Microsoft JhengHei" w:cs="Microsoft JhengHei"/>
                <w:sz w:val="21"/>
                <w:szCs w:val="21"/>
              </w:rPr>
            </w:pPr>
            <w:r>
              <w:rPr>
                <w:rFonts w:ascii="Microsoft JhengHei" w:hAnsi="Microsoft JhengHei" w:eastAsia="Microsoft JhengHei" w:cs="Microsoft JhengHei"/>
                <w:b/>
                <w:bCs/>
                <w:sz w:val="21"/>
                <w:szCs w:val="21"/>
              </w:rPr>
              <w:t>地市</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320" w:lineRule="exact"/>
              <w:ind w:right="169"/>
              <w:jc w:val="center"/>
              <w:rPr>
                <w:rFonts w:ascii="Microsoft JhengHei" w:hAnsi="Microsoft JhengHei" w:eastAsia="Microsoft JhengHei" w:cs="Microsoft JhengHei"/>
                <w:sz w:val="21"/>
                <w:szCs w:val="21"/>
              </w:rPr>
            </w:pPr>
            <w:r>
              <w:rPr>
                <w:rFonts w:ascii="Microsoft JhengHei" w:hAnsi="Microsoft JhengHei" w:eastAsia="Microsoft JhengHei" w:cs="Microsoft JhengHei"/>
                <w:b/>
                <w:bCs/>
                <w:sz w:val="21"/>
                <w:szCs w:val="21"/>
              </w:rPr>
              <w:t>企业名称</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320" w:lineRule="exact"/>
              <w:ind w:right="111"/>
              <w:jc w:val="center"/>
              <w:rPr>
                <w:rFonts w:ascii="Microsoft JhengHei" w:hAnsi="Microsoft JhengHei" w:eastAsia="Microsoft JhengHei" w:cs="Microsoft JhengHei"/>
                <w:sz w:val="21"/>
                <w:szCs w:val="21"/>
              </w:rPr>
            </w:pPr>
            <w:r>
              <w:rPr>
                <w:rFonts w:ascii="Microsoft JhengHei" w:hAnsi="Microsoft JhengHei" w:eastAsia="Microsoft JhengHei" w:cs="Microsoft JhengHei"/>
                <w:b/>
                <w:bCs/>
                <w:sz w:val="21"/>
                <w:szCs w:val="21"/>
              </w:rPr>
              <w:t>企业经营地址</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240" w:lineRule="auto"/>
              <w:ind w:right="0"/>
              <w:jc w:val="center"/>
              <w:rPr>
                <w:rFonts w:ascii="Microsoft JhengHei" w:hAnsi="Microsoft JhengHei" w:eastAsia="Microsoft JhengHei" w:cs="Microsoft JhengHei"/>
                <w:sz w:val="21"/>
                <w:szCs w:val="21"/>
              </w:rPr>
            </w:pPr>
            <w:r>
              <w:rPr>
                <w:rFonts w:ascii="Microsoft JhengHei" w:hAnsi="Microsoft JhengHei" w:eastAsia="Microsoft JhengHei" w:cs="Microsoft JhengHei"/>
                <w:b/>
                <w:bCs/>
                <w:sz w:val="21"/>
                <w:szCs w:val="21"/>
              </w:rPr>
              <w:t>海关编码</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320" w:lineRule="exact"/>
              <w:ind w:right="121"/>
              <w:jc w:val="center"/>
              <w:rPr>
                <w:rFonts w:ascii="Microsoft JhengHei" w:hAnsi="Microsoft JhengHei" w:eastAsia="Microsoft JhengHei" w:cs="Microsoft JhengHei"/>
                <w:sz w:val="21"/>
                <w:szCs w:val="21"/>
              </w:rPr>
            </w:pPr>
            <w:r>
              <w:rPr>
                <w:rFonts w:ascii="Microsoft JhengHei" w:hAnsi="Microsoft JhengHei" w:eastAsia="Microsoft JhengHei" w:cs="Microsoft JhengHei"/>
                <w:b/>
                <w:bCs/>
                <w:w w:val="95"/>
                <w:sz w:val="21"/>
                <w:szCs w:val="21"/>
              </w:rPr>
              <w:t>202</w:t>
            </w:r>
            <w:r>
              <w:rPr>
                <w:rFonts w:hint="eastAsia" w:ascii="Microsoft JhengHei" w:hAnsi="Microsoft JhengHei" w:cs="Microsoft JhengHei"/>
                <w:b/>
                <w:bCs/>
                <w:w w:val="95"/>
                <w:sz w:val="21"/>
                <w:szCs w:val="21"/>
                <w:lang w:val="en-US" w:eastAsia="zh-CN"/>
              </w:rPr>
              <w:t>4</w:t>
            </w:r>
            <w:r>
              <w:rPr>
                <w:rFonts w:ascii="Microsoft JhengHei" w:hAnsi="Microsoft JhengHei" w:eastAsia="Microsoft JhengHei" w:cs="Microsoft JhengHei"/>
                <w:b/>
                <w:bCs/>
                <w:w w:val="95"/>
                <w:sz w:val="21"/>
                <w:szCs w:val="21"/>
              </w:rPr>
              <w:t>年度出口</w:t>
            </w:r>
            <w:r>
              <w:rPr>
                <w:rFonts w:ascii="Microsoft JhengHei" w:hAnsi="Microsoft JhengHei" w:eastAsia="Microsoft JhengHei" w:cs="Microsoft JhengHei"/>
                <w:b/>
                <w:bCs/>
                <w:sz w:val="21"/>
                <w:szCs w:val="21"/>
              </w:rPr>
              <w:t>额(美元)</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240" w:lineRule="auto"/>
              <w:ind w:right="0"/>
              <w:jc w:val="center"/>
              <w:rPr>
                <w:rFonts w:ascii="Microsoft JhengHei" w:hAnsi="Microsoft JhengHei" w:eastAsia="Microsoft JhengHei" w:cs="Microsoft JhengHei"/>
                <w:sz w:val="21"/>
                <w:szCs w:val="21"/>
              </w:rPr>
            </w:pPr>
            <w:r>
              <w:rPr>
                <w:rFonts w:ascii="Microsoft JhengHei" w:hAnsi="Microsoft JhengHei" w:eastAsia="Microsoft JhengHei" w:cs="Microsoft JhengHei"/>
                <w:b/>
                <w:bCs/>
                <w:sz w:val="21"/>
                <w:szCs w:val="21"/>
              </w:rPr>
              <w:t>保险单编号</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240" w:lineRule="auto"/>
              <w:ind w:right="0"/>
              <w:jc w:val="center"/>
              <w:rPr>
                <w:rFonts w:ascii="Microsoft JhengHei" w:hAnsi="Microsoft JhengHei" w:eastAsia="Microsoft JhengHei" w:cs="Microsoft JhengHei"/>
                <w:sz w:val="22"/>
                <w:szCs w:val="22"/>
              </w:rPr>
            </w:pPr>
            <w:r>
              <w:rPr>
                <w:rFonts w:ascii="Microsoft JhengHei" w:hAnsi="Microsoft JhengHei" w:eastAsia="Microsoft JhengHei" w:cs="Microsoft JhengHei"/>
                <w:b/>
                <w:bCs/>
                <w:sz w:val="22"/>
                <w:szCs w:val="22"/>
              </w:rPr>
              <w:t>发票开具时间</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66" w:line="342" w:lineRule="exact"/>
              <w:ind w:right="0"/>
              <w:jc w:val="center"/>
              <w:rPr>
                <w:rFonts w:ascii="Microsoft JhengHei" w:hAnsi="Microsoft JhengHei" w:eastAsia="Microsoft JhengHei" w:cs="Microsoft JhengHei"/>
                <w:sz w:val="21"/>
                <w:szCs w:val="21"/>
              </w:rPr>
            </w:pPr>
            <w:r>
              <w:rPr>
                <w:rFonts w:ascii="Microsoft JhengHei" w:hAnsi="Microsoft JhengHei" w:eastAsia="Microsoft JhengHei" w:cs="Microsoft JhengHei"/>
                <w:b/>
                <w:bCs/>
                <w:sz w:val="21"/>
                <w:szCs w:val="21"/>
              </w:rPr>
              <w:t>发票金额</w:t>
            </w:r>
          </w:p>
          <w:p>
            <w:pPr>
              <w:pStyle w:val="15"/>
              <w:spacing w:line="342" w:lineRule="exact"/>
              <w:ind w:right="0"/>
              <w:jc w:val="center"/>
              <w:rPr>
                <w:rFonts w:ascii="Microsoft JhengHei" w:hAnsi="Microsoft JhengHei" w:eastAsia="Microsoft JhengHei" w:cs="Microsoft JhengHei"/>
                <w:sz w:val="21"/>
                <w:szCs w:val="21"/>
              </w:rPr>
            </w:pPr>
            <w:r>
              <w:rPr>
                <w:rFonts w:ascii="Microsoft JhengHei" w:hAnsi="Microsoft JhengHei" w:eastAsia="Microsoft JhengHei" w:cs="Microsoft JhengHei"/>
                <w:b/>
                <w:bCs/>
                <w:sz w:val="21"/>
                <w:szCs w:val="21"/>
              </w:rPr>
              <w:t>（人民币元)</w:t>
            </w:r>
          </w:p>
        </w:tc>
        <w:tc>
          <w:tcPr>
            <w:tcW w:w="1704"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320" w:lineRule="exact"/>
              <w:ind w:right="108"/>
              <w:jc w:val="center"/>
              <w:rPr>
                <w:rFonts w:ascii="Microsoft JhengHei" w:hAnsi="Microsoft JhengHei" w:eastAsia="Microsoft JhengHei" w:cs="Microsoft JhengHei"/>
                <w:sz w:val="21"/>
                <w:szCs w:val="21"/>
              </w:rPr>
            </w:pPr>
            <w:r>
              <w:rPr>
                <w:rFonts w:ascii="Microsoft JhengHei" w:hAnsi="Microsoft JhengHei" w:eastAsia="Microsoft JhengHei" w:cs="Microsoft JhengHei"/>
                <w:b/>
                <w:bCs/>
                <w:sz w:val="21"/>
                <w:szCs w:val="21"/>
              </w:rPr>
              <w:t>保险公司应收款金额（人民币）</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66" w:line="342" w:lineRule="exact"/>
              <w:ind w:right="1"/>
              <w:jc w:val="center"/>
              <w:rPr>
                <w:rFonts w:ascii="Microsoft JhengHei" w:hAnsi="Microsoft JhengHei" w:eastAsia="Microsoft JhengHei" w:cs="Microsoft JhengHei"/>
                <w:sz w:val="21"/>
                <w:szCs w:val="21"/>
              </w:rPr>
            </w:pPr>
            <w:r>
              <w:rPr>
                <w:rFonts w:ascii="Microsoft JhengHei" w:hAnsi="Microsoft JhengHei" w:eastAsia="Microsoft JhengHei" w:cs="Microsoft JhengHei"/>
                <w:b/>
                <w:bCs/>
                <w:sz w:val="21"/>
                <w:szCs w:val="21"/>
              </w:rPr>
              <w:t>申请资助金额</w:t>
            </w:r>
          </w:p>
          <w:p>
            <w:pPr>
              <w:pStyle w:val="15"/>
              <w:spacing w:line="342" w:lineRule="exact"/>
              <w:ind w:right="1"/>
              <w:jc w:val="center"/>
              <w:rPr>
                <w:rFonts w:ascii="Microsoft JhengHei" w:hAnsi="Microsoft JhengHei" w:eastAsia="Microsoft JhengHei" w:cs="Microsoft JhengHei"/>
                <w:sz w:val="21"/>
                <w:szCs w:val="21"/>
              </w:rPr>
            </w:pPr>
            <w:r>
              <w:rPr>
                <w:rFonts w:ascii="Microsoft JhengHei" w:hAnsi="Microsoft JhengHei" w:eastAsia="Microsoft JhengHei" w:cs="Microsoft JhengHei"/>
                <w:b/>
                <w:bCs/>
                <w:sz w:val="21"/>
                <w:szCs w:val="21"/>
              </w:rPr>
              <w:t>（人民币）</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320" w:lineRule="exact"/>
              <w:ind w:right="182"/>
              <w:jc w:val="center"/>
              <w:rPr>
                <w:rFonts w:ascii="Microsoft JhengHei" w:hAnsi="Microsoft JhengHei" w:eastAsia="Microsoft JhengHei" w:cs="Microsoft JhengHei"/>
                <w:sz w:val="21"/>
                <w:szCs w:val="21"/>
              </w:rPr>
            </w:pPr>
            <w:r>
              <w:rPr>
                <w:rFonts w:ascii="Microsoft JhengHei" w:hAnsi="Microsoft JhengHei" w:eastAsia="Microsoft JhengHei" w:cs="Microsoft JhengHei"/>
                <w:b/>
                <w:bCs/>
                <w:sz w:val="21"/>
                <w:szCs w:val="21"/>
              </w:rPr>
              <w:t>备注</w:t>
            </w:r>
          </w:p>
        </w:tc>
      </w:tr>
      <w:tr>
        <w:tblPrEx>
          <w:tblCellMar>
            <w:top w:w="0" w:type="dxa"/>
            <w:left w:w="0" w:type="dxa"/>
            <w:bottom w:w="0" w:type="dxa"/>
            <w:right w:w="0" w:type="dxa"/>
          </w:tblCellMar>
        </w:tblPrEx>
        <w:trPr>
          <w:trHeight w:val="454" w:hRule="exact"/>
        </w:trPr>
        <w:tc>
          <w:tcPr>
            <w:tcW w:w="459" w:type="dxa"/>
            <w:tcBorders>
              <w:top w:val="single" w:color="000000" w:sz="4" w:space="0"/>
              <w:left w:val="single" w:color="000000" w:sz="4" w:space="0"/>
              <w:bottom w:val="single" w:color="000000" w:sz="4" w:space="0"/>
              <w:right w:val="single" w:color="000000" w:sz="4" w:space="0"/>
            </w:tcBorders>
            <w:noWrap w:val="0"/>
            <w:vAlign w:val="top"/>
          </w:tcPr>
          <w:p/>
        </w:tc>
        <w:tc>
          <w:tcPr>
            <w:tcW w:w="510" w:type="dxa"/>
            <w:tcBorders>
              <w:top w:val="single" w:color="000000" w:sz="4" w:space="0"/>
              <w:left w:val="single" w:color="000000" w:sz="4" w:space="0"/>
              <w:bottom w:val="single" w:color="000000" w:sz="4" w:space="0"/>
              <w:right w:val="single" w:color="000000" w:sz="4" w:space="0"/>
            </w:tcBorders>
            <w:noWrap w:val="0"/>
            <w:vAlign w:val="top"/>
          </w:tcPr>
          <w:p/>
        </w:tc>
        <w:tc>
          <w:tcPr>
            <w:tcW w:w="984" w:type="dxa"/>
            <w:tcBorders>
              <w:top w:val="single" w:color="000000" w:sz="4" w:space="0"/>
              <w:left w:val="single" w:color="000000" w:sz="4" w:space="0"/>
              <w:bottom w:val="single" w:color="000000" w:sz="4" w:space="0"/>
              <w:right w:val="single" w:color="000000" w:sz="4" w:space="0"/>
            </w:tcBorders>
            <w:noWrap w:val="0"/>
            <w:vAlign w:val="top"/>
          </w:tcPr>
          <w:p/>
        </w:tc>
        <w:tc>
          <w:tcPr>
            <w:tcW w:w="1077" w:type="dxa"/>
            <w:tcBorders>
              <w:top w:val="single" w:color="000000" w:sz="4" w:space="0"/>
              <w:left w:val="single" w:color="000000" w:sz="4" w:space="0"/>
              <w:bottom w:val="single" w:color="000000" w:sz="4" w:space="0"/>
              <w:right w:val="single" w:color="000000" w:sz="4" w:space="0"/>
            </w:tcBorders>
            <w:noWrap w:val="0"/>
            <w:vAlign w:val="top"/>
          </w:tcPr>
          <w:p/>
        </w:tc>
        <w:tc>
          <w:tcPr>
            <w:tcW w:w="1088" w:type="dxa"/>
            <w:tcBorders>
              <w:top w:val="single" w:color="000000" w:sz="4" w:space="0"/>
              <w:left w:val="single" w:color="000000" w:sz="4" w:space="0"/>
              <w:bottom w:val="single" w:color="000000" w:sz="4" w:space="0"/>
              <w:right w:val="single" w:color="000000" w:sz="4" w:space="0"/>
            </w:tcBorders>
            <w:noWrap w:val="0"/>
            <w:vAlign w:val="top"/>
          </w:tcPr>
          <w:p/>
        </w:tc>
        <w:tc>
          <w:tcPr>
            <w:tcW w:w="1570" w:type="dxa"/>
            <w:tcBorders>
              <w:top w:val="single" w:color="000000" w:sz="4" w:space="0"/>
              <w:left w:val="single" w:color="000000" w:sz="4" w:space="0"/>
              <w:bottom w:val="single" w:color="000000" w:sz="4" w:space="0"/>
              <w:right w:val="single" w:color="000000" w:sz="4" w:space="0"/>
            </w:tcBorders>
            <w:noWrap w:val="0"/>
            <w:vAlign w:val="top"/>
          </w:tcPr>
          <w:p/>
        </w:tc>
        <w:tc>
          <w:tcPr>
            <w:tcW w:w="1346" w:type="dxa"/>
            <w:tcBorders>
              <w:top w:val="single" w:color="000000" w:sz="4" w:space="0"/>
              <w:left w:val="single" w:color="000000" w:sz="4" w:space="0"/>
              <w:bottom w:val="single" w:color="000000" w:sz="4" w:space="0"/>
              <w:right w:val="single" w:color="000000" w:sz="4" w:space="0"/>
            </w:tcBorders>
            <w:noWrap w:val="0"/>
            <w:vAlign w:val="top"/>
          </w:tcPr>
          <w:p/>
        </w:tc>
        <w:tc>
          <w:tcPr>
            <w:tcW w:w="1638" w:type="dxa"/>
            <w:tcBorders>
              <w:top w:val="single" w:color="000000" w:sz="4" w:space="0"/>
              <w:left w:val="single" w:color="000000" w:sz="4" w:space="0"/>
              <w:bottom w:val="single" w:color="000000" w:sz="4" w:space="0"/>
              <w:right w:val="single" w:color="000000" w:sz="4" w:space="0"/>
            </w:tcBorders>
            <w:noWrap w:val="0"/>
            <w:vAlign w:val="top"/>
          </w:tcPr>
          <w:p/>
        </w:tc>
        <w:tc>
          <w:tcPr>
            <w:tcW w:w="1702" w:type="dxa"/>
            <w:tcBorders>
              <w:top w:val="single" w:color="000000" w:sz="4" w:space="0"/>
              <w:left w:val="single" w:color="000000" w:sz="4" w:space="0"/>
              <w:bottom w:val="single" w:color="000000" w:sz="4" w:space="0"/>
              <w:right w:val="single" w:color="000000" w:sz="4" w:space="0"/>
            </w:tcBorders>
            <w:noWrap w:val="0"/>
            <w:vAlign w:val="top"/>
          </w:tcPr>
          <w:p/>
        </w:tc>
        <w:tc>
          <w:tcPr>
            <w:tcW w:w="1704" w:type="dxa"/>
            <w:tcBorders>
              <w:top w:val="single" w:color="000000" w:sz="4" w:space="0"/>
              <w:left w:val="single" w:color="000000" w:sz="4" w:space="0"/>
              <w:bottom w:val="single" w:color="000000" w:sz="4" w:space="0"/>
              <w:right w:val="single" w:color="000000" w:sz="4" w:space="0"/>
            </w:tcBorders>
            <w:noWrap w:val="0"/>
            <w:vAlign w:val="top"/>
          </w:tcPr>
          <w:p/>
        </w:tc>
        <w:tc>
          <w:tcPr>
            <w:tcW w:w="1510" w:type="dxa"/>
            <w:tcBorders>
              <w:top w:val="single" w:color="000000" w:sz="4" w:space="0"/>
              <w:left w:val="single" w:color="000000" w:sz="4" w:space="0"/>
              <w:bottom w:val="single" w:color="000000" w:sz="4" w:space="0"/>
              <w:right w:val="single" w:color="000000" w:sz="4" w:space="0"/>
            </w:tcBorders>
            <w:noWrap w:val="0"/>
            <w:vAlign w:val="top"/>
          </w:tcPr>
          <w:p/>
        </w:tc>
        <w:tc>
          <w:tcPr>
            <w:tcW w:w="585" w:type="dxa"/>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454" w:hRule="exact"/>
        </w:trPr>
        <w:tc>
          <w:tcPr>
            <w:tcW w:w="459"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PMingLiU" w:hAnsi="PMingLiU" w:eastAsia="PMingLiU" w:cs="PMingLiU"/>
                <w:sz w:val="22"/>
                <w:szCs w:val="22"/>
              </w:rPr>
            </w:pPr>
            <w:r>
              <w:rPr>
                <w:rFonts w:ascii="PMingLiU" w:hAnsi="PMingLiU" w:eastAsia="PMingLiU" w:cs="PMingLiU"/>
                <w:w w:val="100"/>
                <w:sz w:val="22"/>
                <w:szCs w:val="22"/>
              </w:rPr>
              <w:t>…</w:t>
            </w:r>
          </w:p>
        </w:tc>
        <w:tc>
          <w:tcPr>
            <w:tcW w:w="5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pPr>
          </w:p>
        </w:tc>
        <w:tc>
          <w:tcPr>
            <w:tcW w:w="98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pPr>
          </w:p>
        </w:tc>
        <w:tc>
          <w:tcPr>
            <w:tcW w:w="107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pPr>
          </w:p>
        </w:tc>
        <w:tc>
          <w:tcPr>
            <w:tcW w:w="108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pPr>
          </w:p>
        </w:tc>
        <w:tc>
          <w:tcPr>
            <w:tcW w:w="157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pPr>
          </w:p>
        </w:tc>
        <w:tc>
          <w:tcPr>
            <w:tcW w:w="134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pPr>
          </w:p>
        </w:tc>
        <w:tc>
          <w:tcPr>
            <w:tcW w:w="163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pPr>
          </w:p>
        </w:tc>
        <w:tc>
          <w:tcPr>
            <w:tcW w:w="170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pPr>
          </w:p>
        </w:tc>
        <w:tc>
          <w:tcPr>
            <w:tcW w:w="17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pPr>
          </w:p>
        </w:tc>
        <w:tc>
          <w:tcPr>
            <w:tcW w:w="15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pPr>
          </w:p>
        </w:tc>
        <w:tc>
          <w:tcPr>
            <w:tcW w:w="5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pPr>
          </w:p>
        </w:tc>
      </w:tr>
      <w:tr>
        <w:tblPrEx>
          <w:tblCellMar>
            <w:top w:w="0" w:type="dxa"/>
            <w:left w:w="0" w:type="dxa"/>
            <w:bottom w:w="0" w:type="dxa"/>
            <w:right w:w="0" w:type="dxa"/>
          </w:tblCellMar>
        </w:tblPrEx>
        <w:trPr>
          <w:trHeight w:val="454" w:hRule="exact"/>
        </w:trPr>
        <w:tc>
          <w:tcPr>
            <w:tcW w:w="4118" w:type="dxa"/>
            <w:gridSpan w:val="5"/>
            <w:tcBorders>
              <w:top w:val="single" w:color="000000" w:sz="4" w:space="0"/>
              <w:left w:val="single" w:color="000000" w:sz="4" w:space="0"/>
              <w:bottom w:val="single" w:color="000000" w:sz="4" w:space="0"/>
              <w:right w:val="single" w:color="000000" w:sz="4" w:space="0"/>
            </w:tcBorders>
            <w:noWrap w:val="0"/>
            <w:vAlign w:val="top"/>
          </w:tcPr>
          <w:p>
            <w:pPr>
              <w:pStyle w:val="15"/>
              <w:spacing w:line="345" w:lineRule="exact"/>
              <w:ind w:right="0"/>
              <w:jc w:val="center"/>
              <w:rPr>
                <w:rFonts w:ascii="Microsoft JhengHei" w:hAnsi="Microsoft JhengHei" w:eastAsia="Microsoft JhengHei" w:cs="Microsoft JhengHei"/>
                <w:sz w:val="21"/>
                <w:szCs w:val="21"/>
              </w:rPr>
            </w:pPr>
            <w:r>
              <w:rPr>
                <w:rFonts w:ascii="Microsoft JhengHei" w:hAnsi="Microsoft JhengHei" w:eastAsia="Microsoft JhengHei" w:cs="Microsoft JhengHei"/>
                <w:b/>
                <w:bCs/>
                <w:sz w:val="21"/>
                <w:szCs w:val="21"/>
              </w:rPr>
              <w:t>合计</w:t>
            </w:r>
          </w:p>
        </w:tc>
        <w:tc>
          <w:tcPr>
            <w:tcW w:w="1570" w:type="dxa"/>
            <w:tcBorders>
              <w:top w:val="single" w:color="000000" w:sz="4" w:space="0"/>
              <w:left w:val="single" w:color="000000" w:sz="4" w:space="0"/>
              <w:bottom w:val="single" w:color="000000" w:sz="4" w:space="0"/>
              <w:right w:val="single" w:color="000000" w:sz="4" w:space="0"/>
            </w:tcBorders>
            <w:noWrap w:val="0"/>
            <w:vAlign w:val="top"/>
          </w:tcPr>
          <w:p/>
        </w:tc>
        <w:tc>
          <w:tcPr>
            <w:tcW w:w="1346" w:type="dxa"/>
            <w:tcBorders>
              <w:top w:val="single" w:color="000000" w:sz="4" w:space="0"/>
              <w:left w:val="single" w:color="000000" w:sz="4" w:space="0"/>
              <w:bottom w:val="single" w:color="000000" w:sz="4" w:space="0"/>
              <w:right w:val="single" w:color="000000" w:sz="4" w:space="0"/>
            </w:tcBorders>
            <w:noWrap w:val="0"/>
            <w:vAlign w:val="top"/>
          </w:tcPr>
          <w:p/>
        </w:tc>
        <w:tc>
          <w:tcPr>
            <w:tcW w:w="1638" w:type="dxa"/>
            <w:tcBorders>
              <w:top w:val="single" w:color="000000" w:sz="4" w:space="0"/>
              <w:left w:val="single" w:color="000000" w:sz="4" w:space="0"/>
              <w:bottom w:val="single" w:color="000000" w:sz="4" w:space="0"/>
              <w:right w:val="single" w:color="000000" w:sz="4" w:space="0"/>
            </w:tcBorders>
            <w:noWrap w:val="0"/>
            <w:vAlign w:val="top"/>
          </w:tcPr>
          <w:p/>
        </w:tc>
        <w:tc>
          <w:tcPr>
            <w:tcW w:w="1702" w:type="dxa"/>
            <w:tcBorders>
              <w:top w:val="single" w:color="000000" w:sz="4" w:space="0"/>
              <w:left w:val="single" w:color="000000" w:sz="4" w:space="0"/>
              <w:bottom w:val="single" w:color="000000" w:sz="4" w:space="0"/>
              <w:right w:val="single" w:color="000000" w:sz="4" w:space="0"/>
            </w:tcBorders>
            <w:noWrap w:val="0"/>
            <w:vAlign w:val="top"/>
          </w:tcPr>
          <w:p/>
        </w:tc>
        <w:tc>
          <w:tcPr>
            <w:tcW w:w="1704" w:type="dxa"/>
            <w:tcBorders>
              <w:top w:val="single" w:color="000000" w:sz="4" w:space="0"/>
              <w:left w:val="single" w:color="000000" w:sz="4" w:space="0"/>
              <w:bottom w:val="single" w:color="000000" w:sz="4" w:space="0"/>
              <w:right w:val="single" w:color="000000" w:sz="4" w:space="0"/>
            </w:tcBorders>
            <w:noWrap w:val="0"/>
            <w:vAlign w:val="top"/>
          </w:tcPr>
          <w:p/>
        </w:tc>
        <w:tc>
          <w:tcPr>
            <w:tcW w:w="1510" w:type="dxa"/>
            <w:tcBorders>
              <w:top w:val="single" w:color="000000" w:sz="4" w:space="0"/>
              <w:left w:val="single" w:color="000000" w:sz="4" w:space="0"/>
              <w:bottom w:val="single" w:color="000000" w:sz="4" w:space="0"/>
              <w:right w:val="single" w:color="000000" w:sz="4" w:space="0"/>
            </w:tcBorders>
            <w:noWrap w:val="0"/>
            <w:vAlign w:val="top"/>
          </w:tcPr>
          <w:p/>
        </w:tc>
        <w:tc>
          <w:tcPr>
            <w:tcW w:w="585" w:type="dxa"/>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2987" w:hRule="exact"/>
        </w:trPr>
        <w:tc>
          <w:tcPr>
            <w:tcW w:w="14173" w:type="dxa"/>
            <w:gridSpan w:val="1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400" w:lineRule="exact"/>
              <w:ind w:right="1253"/>
              <w:jc w:val="left"/>
              <w:textAlignment w:val="auto"/>
              <w:rPr>
                <w:rFonts w:ascii="PMingLiU" w:hAnsi="PMingLiU" w:eastAsia="PMingLiU" w:cs="PMingLiU"/>
                <w:sz w:val="22"/>
                <w:szCs w:val="22"/>
              </w:rPr>
            </w:pPr>
          </w:p>
          <w:p>
            <w:pPr>
              <w:pStyle w:val="15"/>
              <w:keepNext w:val="0"/>
              <w:keepLines w:val="0"/>
              <w:pageBreakBefore w:val="0"/>
              <w:widowControl w:val="0"/>
              <w:kinsoku/>
              <w:wordWrap/>
              <w:overflowPunct/>
              <w:topLinePunct w:val="0"/>
              <w:autoSpaceDE/>
              <w:autoSpaceDN/>
              <w:bidi w:val="0"/>
              <w:adjustRightInd/>
              <w:snapToGrid/>
              <w:spacing w:line="400" w:lineRule="exact"/>
              <w:ind w:right="1253"/>
              <w:jc w:val="left"/>
              <w:textAlignment w:val="auto"/>
              <w:rPr>
                <w:rFonts w:ascii="PMingLiU" w:hAnsi="PMingLiU" w:eastAsia="PMingLiU" w:cs="PMingLiU"/>
                <w:sz w:val="22"/>
                <w:szCs w:val="22"/>
              </w:rPr>
            </w:pPr>
            <w:r>
              <w:rPr>
                <w:rFonts w:ascii="PMingLiU" w:hAnsi="PMingLiU" w:eastAsia="PMingLiU" w:cs="PMingLiU"/>
                <w:sz w:val="22"/>
                <w:szCs w:val="22"/>
              </w:rPr>
              <w:t>兹声明：1.以上填报内容无讹并承担法律责任。</w:t>
            </w:r>
          </w:p>
          <w:p>
            <w:pPr>
              <w:pStyle w:val="15"/>
              <w:keepNext w:val="0"/>
              <w:keepLines w:val="0"/>
              <w:pageBreakBefore w:val="0"/>
              <w:widowControl w:val="0"/>
              <w:kinsoku/>
              <w:wordWrap/>
              <w:overflowPunct/>
              <w:topLinePunct w:val="0"/>
              <w:autoSpaceDE/>
              <w:autoSpaceDN/>
              <w:bidi w:val="0"/>
              <w:adjustRightInd/>
              <w:snapToGrid/>
              <w:spacing w:line="400" w:lineRule="exact"/>
              <w:ind w:right="1253" w:firstLine="864" w:firstLineChars="400"/>
              <w:jc w:val="left"/>
              <w:textAlignment w:val="auto"/>
              <w:rPr>
                <w:rFonts w:ascii="PMingLiU" w:hAnsi="PMingLiU" w:eastAsia="PMingLiU" w:cs="PMingLiU"/>
                <w:sz w:val="22"/>
                <w:szCs w:val="22"/>
              </w:rPr>
            </w:pPr>
            <w:r>
              <w:rPr>
                <w:rFonts w:ascii="PMingLiU" w:hAnsi="PMingLiU" w:eastAsia="PMingLiU" w:cs="PMingLiU"/>
                <w:spacing w:val="-2"/>
                <w:sz w:val="22"/>
                <w:szCs w:val="22"/>
              </w:rPr>
              <w:t>2.本企业获得财政等配套政策支持后，愿意积极配合有关部门做好资金绩效评价、审计和经验总结等工作。</w:t>
            </w:r>
          </w:p>
          <w:p>
            <w:pPr>
              <w:pStyle w:val="15"/>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ascii="PMingLiU" w:hAnsi="PMingLiU" w:eastAsia="PMingLiU" w:cs="PMingLiU"/>
                <w:sz w:val="24"/>
                <w:szCs w:val="24"/>
              </w:rPr>
            </w:pPr>
          </w:p>
          <w:p>
            <w:pPr>
              <w:pStyle w:val="15"/>
              <w:keepNext w:val="0"/>
              <w:keepLines w:val="0"/>
              <w:pageBreakBefore w:val="0"/>
              <w:widowControl w:val="0"/>
              <w:tabs>
                <w:tab w:val="left" w:pos="11213"/>
                <w:tab w:val="left" w:pos="11763"/>
              </w:tabs>
              <w:kinsoku/>
              <w:wordWrap/>
              <w:overflowPunct/>
              <w:topLinePunct w:val="0"/>
              <w:autoSpaceDE/>
              <w:autoSpaceDN/>
              <w:bidi w:val="0"/>
              <w:adjustRightInd/>
              <w:snapToGrid/>
              <w:spacing w:line="400" w:lineRule="exact"/>
              <w:ind w:left="10664" w:right="98"/>
              <w:jc w:val="right"/>
              <w:textAlignment w:val="auto"/>
              <w:rPr>
                <w:rFonts w:ascii="PMingLiU" w:hAnsi="PMingLiU" w:eastAsia="PMingLiU" w:cs="PMingLiU"/>
                <w:sz w:val="22"/>
                <w:szCs w:val="22"/>
              </w:rPr>
            </w:pPr>
            <w:r>
              <w:rPr>
                <w:rFonts w:ascii="PMingLiU" w:hAnsi="PMingLiU" w:eastAsia="PMingLiU" w:cs="PMingLiU"/>
                <w:spacing w:val="-2"/>
                <w:sz w:val="22"/>
                <w:szCs w:val="22"/>
              </w:rPr>
              <w:t>企业法人（签名）申请单位（公章）</w:t>
            </w:r>
            <w:r>
              <w:rPr>
                <w:rFonts w:ascii="PMingLiU" w:hAnsi="PMingLiU" w:eastAsia="PMingLiU" w:cs="PMingLiU"/>
                <w:sz w:val="22"/>
                <w:szCs w:val="22"/>
              </w:rPr>
              <w:t>年</w:t>
            </w:r>
            <w:r>
              <w:rPr>
                <w:rFonts w:ascii="PMingLiU" w:hAnsi="PMingLiU" w:eastAsia="PMingLiU" w:cs="PMingLiU"/>
                <w:sz w:val="22"/>
                <w:szCs w:val="22"/>
              </w:rPr>
              <w:tab/>
            </w:r>
            <w:r>
              <w:rPr>
                <w:rFonts w:ascii="PMingLiU" w:hAnsi="PMingLiU" w:eastAsia="PMingLiU" w:cs="PMingLiU"/>
                <w:sz w:val="22"/>
                <w:szCs w:val="22"/>
              </w:rPr>
              <w:t>月</w:t>
            </w:r>
            <w:r>
              <w:rPr>
                <w:rFonts w:ascii="PMingLiU" w:hAnsi="PMingLiU" w:eastAsia="PMingLiU" w:cs="PMingLiU"/>
                <w:sz w:val="22"/>
                <w:szCs w:val="22"/>
              </w:rPr>
              <w:tab/>
            </w:r>
            <w:r>
              <w:rPr>
                <w:rFonts w:ascii="PMingLiU" w:hAnsi="PMingLiU" w:eastAsia="PMingLiU" w:cs="PMingLiU"/>
                <w:sz w:val="22"/>
                <w:szCs w:val="22"/>
              </w:rPr>
              <w:t>日</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PMingLiU" w:hAnsi="PMingLiU" w:eastAsia="PMingLiU" w:cs="PMingLiU"/>
          <w:sz w:val="7"/>
          <w:szCs w:val="7"/>
        </w:rPr>
      </w:pPr>
    </w:p>
    <w:p>
      <w:pPr>
        <w:keepNext w:val="0"/>
        <w:keepLines w:val="0"/>
        <w:pageBreakBefore w:val="0"/>
        <w:widowControl w:val="0"/>
        <w:tabs>
          <w:tab w:val="left" w:pos="9984"/>
        </w:tabs>
        <w:kinsoku/>
        <w:wordWrap/>
        <w:overflowPunct/>
        <w:topLinePunct w:val="0"/>
        <w:autoSpaceDE/>
        <w:autoSpaceDN/>
        <w:bidi w:val="0"/>
        <w:adjustRightInd/>
        <w:snapToGrid/>
        <w:spacing w:line="320" w:lineRule="exact"/>
        <w:ind w:left="142" w:right="0" w:firstLine="0"/>
        <w:jc w:val="left"/>
        <w:textAlignment w:val="auto"/>
        <w:rPr>
          <w:rFonts w:ascii="PMingLiU" w:hAnsi="PMingLiU" w:eastAsia="PMingLiU" w:cs="PMingLiU"/>
          <w:sz w:val="24"/>
          <w:szCs w:val="24"/>
        </w:rPr>
      </w:pPr>
      <w:r>
        <w:rPr>
          <w:rFonts w:ascii="PMingLiU" w:hAnsi="PMingLiU" w:eastAsia="PMingLiU" w:cs="PMingLiU"/>
          <w:sz w:val="24"/>
          <w:szCs w:val="24"/>
        </w:rPr>
        <w:t>填报人：</w:t>
      </w:r>
      <w:r>
        <w:rPr>
          <w:rFonts w:ascii="PMingLiU" w:hAnsi="PMingLiU" w:eastAsia="PMingLiU" w:cs="PMingLiU"/>
          <w:sz w:val="24"/>
          <w:szCs w:val="24"/>
        </w:rPr>
        <w:tab/>
      </w:r>
      <w:r>
        <w:rPr>
          <w:rFonts w:ascii="PMingLiU" w:hAnsi="PMingLiU" w:eastAsia="PMingLiU" w:cs="PMingLiU"/>
          <w:sz w:val="24"/>
          <w:szCs w:val="24"/>
        </w:rPr>
        <w:t>联系电话：</w:t>
      </w:r>
    </w:p>
    <w:p>
      <w:pPr>
        <w:pStyle w:val="9"/>
        <w:rPr>
          <w:rFonts w:hint="default"/>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6"/>
        <w:wordWrap/>
        <w:spacing w:line="600" w:lineRule="exact"/>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sz w:val="32"/>
          <w:szCs w:val="32"/>
          <w:lang w:val="en-US" w:eastAsia="zh-CN"/>
        </w:rPr>
        <w:t>附件</w:t>
      </w:r>
      <w:r>
        <w:rPr>
          <w:rFonts w:hint="eastAsia" w:ascii="Times New Roman" w:eastAsia="方正黑体_GBK" w:cs="Times New Roman"/>
          <w:b w:val="0"/>
          <w:bCs w:val="0"/>
          <w:sz w:val="32"/>
          <w:szCs w:val="32"/>
          <w:lang w:val="en-US" w:eastAsia="zh-CN"/>
        </w:rPr>
        <w:t>6</w:t>
      </w:r>
    </w:p>
    <w:p>
      <w:pPr>
        <w:spacing w:line="600" w:lineRule="exact"/>
        <w:jc w:val="center"/>
        <w:rPr>
          <w:rFonts w:hint="default" w:ascii="Times New Roman" w:hAnsi="Times New Roman" w:cs="Times New Roman"/>
          <w:b/>
          <w:bCs/>
          <w:color w:val="auto"/>
          <w:sz w:val="50"/>
          <w:szCs w:val="50"/>
          <w:highlight w:val="none"/>
          <w:lang w:val="en-US" w:eastAsia="zh-CN"/>
        </w:rPr>
      </w:pPr>
    </w:p>
    <w:p>
      <w:pPr>
        <w:spacing w:line="600" w:lineRule="exact"/>
        <w:jc w:val="center"/>
        <w:rPr>
          <w:rFonts w:hint="eastAsia" w:ascii="Times New Roman" w:hAnsi="Times New Roman" w:eastAsia="方正小标宋_GBK" w:cs="方正小标宋_GBK"/>
          <w:b w:val="0"/>
          <w:bCs w:val="0"/>
          <w:color w:val="auto"/>
          <w:sz w:val="50"/>
          <w:szCs w:val="50"/>
          <w:highlight w:val="none"/>
          <w:lang w:val="en-US" w:eastAsia="zh-CN"/>
        </w:rPr>
      </w:pPr>
      <w:r>
        <w:rPr>
          <w:rFonts w:hint="eastAsia" w:ascii="Times New Roman" w:hAnsi="Times New Roman" w:eastAsia="方正小标宋_GBK" w:cs="方正小标宋_GBK"/>
          <w:b w:val="0"/>
          <w:bCs w:val="0"/>
          <w:color w:val="auto"/>
          <w:sz w:val="50"/>
          <w:szCs w:val="50"/>
          <w:highlight w:val="none"/>
          <w:lang w:val="en-US" w:eastAsia="zh-CN"/>
        </w:rPr>
        <w:t>202</w:t>
      </w:r>
      <w:r>
        <w:rPr>
          <w:rFonts w:hint="eastAsia" w:eastAsia="方正小标宋_GBK" w:cs="方正小标宋_GBK"/>
          <w:b w:val="0"/>
          <w:bCs w:val="0"/>
          <w:color w:val="auto"/>
          <w:sz w:val="50"/>
          <w:szCs w:val="50"/>
          <w:highlight w:val="none"/>
          <w:lang w:val="en-US" w:eastAsia="zh-CN"/>
        </w:rPr>
        <w:t>5业务年度</w:t>
      </w:r>
      <w:r>
        <w:rPr>
          <w:rFonts w:hint="eastAsia" w:ascii="Times New Roman" w:hAnsi="Times New Roman" w:eastAsia="方正小标宋_GBK" w:cs="方正小标宋_GBK"/>
          <w:b w:val="0"/>
          <w:bCs w:val="0"/>
          <w:color w:val="auto"/>
          <w:sz w:val="50"/>
          <w:szCs w:val="50"/>
          <w:highlight w:val="none"/>
          <w:lang w:val="en-US" w:eastAsia="zh-CN"/>
        </w:rPr>
        <w:t>省级促进投保</w:t>
      </w:r>
    </w:p>
    <w:p>
      <w:pPr>
        <w:spacing w:line="600" w:lineRule="exact"/>
        <w:jc w:val="center"/>
        <w:rPr>
          <w:rFonts w:hint="eastAsia" w:eastAsia="方正小标宋_GBK" w:cs="方正小标宋_GBK"/>
          <w:b w:val="0"/>
          <w:bCs w:val="0"/>
          <w:color w:val="auto"/>
          <w:sz w:val="50"/>
          <w:szCs w:val="50"/>
          <w:highlight w:val="none"/>
          <w:lang w:val="en-US" w:eastAsia="zh-CN"/>
        </w:rPr>
      </w:pPr>
      <w:r>
        <w:rPr>
          <w:rFonts w:hint="eastAsia" w:ascii="Times New Roman" w:hAnsi="Times New Roman" w:eastAsia="方正小标宋_GBK" w:cs="方正小标宋_GBK"/>
          <w:b w:val="0"/>
          <w:bCs w:val="0"/>
          <w:color w:val="auto"/>
          <w:sz w:val="50"/>
          <w:szCs w:val="50"/>
          <w:highlight w:val="none"/>
          <w:lang w:val="en-US" w:eastAsia="zh-CN"/>
        </w:rPr>
        <w:t>出口信用保险</w:t>
      </w:r>
      <w:r>
        <w:rPr>
          <w:rFonts w:hint="eastAsia" w:eastAsia="方正小标宋_GBK" w:cs="方正小标宋_GBK"/>
          <w:b w:val="0"/>
          <w:bCs w:val="0"/>
          <w:color w:val="auto"/>
          <w:sz w:val="50"/>
          <w:szCs w:val="50"/>
          <w:highlight w:val="none"/>
          <w:lang w:val="en-US" w:eastAsia="zh-CN"/>
        </w:rPr>
        <w:t>“企业类”项目</w:t>
      </w:r>
    </w:p>
    <w:p>
      <w:pPr>
        <w:pStyle w:val="9"/>
        <w:rPr>
          <w:rFonts w:hint="default"/>
          <w:lang w:val="en-US" w:eastAsia="zh-CN"/>
        </w:rPr>
      </w:pPr>
    </w:p>
    <w:p>
      <w:pPr>
        <w:jc w:val="center"/>
        <w:rPr>
          <w:rFonts w:hint="eastAsia" w:ascii="方正仿宋_GBK" w:hAnsi="方正仿宋_GBK" w:eastAsia="方正仿宋_GBK" w:cs="方正仿宋_GBK"/>
          <w:b/>
          <w:bCs/>
          <w:color w:val="auto"/>
          <w:sz w:val="84"/>
          <w:szCs w:val="84"/>
          <w:highlight w:val="none"/>
          <w:lang w:val="en-US" w:eastAsia="zh-CN"/>
        </w:rPr>
      </w:pPr>
      <w:r>
        <w:rPr>
          <w:rFonts w:hint="eastAsia" w:ascii="方正仿宋_GBK" w:hAnsi="方正仿宋_GBK" w:eastAsia="方正仿宋_GBK" w:cs="方正仿宋_GBK"/>
          <w:b/>
          <w:bCs/>
          <w:color w:val="auto"/>
          <w:sz w:val="84"/>
          <w:szCs w:val="84"/>
          <w:highlight w:val="none"/>
          <w:lang w:val="en-US" w:eastAsia="zh-CN"/>
        </w:rPr>
        <w:t>申</w:t>
      </w:r>
    </w:p>
    <w:p>
      <w:pPr>
        <w:jc w:val="center"/>
        <w:rPr>
          <w:rFonts w:hint="eastAsia" w:ascii="方正仿宋_GBK" w:hAnsi="方正仿宋_GBK" w:eastAsia="方正仿宋_GBK" w:cs="方正仿宋_GBK"/>
          <w:b/>
          <w:bCs/>
          <w:color w:val="auto"/>
          <w:sz w:val="84"/>
          <w:szCs w:val="84"/>
          <w:highlight w:val="none"/>
          <w:lang w:val="en-US" w:eastAsia="zh-CN"/>
        </w:rPr>
      </w:pPr>
      <w:r>
        <w:rPr>
          <w:rFonts w:hint="eastAsia" w:ascii="方正仿宋_GBK" w:hAnsi="方正仿宋_GBK" w:eastAsia="方正仿宋_GBK" w:cs="方正仿宋_GBK"/>
          <w:b/>
          <w:bCs/>
          <w:color w:val="auto"/>
          <w:sz w:val="84"/>
          <w:szCs w:val="84"/>
          <w:highlight w:val="none"/>
          <w:lang w:val="en-US" w:eastAsia="zh-CN"/>
        </w:rPr>
        <w:t>报</w:t>
      </w:r>
    </w:p>
    <w:p>
      <w:pPr>
        <w:jc w:val="center"/>
        <w:rPr>
          <w:rFonts w:hint="eastAsia" w:ascii="方正仿宋_GBK" w:hAnsi="方正仿宋_GBK" w:eastAsia="方正仿宋_GBK" w:cs="方正仿宋_GBK"/>
          <w:b/>
          <w:bCs/>
          <w:color w:val="auto"/>
          <w:sz w:val="84"/>
          <w:szCs w:val="84"/>
          <w:highlight w:val="none"/>
          <w:lang w:val="en-US" w:eastAsia="zh-CN"/>
        </w:rPr>
      </w:pPr>
      <w:r>
        <w:rPr>
          <w:rFonts w:hint="eastAsia" w:ascii="方正仿宋_GBK" w:hAnsi="方正仿宋_GBK" w:eastAsia="方正仿宋_GBK" w:cs="方正仿宋_GBK"/>
          <w:b/>
          <w:bCs/>
          <w:color w:val="auto"/>
          <w:sz w:val="84"/>
          <w:szCs w:val="84"/>
          <w:highlight w:val="none"/>
          <w:lang w:val="en-US" w:eastAsia="zh-CN"/>
        </w:rPr>
        <w:t>材</w:t>
      </w:r>
    </w:p>
    <w:p>
      <w:pPr>
        <w:jc w:val="center"/>
        <w:rPr>
          <w:rFonts w:hint="eastAsia" w:ascii="方正仿宋_GBK" w:hAnsi="方正仿宋_GBK" w:eastAsia="方正仿宋_GBK" w:cs="方正仿宋_GBK"/>
          <w:b/>
          <w:bCs/>
          <w:color w:val="auto"/>
          <w:sz w:val="84"/>
          <w:szCs w:val="84"/>
          <w:highlight w:val="none"/>
          <w:lang w:val="en-US" w:eastAsia="zh-CN"/>
        </w:rPr>
      </w:pPr>
      <w:r>
        <w:rPr>
          <w:rFonts w:hint="eastAsia" w:ascii="方正仿宋_GBK" w:hAnsi="方正仿宋_GBK" w:eastAsia="方正仿宋_GBK" w:cs="方正仿宋_GBK"/>
          <w:b/>
          <w:bCs/>
          <w:color w:val="auto"/>
          <w:sz w:val="84"/>
          <w:szCs w:val="84"/>
          <w:highlight w:val="none"/>
          <w:lang w:val="en-US" w:eastAsia="zh-CN"/>
        </w:rPr>
        <w:t>料</w:t>
      </w:r>
    </w:p>
    <w:p>
      <w:pPr>
        <w:jc w:val="center"/>
        <w:rPr>
          <w:rFonts w:hint="eastAsia" w:ascii="方正仿宋_GBK" w:hAnsi="方正仿宋_GBK" w:eastAsia="方正仿宋_GBK" w:cs="方正仿宋_GBK"/>
          <w:b/>
          <w:bCs/>
          <w:color w:val="auto"/>
          <w:sz w:val="28"/>
          <w:szCs w:val="28"/>
          <w:highlight w:val="none"/>
          <w:lang w:val="en-US" w:eastAsia="zh-CN"/>
        </w:rPr>
      </w:pPr>
    </w:p>
    <w:p>
      <w:pPr>
        <w:jc w:val="center"/>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 xml:space="preserve"> </w:t>
      </w:r>
    </w:p>
    <w:p>
      <w:pPr>
        <w:spacing w:line="600" w:lineRule="exact"/>
        <w:jc w:val="left"/>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申报单位：</w:t>
      </w:r>
    </w:p>
    <w:p>
      <w:pPr>
        <w:spacing w:line="600" w:lineRule="exact"/>
        <w:jc w:val="left"/>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联 系 人：</w:t>
      </w:r>
    </w:p>
    <w:p>
      <w:pPr>
        <w:spacing w:line="600" w:lineRule="exact"/>
        <w:jc w:val="left"/>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联系电话：</w:t>
      </w:r>
    </w:p>
    <w:p>
      <w:pPr>
        <w:spacing w:line="600" w:lineRule="exact"/>
        <w:jc w:val="left"/>
        <w:rPr>
          <w:rFonts w:hint="eastAsia"/>
        </w:rPr>
      </w:pPr>
      <w:r>
        <w:rPr>
          <w:rFonts w:hint="eastAsia" w:ascii="方正仿宋_GBK" w:hAnsi="方正仿宋_GBK" w:eastAsia="方正仿宋_GBK" w:cs="方正仿宋_GBK"/>
          <w:b/>
          <w:bCs/>
          <w:color w:val="auto"/>
          <w:sz w:val="28"/>
          <w:szCs w:val="28"/>
          <w:highlight w:val="none"/>
          <w:lang w:val="en-US" w:eastAsia="zh-CN"/>
        </w:rPr>
        <w:t>时    间：    年  月  日</w:t>
      </w:r>
    </w:p>
    <w:p>
      <w:pPr>
        <w:rPr>
          <w:rFonts w:hint="eastAsia"/>
        </w:rPr>
      </w:pPr>
    </w:p>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CESI黑体-GB2312">
    <w:altName w:val="黑体"/>
    <w:panose1 w:val="02000500000000000000"/>
    <w:charset w:val="86"/>
    <w:family w:val="auto"/>
    <w:pitch w:val="default"/>
    <w:sig w:usb0="00000000" w:usb1="00000000" w:usb2="00000012" w:usb3="00000000" w:csb0="0004000F" w:csb1="00000000"/>
  </w:font>
  <w:font w:name="PMingLiU">
    <w:panose1 w:val="02020500000000000000"/>
    <w:charset w:val="88"/>
    <w:family w:val="roman"/>
    <w:pitch w:val="default"/>
    <w:sig w:usb0="A00002FF" w:usb1="28CFFCFA" w:usb2="00000016" w:usb3="00000000" w:csb0="00100001" w:csb1="00000000"/>
  </w:font>
  <w:font w:name="Microsoft JhengHei">
    <w:panose1 w:val="020B0604030504040204"/>
    <w:charset w:val="88"/>
    <w:family w:val="swiss"/>
    <w:pitch w:val="default"/>
    <w:sig w:usb0="00000087" w:usb1="28AF4000" w:usb2="00000016" w:usb3="00000000" w:csb0="00100009"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962EE1"/>
    <w:multiLevelType w:val="singleLevel"/>
    <w:tmpl w:val="57962EE1"/>
    <w:lvl w:ilvl="0" w:tentative="0">
      <w:start w:val="1"/>
      <w:numFmt w:val="chineseCounting"/>
      <w:suff w:val="nothing"/>
      <w:lvlText w:val="%1、"/>
      <w:lvlJc w:val="left"/>
      <w:rPr>
        <w:rFonts w:hint="eastAsia"/>
      </w:rPr>
    </w:lvl>
  </w:abstractNum>
  <w:abstractNum w:abstractNumId="1">
    <w:nsid w:val="5BDEF6F1"/>
    <w:multiLevelType w:val="singleLevel"/>
    <w:tmpl w:val="5BDEF6F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EF372C"/>
    <w:rsid w:val="594A1ECF"/>
    <w:rsid w:val="5CBA1C53"/>
    <w:rsid w:val="77230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32"/>
    </w:rPr>
  </w:style>
  <w:style w:type="paragraph" w:styleId="3">
    <w:name w:val="Body Text 2"/>
    <w:basedOn w:val="1"/>
    <w:qFormat/>
    <w:uiPriority w:val="99"/>
    <w:pPr>
      <w:spacing w:before="240"/>
    </w:pPr>
    <w:rPr>
      <w:color w:val="FF0000"/>
      <w:kern w:val="0"/>
    </w:rPr>
  </w:style>
  <w:style w:type="paragraph" w:styleId="5">
    <w:name w:val="Body Text Indent"/>
    <w:basedOn w:val="1"/>
    <w:next w:val="1"/>
    <w:qFormat/>
    <w:uiPriority w:val="0"/>
    <w:pPr>
      <w:spacing w:after="120"/>
      <w:ind w:left="420" w:leftChars="200"/>
    </w:pPr>
    <w:rPr>
      <w:rFonts w:eastAsia="仿宋_GB2312"/>
      <w:sz w:val="32"/>
      <w:szCs w:val="20"/>
    </w:rPr>
  </w:style>
  <w:style w:type="paragraph" w:styleId="6">
    <w:name w:val="Plain Text"/>
    <w:basedOn w:val="1"/>
    <w:qFormat/>
    <w:uiPriority w:val="0"/>
    <w:rPr>
      <w:rFonts w:ascii="宋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next w:val="1"/>
    <w:qFormat/>
    <w:uiPriority w:val="0"/>
    <w:pPr>
      <w:ind w:firstLine="420" w:firstLineChars="200"/>
    </w:pPr>
  </w:style>
  <w:style w:type="paragraph" w:customStyle="1" w:styleId="12">
    <w:name w:val="List Paragraph"/>
    <w:basedOn w:val="1"/>
    <w:qFormat/>
    <w:uiPriority w:val="34"/>
    <w:pPr>
      <w:ind w:firstLine="420" w:firstLineChars="200"/>
    </w:pPr>
  </w:style>
  <w:style w:type="paragraph" w:customStyle="1" w:styleId="13">
    <w:name w:val="样式1"/>
    <w:basedOn w:val="14"/>
    <w:qFormat/>
    <w:uiPriority w:val="0"/>
  </w:style>
  <w:style w:type="paragraph" w:customStyle="1" w:styleId="14">
    <w:name w:val="正文1"/>
    <w:basedOn w:val="1"/>
    <w:qFormat/>
    <w:uiPriority w:val="0"/>
    <w:pPr>
      <w:ind w:firstLine="708" w:firstLineChars="236"/>
    </w:pPr>
    <w:rPr>
      <w:rFonts w:ascii="仿宋_GB2312" w:eastAsia="仿宋_GB2312" w:cs="仿宋_GB2312"/>
      <w:sz w:val="30"/>
      <w:szCs w:val="30"/>
    </w:rPr>
  </w:style>
  <w:style w:type="paragraph" w:customStyle="1" w:styleId="1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2026-03-13T03:03:00Z</dcterms:created>
  <dc:creator>lenovo</dc:creator>
  <cp:lastModifiedBy>刘俊亮</cp:lastModifiedBy>
  <dcterms:modified xsi:type="dcterms:W3CDTF">2026-03-16T13:27:20Z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DC3979E620B34FD69B3BD7E4352A5F9F</vt:lpwstr>
  </property>
</Properties>
</file>