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3D841">
      <w:pPr>
        <w:pStyle w:val="2"/>
        <w:keepNext/>
        <w:keepLines/>
        <w:pageBreakBefore w:val="0"/>
        <w:widowControl w:val="0"/>
        <w:tabs>
          <w:tab w:val="left" w:pos="4200"/>
          <w:tab w:val="left" w:pos="6510"/>
          <w:tab w:val="left" w:pos="6720"/>
        </w:tabs>
        <w:kinsoku/>
        <w:wordWrap/>
        <w:overflowPunct/>
        <w:topLinePunct w:val="0"/>
        <w:autoSpaceDE/>
        <w:autoSpaceDN/>
        <w:bidi w:val="0"/>
        <w:adjustRightInd/>
        <w:snapToGrid/>
        <w:spacing w:before="0" w:beforeLines="0" w:after="0" w:afterLines="0" w:line="720" w:lineRule="exact"/>
        <w:ind w:left="0" w:leftChars="0" w:firstLine="0" w:firstLineChars="0"/>
        <w:textAlignment w:val="auto"/>
        <w:rPr>
          <w:rFonts w:hint="eastAsia"/>
          <w:sz w:val="36"/>
          <w:szCs w:val="36"/>
        </w:rPr>
      </w:pPr>
      <w:bookmarkStart w:id="6" w:name="_GoBack"/>
      <w:bookmarkEnd w:id="6"/>
    </w:p>
    <w:p w14:paraId="08EB03F6">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惠阳自然资〔202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435</w:t>
      </w:r>
      <w:r>
        <w:rPr>
          <w:rFonts w:hint="eastAsia" w:ascii="Times New Roman" w:hAnsi="Times New Roman" w:eastAsia="方正仿宋_GBK" w:cs="方正仿宋_GBK"/>
          <w:sz w:val="32"/>
          <w:szCs w:val="32"/>
        </w:rPr>
        <w:t>号</w:t>
      </w:r>
    </w:p>
    <w:p w14:paraId="120387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黑体"/>
          <w:b w:val="0"/>
          <w:bCs w:val="0"/>
          <w:sz w:val="44"/>
          <w:szCs w:val="44"/>
        </w:rPr>
      </w:pPr>
      <w:bookmarkStart w:id="0" w:name="_Hlk70674848"/>
      <w:bookmarkEnd w:id="0"/>
      <w:bookmarkStart w:id="1" w:name="_Hlk72367435"/>
      <w:bookmarkEnd w:id="1"/>
    </w:p>
    <w:p w14:paraId="774C07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黑体"/>
          <w:b/>
          <w:bCs/>
          <w:sz w:val="44"/>
          <w:szCs w:val="44"/>
          <w:lang w:eastAsia="zh-CN"/>
        </w:rPr>
      </w:pPr>
      <w:bookmarkStart w:id="2" w:name="OLE_LINK1"/>
      <w:r>
        <w:rPr>
          <w:rFonts w:hint="eastAsia" w:ascii="Times New Roman" w:hAnsi="Times New Roman" w:eastAsia="方正小标宋_GBK" w:cs="黑体"/>
          <w:b/>
          <w:bCs/>
          <w:sz w:val="44"/>
          <w:szCs w:val="44"/>
        </w:rPr>
        <w:t>惠州市惠阳区</w:t>
      </w:r>
      <w:r>
        <w:rPr>
          <w:rFonts w:hint="eastAsia" w:ascii="Times New Roman" w:hAnsi="Times New Roman" w:eastAsia="方正小标宋_GBK" w:cs="黑体"/>
          <w:b/>
          <w:bCs/>
          <w:sz w:val="44"/>
          <w:szCs w:val="44"/>
          <w:lang w:eastAsia="zh-CN"/>
        </w:rPr>
        <w:t>202</w:t>
      </w:r>
      <w:r>
        <w:rPr>
          <w:rFonts w:hint="eastAsia" w:ascii="Times New Roman" w:hAnsi="Times New Roman" w:eastAsia="方正小标宋_GBK" w:cs="黑体"/>
          <w:b/>
          <w:bCs/>
          <w:sz w:val="44"/>
          <w:szCs w:val="44"/>
          <w:lang w:val="en-US" w:eastAsia="zh-CN"/>
        </w:rPr>
        <w:t>4</w:t>
      </w:r>
      <w:r>
        <w:rPr>
          <w:rFonts w:hint="eastAsia" w:ascii="Times New Roman" w:hAnsi="Times New Roman" w:eastAsia="方正小标宋_GBK" w:cs="黑体"/>
          <w:b/>
          <w:bCs/>
          <w:sz w:val="44"/>
          <w:szCs w:val="44"/>
          <w:lang w:eastAsia="zh-CN"/>
        </w:rPr>
        <w:t>年度第六十四批次</w:t>
      </w:r>
    </w:p>
    <w:p w14:paraId="25E9D2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黑体"/>
          <w:b/>
          <w:bCs/>
          <w:sz w:val="44"/>
          <w:szCs w:val="44"/>
        </w:rPr>
      </w:pPr>
      <w:bookmarkStart w:id="3" w:name="OLE_LINK2"/>
      <w:r>
        <w:rPr>
          <w:rFonts w:hint="eastAsia" w:ascii="Times New Roman" w:hAnsi="Times New Roman" w:eastAsia="方正小标宋_GBK" w:cs="黑体"/>
          <w:b/>
          <w:bCs/>
          <w:sz w:val="44"/>
          <w:szCs w:val="44"/>
        </w:rPr>
        <w:t>城镇建设用地征地补偿安置方案</w:t>
      </w:r>
    </w:p>
    <w:bookmarkEnd w:id="2"/>
    <w:bookmarkEnd w:id="3"/>
    <w:p w14:paraId="50584B0A">
      <w:pPr>
        <w:keepNext w:val="0"/>
        <w:keepLines w:val="0"/>
        <w:pageBreakBefore w:val="0"/>
        <w:tabs>
          <w:tab w:val="left" w:pos="1050"/>
        </w:tabs>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bCs/>
          <w:sz w:val="32"/>
          <w:szCs w:val="32"/>
          <w:lang w:eastAsia="zh-CN"/>
        </w:rPr>
      </w:pPr>
    </w:p>
    <w:p w14:paraId="6B2C11D8">
      <w:pPr>
        <w:keepNext w:val="0"/>
        <w:keepLines w:val="0"/>
        <w:pageBreakBefore w:val="0"/>
        <w:widowControl w:val="0"/>
        <w:tabs>
          <w:tab w:val="left" w:pos="4410"/>
        </w:tabs>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仿宋"/>
          <w:bCs/>
          <w:color w:val="000000"/>
          <w:sz w:val="32"/>
          <w:szCs w:val="32"/>
          <w:u w:val="none"/>
        </w:rPr>
      </w:pPr>
      <w:r>
        <w:rPr>
          <w:rFonts w:hint="eastAsia" w:ascii="Times New Roman" w:hAnsi="Times New Roman" w:eastAsia="方正仿宋_GBK" w:cs="方正仿宋_GBK"/>
          <w:bCs/>
          <w:color w:val="000000"/>
          <w:sz w:val="32"/>
          <w:szCs w:val="32"/>
          <w:u w:val="none"/>
        </w:rPr>
        <w:t>为了公共利益的需要，经</w:t>
      </w:r>
      <w:r>
        <w:rPr>
          <w:rFonts w:hint="eastAsia" w:ascii="Times New Roman" w:hAnsi="Times New Roman" w:eastAsia="方正仿宋_GBK" w:cs="方正仿宋_GBK"/>
          <w:bCs/>
          <w:color w:val="000000"/>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rPr>
        <w:t>人民政府研究</w:t>
      </w:r>
      <w:r>
        <w:rPr>
          <w:rFonts w:hint="eastAsia" w:ascii="Times New Roman" w:hAnsi="Times New Roman" w:eastAsia="方正仿宋_GBK" w:cs="方正仿宋_GBK"/>
          <w:kern w:val="2"/>
          <w:sz w:val="32"/>
          <w:szCs w:val="32"/>
          <w:lang w:val="en-US" w:eastAsia="zh-CN" w:bidi="ar"/>
        </w:rPr>
        <w:t>决定</w:t>
      </w:r>
      <w:r>
        <w:rPr>
          <w:rFonts w:hint="eastAsia" w:ascii="Times New Roman" w:hAnsi="Times New Roman" w:eastAsia="方正仿宋_GBK" w:cs="方正仿宋_GBK"/>
          <w:bCs/>
          <w:color w:val="000000"/>
          <w:sz w:val="32"/>
          <w:szCs w:val="32"/>
          <w:u w:val="none"/>
        </w:rPr>
        <w:t>，</w:t>
      </w:r>
      <w:r>
        <w:rPr>
          <w:rFonts w:ascii="Times New Roman" w:hAnsi="Times New Roman" w:eastAsia="方正仿宋_GBK"/>
          <w:bCs/>
          <w:sz w:val="32"/>
          <w:szCs w:val="32"/>
        </w:rPr>
        <w:t>拟征收</w:t>
      </w:r>
      <w:r>
        <w:rPr>
          <w:rFonts w:hint="eastAsia" w:ascii="Times New Roman" w:hAnsi="Times New Roman" w:eastAsia="方正仿宋_GBK"/>
          <w:bCs/>
          <w:sz w:val="32"/>
          <w:szCs w:val="32"/>
        </w:rPr>
        <w:t>属惠州市惠阳区新圩镇花果村三角塘股份经济合作社、惠州市惠阳区新圩镇花果村刘屋股份经济合作社、惠州市惠阳区新圩镇花果村石头围股份经济合作社、惠州市惠阳区新圩镇花果村高屋股份经济合作社、惠州市惠阳区新圩镇花果村陶屋股份经济合作社、惠州市惠阳区新圩镇花果股份经济合作联合社所有的集体土地，面积合计1.0838公顷，作为惠州市惠阳区</w:t>
      </w:r>
      <w:r>
        <w:rPr>
          <w:rFonts w:hint="eastAsia" w:ascii="Times New Roman" w:hAnsi="Times New Roman" w:eastAsia="方正仿宋_GBK" w:cs="方正仿宋_GBK"/>
          <w:sz w:val="32"/>
          <w:szCs w:val="32"/>
        </w:rPr>
        <w:t>2024</w:t>
      </w:r>
      <w:r>
        <w:rPr>
          <w:rFonts w:hint="eastAsia" w:ascii="Times New Roman" w:hAnsi="Times New Roman" w:eastAsia="方正仿宋_GBK"/>
          <w:bCs/>
          <w:sz w:val="32"/>
          <w:szCs w:val="32"/>
        </w:rPr>
        <w:t>年度第</w:t>
      </w:r>
      <w:r>
        <w:rPr>
          <w:rFonts w:hint="eastAsia" w:ascii="Times New Roman" w:hAnsi="Times New Roman" w:eastAsia="方正仿宋_GBK"/>
          <w:bCs/>
          <w:sz w:val="32"/>
          <w:szCs w:val="32"/>
          <w:lang w:eastAsia="zh-CN"/>
        </w:rPr>
        <w:t>六十四</w:t>
      </w:r>
      <w:r>
        <w:rPr>
          <w:rFonts w:hint="eastAsia" w:ascii="Times New Roman" w:hAnsi="Times New Roman" w:eastAsia="方正仿宋_GBK"/>
          <w:bCs/>
          <w:sz w:val="32"/>
          <w:szCs w:val="32"/>
        </w:rPr>
        <w:t>批次城镇建设用地</w:t>
      </w:r>
      <w:r>
        <w:rPr>
          <w:rFonts w:hint="eastAsia" w:ascii="Times New Roman" w:hAnsi="Times New Roman" w:eastAsia="方正仿宋_GBK" w:cs="方正仿宋_GBK"/>
          <w:bCs/>
          <w:color w:val="000000"/>
          <w:sz w:val="32"/>
          <w:szCs w:val="32"/>
          <w:u w:val="none"/>
        </w:rPr>
        <w:t>。</w:t>
      </w:r>
      <w:r>
        <w:rPr>
          <w:rFonts w:hint="eastAsia" w:ascii="Times New Roman" w:hAnsi="Times New Roman" w:eastAsia="方正仿宋_GBK" w:cs="方正仿宋_GBK"/>
          <w:color w:val="auto"/>
          <w:sz w:val="32"/>
          <w:szCs w:val="32"/>
          <w:highlight w:val="none"/>
          <w:u w:val="none"/>
        </w:rPr>
        <w:t>根据《</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bCs/>
          <w:color w:val="000000"/>
          <w:sz w:val="32"/>
          <w:szCs w:val="32"/>
          <w:u w:val="none"/>
          <w:lang w:val="en-US" w:eastAsia="zh-CN"/>
        </w:rPr>
        <w:t>实施条例</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广东省土地管理条例</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惠州市人民政府关于公布实施惠州市征收农用地区片综合地价的公告</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惠府公〔</w:t>
      </w:r>
      <w:r>
        <w:rPr>
          <w:rFonts w:hint="eastAsia" w:ascii="Times New Roman" w:hAnsi="Times New Roman" w:eastAsia="方正仿宋_GBK" w:cs="仿宋"/>
          <w:bCs/>
          <w:color w:val="000000"/>
          <w:sz w:val="32"/>
          <w:szCs w:val="32"/>
          <w:u w:val="none"/>
          <w:lang w:val="en-US" w:eastAsia="zh-CN"/>
        </w:rPr>
        <w:t>2024</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仿宋"/>
          <w:bCs/>
          <w:color w:val="000000"/>
          <w:sz w:val="32"/>
          <w:szCs w:val="32"/>
          <w:u w:val="none"/>
          <w:lang w:val="en-US" w:eastAsia="zh-CN"/>
        </w:rPr>
        <w:t>1</w:t>
      </w:r>
      <w:r>
        <w:rPr>
          <w:rFonts w:hint="eastAsia" w:ascii="Times New Roman" w:hAnsi="Times New Roman" w:eastAsia="方正仿宋_GBK" w:cs="方正仿宋_GBK"/>
          <w:color w:val="auto"/>
          <w:sz w:val="32"/>
          <w:szCs w:val="32"/>
          <w:highlight w:val="none"/>
          <w:u w:val="none"/>
        </w:rPr>
        <w:t>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2025</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6</w:t>
      </w:r>
      <w:r>
        <w:rPr>
          <w:rFonts w:hint="eastAsia" w:ascii="Times New Roman" w:hAnsi="Times New Roman" w:eastAsia="方正仿宋_GBK" w:cs="方正仿宋_GBK"/>
          <w:color w:val="auto"/>
          <w:sz w:val="32"/>
          <w:szCs w:val="32"/>
          <w:highlight w:val="none"/>
          <w:u w:val="none"/>
          <w:lang w:val="en-US" w:eastAsia="zh-CN"/>
        </w:rPr>
        <w:t>号</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、《惠州市惠阳区征地留用地折算货币补偿标准》（惠阳府〔2023〕</w:t>
      </w:r>
      <w:r>
        <w:rPr>
          <w:rFonts w:hint="eastAsia" w:ascii="Times New Roman" w:hAnsi="Times New Roman" w:eastAsia="方正仿宋_GBK" w:cs="方正仿宋_GBK"/>
          <w:color w:val="auto"/>
          <w:sz w:val="32"/>
          <w:szCs w:val="32"/>
          <w:highlight w:val="none"/>
          <w:u w:val="none"/>
          <w:lang w:val="en-US" w:eastAsia="zh-CN"/>
        </w:rPr>
        <w:t>30</w:t>
      </w:r>
      <w:r>
        <w:rPr>
          <w:rFonts w:hint="eastAsia" w:ascii="Times New Roman" w:hAnsi="Times New Roman" w:eastAsia="方正仿宋_GBK" w:cs="方正仿宋_GBK"/>
          <w:color w:val="auto"/>
          <w:sz w:val="32"/>
          <w:szCs w:val="32"/>
          <w:highlight w:val="none"/>
          <w:u w:val="none"/>
          <w:lang w:eastAsia="zh-CN"/>
        </w:rPr>
        <w:t>号）</w:t>
      </w:r>
      <w:r>
        <w:rPr>
          <w:rFonts w:hint="eastAsia" w:ascii="Times New Roman" w:hAnsi="Times New Roman" w:eastAsia="方正仿宋_GBK" w:cs="方正仿宋_GBK"/>
          <w:color w:val="auto"/>
          <w:sz w:val="32"/>
          <w:szCs w:val="32"/>
          <w:highlight w:val="none"/>
          <w:u w:val="none"/>
        </w:rPr>
        <w:t>等有关规定</w:t>
      </w:r>
      <w:r>
        <w:rPr>
          <w:rFonts w:hint="eastAsia" w:ascii="Times New Roman" w:hAnsi="Times New Roman" w:eastAsia="方正仿宋_GBK" w:cs="方正仿宋_GBK"/>
          <w:bCs/>
          <w:color w:val="000000"/>
          <w:sz w:val="32"/>
          <w:szCs w:val="32"/>
          <w:u w:val="none"/>
        </w:rPr>
        <w:t>，结合土地现状调查结果，制订本征地补偿安置方案</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具体</w:t>
      </w:r>
      <w:r>
        <w:rPr>
          <w:rFonts w:hint="eastAsia" w:ascii="Times New Roman" w:hAnsi="Times New Roman" w:eastAsia="方正仿宋_GBK" w:cs="方正仿宋_GBK"/>
          <w:bCs/>
          <w:color w:val="000000"/>
          <w:sz w:val="32"/>
          <w:szCs w:val="32"/>
          <w:u w:val="none"/>
        </w:rPr>
        <w:t>如下：</w:t>
      </w:r>
    </w:p>
    <w:p w14:paraId="6DD218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sz w:val="32"/>
          <w:szCs w:val="32"/>
          <w:u w:val="none"/>
        </w:rPr>
      </w:pPr>
      <w:bookmarkStart w:id="4" w:name="_Toc16733"/>
      <w:r>
        <w:rPr>
          <w:rFonts w:hint="eastAsia" w:ascii="Times New Roman" w:hAnsi="Times New Roman" w:eastAsia="方正黑体_GBK" w:cs="方正黑体_GBK"/>
          <w:b w:val="0"/>
          <w:bCs/>
          <w:sz w:val="32"/>
          <w:szCs w:val="32"/>
          <w:u w:val="none"/>
        </w:rPr>
        <w:t>一、</w:t>
      </w:r>
      <w:bookmarkEnd w:id="4"/>
      <w:r>
        <w:rPr>
          <w:rFonts w:hint="eastAsia" w:ascii="Times New Roman" w:hAnsi="Times New Roman" w:eastAsia="方正黑体_GBK" w:cs="方正黑体_GBK"/>
          <w:b w:val="0"/>
          <w:bCs/>
          <w:sz w:val="32"/>
          <w:szCs w:val="32"/>
          <w:u w:val="none"/>
        </w:rPr>
        <w:t>征收土地的位置、范围、权属、面积和现状</w:t>
      </w:r>
    </w:p>
    <w:p w14:paraId="53D5F430">
      <w:pPr>
        <w:pStyle w:val="54"/>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lang w:val="en-US" w:eastAsia="zh-CN"/>
        </w:rPr>
      </w:pPr>
      <w:r>
        <w:rPr>
          <w:rFonts w:hint="default" w:ascii="Times New Roman" w:hAnsi="Times New Roman"/>
          <w:lang w:val="en-US" w:eastAsia="zh-CN"/>
        </w:rPr>
        <w:t>拟征收地块位于惠阳区新圩镇</w:t>
      </w:r>
      <w:bookmarkStart w:id="5" w:name="OLE_LINK5"/>
      <w:r>
        <w:rPr>
          <w:rFonts w:hint="default" w:ascii="Times New Roman" w:hAnsi="Times New Roman"/>
          <w:lang w:val="en-US" w:eastAsia="zh-CN"/>
        </w:rPr>
        <w:t>花</w:t>
      </w:r>
      <w:bookmarkEnd w:id="5"/>
      <w:r>
        <w:rPr>
          <w:rFonts w:hint="default" w:ascii="Times New Roman" w:hAnsi="Times New Roman"/>
          <w:lang w:val="en-US" w:eastAsia="zh-CN"/>
        </w:rPr>
        <w:t>果村地段，属惠州市惠阳区新圩镇花果村三角塘股份经济合作社、惠州市惠阳区新圩镇花果村刘屋股份经济合作社、惠州市惠阳区新圩镇花果村石头围股份经济合作社、惠州市惠阳区新圩镇花果村高屋股份经济合作社、惠州市惠阳区新圩镇花果村陶屋股份经济合作社、惠州市惠阳区新圩镇花果股份经济合作联合社所有的集体土地，面积合计1.0838公顷，</w:t>
      </w:r>
      <w:r>
        <w:rPr>
          <w:rFonts w:hint="eastAsia" w:ascii="Times New Roman" w:hAnsi="Times New Roman"/>
          <w:lang w:val="en-US" w:eastAsia="zh-CN"/>
        </w:rPr>
        <w:t>其中：耕地1.0804公顷，其他农用地0.0034公顷。</w:t>
      </w:r>
      <w:r>
        <w:rPr>
          <w:rFonts w:hint="default" w:ascii="Times New Roman" w:hAnsi="Times New Roman"/>
          <w:lang w:val="en-US" w:eastAsia="zh-CN"/>
        </w:rPr>
        <w:t>四至范围详见附件《被征地四至红线图（惠阳区2024年度第六十四批次）》。</w:t>
      </w:r>
    </w:p>
    <w:p w14:paraId="431C9D3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sz w:val="32"/>
          <w:szCs w:val="32"/>
          <w:u w:val="none"/>
        </w:rPr>
      </w:pPr>
      <w:r>
        <w:rPr>
          <w:rFonts w:hint="eastAsia" w:ascii="Times New Roman" w:hAnsi="Times New Roman" w:eastAsia="方正黑体_GBK" w:cs="方正黑体_GBK"/>
          <w:b w:val="0"/>
          <w:bCs/>
          <w:sz w:val="32"/>
          <w:szCs w:val="32"/>
          <w:u w:val="none"/>
        </w:rPr>
        <w:t>二、征收目的</w:t>
      </w:r>
    </w:p>
    <w:p w14:paraId="0CD7939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仿宋"/>
          <w:bCs/>
          <w:color w:val="auto"/>
          <w:sz w:val="32"/>
          <w:szCs w:val="32"/>
          <w:u w:val="none"/>
        </w:rPr>
      </w:pPr>
      <w:r>
        <w:rPr>
          <w:rFonts w:hint="eastAsia" w:ascii="Times New Roman" w:hAnsi="Times New Roman" w:eastAsia="方正仿宋_GBK"/>
          <w:bCs/>
          <w:sz w:val="32"/>
          <w:szCs w:val="32"/>
        </w:rPr>
        <w:t>本次拟征收土地用于道路项目建设</w:t>
      </w:r>
      <w:r>
        <w:rPr>
          <w:rFonts w:ascii="Times New Roman" w:hAnsi="Times New Roman" w:eastAsia="方正仿宋_GBK"/>
          <w:bCs/>
          <w:sz w:val="32"/>
          <w:szCs w:val="32"/>
        </w:rPr>
        <w:t>。</w:t>
      </w:r>
    </w:p>
    <w:p w14:paraId="7FD0F45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0" w:leftChars="0" w:right="0" w:rightChars="0"/>
        <w:jc w:val="both"/>
        <w:textAlignment w:val="auto"/>
        <w:outlineLvl w:val="9"/>
        <w:rPr>
          <w:rFonts w:hint="eastAsia" w:ascii="Times New Roman" w:hAnsi="Times New Roman" w:eastAsia="方正黑体_GBK" w:cs="方正黑体_GBK"/>
          <w:b w:val="0"/>
          <w:bCs w:val="0"/>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三、</w:t>
      </w:r>
      <w:r>
        <w:rPr>
          <w:rFonts w:hint="eastAsia" w:ascii="Times New Roman" w:hAnsi="Times New Roman" w:eastAsia="方正黑体_GBK" w:cs="方正黑体_GBK"/>
          <w:b w:val="0"/>
          <w:bCs w:val="0"/>
          <w:color w:val="auto"/>
          <w:sz w:val="32"/>
          <w:szCs w:val="32"/>
          <w:highlight w:val="none"/>
          <w:u w:val="none"/>
        </w:rPr>
        <w:t>土地补偿及安置补助费</w:t>
      </w:r>
    </w:p>
    <w:p w14:paraId="21BB31C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sz w:val="32"/>
          <w:szCs w:val="32"/>
        </w:rPr>
      </w:pPr>
      <w:r>
        <w:rPr>
          <w:rFonts w:hint="eastAsia" w:ascii="Times New Roman" w:hAnsi="Times New Roman" w:eastAsia="方正仿宋_GBK"/>
          <w:bCs/>
          <w:sz w:val="32"/>
          <w:szCs w:val="32"/>
        </w:rPr>
        <w:t>按照《惠州市人民政府关于公布实施征收农用地区片综合地价的公告》（惠府公〔2024〕1号）规定，拟征收土地属于区片一类：</w:t>
      </w:r>
    </w:p>
    <w:p w14:paraId="16588211">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hint="eastAsia"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征收</w:t>
      </w:r>
      <w:r>
        <w:rPr>
          <w:rFonts w:hint="eastAsia" w:ascii="Times New Roman" w:hAnsi="Times New Roman" w:eastAsia="方正仿宋_GBK"/>
          <w:bCs/>
          <w:sz w:val="32"/>
          <w:szCs w:val="32"/>
          <w:lang w:eastAsia="zh-CN"/>
        </w:rPr>
        <w:t>耕地1.0804</w:t>
      </w:r>
      <w:r>
        <w:rPr>
          <w:rFonts w:hint="eastAsia" w:ascii="Times New Roman" w:hAnsi="Times New Roman" w:eastAsia="方正仿宋_GBK" w:cs="方正仿宋_GBK"/>
          <w:bCs/>
          <w:sz w:val="32"/>
          <w:szCs w:val="32"/>
        </w:rPr>
        <w:t>公顷，土地补偿和安置补助费标准为</w:t>
      </w:r>
      <w:r>
        <w:rPr>
          <w:rFonts w:ascii="Times New Roman" w:hAnsi="Times New Roman" w:eastAsia="方正仿宋_GBK" w:cs="方正仿宋_GBK"/>
          <w:bCs/>
          <w:sz w:val="32"/>
          <w:szCs w:val="32"/>
        </w:rPr>
        <w:t>8.4</w:t>
      </w:r>
      <w:r>
        <w:rPr>
          <w:rFonts w:hint="eastAsia" w:ascii="Times New Roman" w:hAnsi="Times New Roman" w:eastAsia="方正仿宋_GBK" w:cs="方正仿宋_GBK"/>
          <w:bCs/>
          <w:sz w:val="32"/>
          <w:szCs w:val="32"/>
        </w:rPr>
        <w:t>万元</w:t>
      </w:r>
      <w:r>
        <w:rPr>
          <w:rFonts w:ascii="Times New Roman" w:hAnsi="Times New Roman" w:eastAsia="方正仿宋_GBK" w:cs="方正仿宋_GBK"/>
          <w:bCs/>
          <w:sz w:val="32"/>
          <w:szCs w:val="32"/>
        </w:rPr>
        <w:t>/</w:t>
      </w:r>
      <w:r>
        <w:rPr>
          <w:rFonts w:hint="eastAsia" w:ascii="Times New Roman" w:hAnsi="Times New Roman" w:eastAsia="方正仿宋_GBK" w:cs="方正仿宋_GBK"/>
          <w:bCs/>
          <w:sz w:val="32"/>
          <w:szCs w:val="32"/>
        </w:rPr>
        <w:t>亩（折算</w:t>
      </w:r>
      <w:r>
        <w:rPr>
          <w:rFonts w:ascii="Times New Roman" w:hAnsi="Times New Roman" w:eastAsia="方正仿宋_GBK" w:cs="仿宋"/>
          <w:bCs/>
          <w:color w:val="000000"/>
          <w:sz w:val="32"/>
          <w:szCs w:val="32"/>
        </w:rPr>
        <w:t>126</w:t>
      </w:r>
      <w:r>
        <w:rPr>
          <w:rFonts w:hint="eastAsia" w:ascii="Times New Roman" w:hAnsi="Times New Roman" w:eastAsia="方正仿宋_GBK" w:cs="方正仿宋_GBK"/>
          <w:bCs/>
          <w:sz w:val="32"/>
          <w:szCs w:val="32"/>
        </w:rPr>
        <w:t>万元</w:t>
      </w:r>
      <w:r>
        <w:rPr>
          <w:rFonts w:ascii="Times New Roman" w:hAnsi="Times New Roman" w:eastAsia="方正仿宋_GBK" w:cs="方正仿宋_GBK"/>
          <w:bCs/>
          <w:sz w:val="32"/>
          <w:szCs w:val="32"/>
        </w:rPr>
        <w:t>/</w:t>
      </w:r>
      <w:r>
        <w:rPr>
          <w:rFonts w:hint="eastAsia" w:ascii="Times New Roman" w:hAnsi="Times New Roman" w:eastAsia="方正仿宋_GBK" w:cs="方正仿宋_GBK"/>
          <w:bCs/>
          <w:sz w:val="32"/>
          <w:szCs w:val="32"/>
        </w:rPr>
        <w:t>公顷），需补偿费</w:t>
      </w:r>
      <w:r>
        <w:rPr>
          <w:rFonts w:hint="eastAsia" w:ascii="Times New Roman" w:hAnsi="Times New Roman" w:eastAsia="方正仿宋_GBK" w:cs="方正仿宋_GBK"/>
          <w:bCs/>
          <w:sz w:val="32"/>
          <w:szCs w:val="32"/>
          <w:lang w:val="en-US" w:eastAsia="zh-CN"/>
        </w:rPr>
        <w:t>136.1304</w:t>
      </w:r>
      <w:r>
        <w:rPr>
          <w:rFonts w:hint="eastAsia" w:ascii="Times New Roman" w:hAnsi="Times New Roman" w:eastAsia="方正仿宋_GBK" w:cs="方正仿宋_GBK"/>
          <w:bCs/>
          <w:sz w:val="32"/>
          <w:szCs w:val="32"/>
        </w:rPr>
        <w:t>万元；</w:t>
      </w:r>
    </w:p>
    <w:p w14:paraId="141F5D03">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征收</w:t>
      </w:r>
      <w:r>
        <w:rPr>
          <w:rFonts w:hint="eastAsia" w:ascii="Times New Roman" w:hAnsi="Times New Roman" w:eastAsia="方正仿宋_GBK"/>
          <w:bCs/>
          <w:sz w:val="32"/>
          <w:szCs w:val="32"/>
        </w:rPr>
        <w:t>其他农用地0.0034公顷</w:t>
      </w:r>
      <w:r>
        <w:rPr>
          <w:rFonts w:hint="eastAsia" w:ascii="Times New Roman" w:hAnsi="Times New Roman" w:eastAsia="方正仿宋_GBK" w:cs="方正仿宋_GBK"/>
          <w:bCs/>
          <w:sz w:val="32"/>
          <w:szCs w:val="32"/>
        </w:rPr>
        <w:t>，土地补偿和安置补助费标准为</w:t>
      </w:r>
      <w:r>
        <w:rPr>
          <w:rFonts w:ascii="Times New Roman" w:hAnsi="Times New Roman" w:eastAsia="方正仿宋_GBK" w:cs="方正仿宋_GBK"/>
          <w:bCs/>
          <w:sz w:val="32"/>
          <w:szCs w:val="32"/>
        </w:rPr>
        <w:t>8.4</w:t>
      </w:r>
      <w:r>
        <w:rPr>
          <w:rFonts w:hint="eastAsia" w:ascii="Times New Roman" w:hAnsi="Times New Roman" w:eastAsia="方正仿宋_GBK" w:cs="方正仿宋_GBK"/>
          <w:bCs/>
          <w:sz w:val="32"/>
          <w:szCs w:val="32"/>
        </w:rPr>
        <w:t>万元</w:t>
      </w:r>
      <w:r>
        <w:rPr>
          <w:rFonts w:ascii="Times New Roman" w:hAnsi="Times New Roman" w:eastAsia="方正仿宋_GBK" w:cs="方正仿宋_GBK"/>
          <w:bCs/>
          <w:sz w:val="32"/>
          <w:szCs w:val="32"/>
        </w:rPr>
        <w:t>/</w:t>
      </w:r>
      <w:r>
        <w:rPr>
          <w:rFonts w:hint="eastAsia" w:ascii="Times New Roman" w:hAnsi="Times New Roman" w:eastAsia="方正仿宋_GBK" w:cs="方正仿宋_GBK"/>
          <w:bCs/>
          <w:sz w:val="32"/>
          <w:szCs w:val="32"/>
        </w:rPr>
        <w:t>亩（折算</w:t>
      </w:r>
      <w:r>
        <w:rPr>
          <w:rFonts w:ascii="Times New Roman" w:hAnsi="Times New Roman" w:eastAsia="方正仿宋_GBK" w:cs="仿宋"/>
          <w:bCs/>
          <w:color w:val="000000"/>
          <w:sz w:val="32"/>
          <w:szCs w:val="32"/>
        </w:rPr>
        <w:t>126</w:t>
      </w:r>
      <w:r>
        <w:rPr>
          <w:rFonts w:hint="eastAsia" w:ascii="Times New Roman" w:hAnsi="Times New Roman" w:eastAsia="方正仿宋_GBK" w:cs="方正仿宋_GBK"/>
          <w:bCs/>
          <w:sz w:val="32"/>
          <w:szCs w:val="32"/>
        </w:rPr>
        <w:t>万元</w:t>
      </w:r>
      <w:r>
        <w:rPr>
          <w:rFonts w:ascii="Times New Roman" w:hAnsi="Times New Roman" w:eastAsia="方正仿宋_GBK" w:cs="方正仿宋_GBK"/>
          <w:bCs/>
          <w:sz w:val="32"/>
          <w:szCs w:val="32"/>
        </w:rPr>
        <w:t>/</w:t>
      </w:r>
      <w:r>
        <w:rPr>
          <w:rFonts w:hint="eastAsia" w:ascii="Times New Roman" w:hAnsi="Times New Roman" w:eastAsia="方正仿宋_GBK" w:cs="方正仿宋_GBK"/>
          <w:bCs/>
          <w:sz w:val="32"/>
          <w:szCs w:val="32"/>
        </w:rPr>
        <w:t>公顷），需补偿费</w:t>
      </w:r>
      <w:r>
        <w:rPr>
          <w:rFonts w:hint="eastAsia" w:ascii="Times New Roman" w:hAnsi="Times New Roman" w:eastAsia="方正仿宋_GBK" w:cs="方正仿宋_GBK"/>
          <w:bCs/>
          <w:sz w:val="32"/>
          <w:szCs w:val="32"/>
          <w:lang w:val="en-US" w:eastAsia="zh-CN"/>
        </w:rPr>
        <w:t>0.4284</w:t>
      </w:r>
      <w:r>
        <w:rPr>
          <w:rFonts w:hint="eastAsia" w:ascii="Times New Roman" w:hAnsi="Times New Roman" w:eastAsia="方正仿宋_GBK" w:cs="方正仿宋_GBK"/>
          <w:bCs/>
          <w:sz w:val="32"/>
          <w:szCs w:val="32"/>
        </w:rPr>
        <w:t>万元。</w:t>
      </w:r>
    </w:p>
    <w:p w14:paraId="25FC9C4E">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以上土地补偿及安置补助费共</w:t>
      </w:r>
      <w:r>
        <w:rPr>
          <w:rFonts w:hint="eastAsia" w:ascii="Times New Roman" w:hAnsi="Times New Roman" w:eastAsia="方正仿宋_GBK" w:cs="方正仿宋_GBK"/>
          <w:bCs/>
          <w:sz w:val="32"/>
          <w:szCs w:val="32"/>
          <w:lang w:val="en-US" w:eastAsia="zh-CN"/>
        </w:rPr>
        <w:t>136.5588</w:t>
      </w:r>
      <w:r>
        <w:rPr>
          <w:rFonts w:hint="eastAsia" w:ascii="Times New Roman" w:hAnsi="Times New Roman" w:eastAsia="方正仿宋_GBK" w:cs="方正仿宋_GBK"/>
          <w:sz w:val="32"/>
          <w:szCs w:val="32"/>
        </w:rPr>
        <w:t>万元。</w:t>
      </w:r>
    </w:p>
    <w:p w14:paraId="478E49E4">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四</w:t>
      </w:r>
      <w:r>
        <w:rPr>
          <w:rFonts w:hint="eastAsia" w:ascii="Times New Roman" w:hAnsi="Times New Roman" w:eastAsia="方正黑体_GBK" w:cs="方正黑体_GBK"/>
          <w:b w:val="0"/>
          <w:bCs w:val="0"/>
          <w:color w:val="auto"/>
          <w:sz w:val="32"/>
          <w:szCs w:val="32"/>
          <w:highlight w:val="none"/>
          <w:u w:val="none"/>
        </w:rPr>
        <w:t>、青苗及地上附着物补偿费</w:t>
      </w:r>
    </w:p>
    <w:p w14:paraId="20CCBDE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 w:cs="仿宋"/>
          <w:sz w:val="32"/>
          <w:szCs w:val="32"/>
        </w:rPr>
      </w:pPr>
      <w:r>
        <w:rPr>
          <w:rFonts w:hint="eastAsia" w:ascii="Times New Roman" w:hAnsi="Times New Roman" w:eastAsia="仿宋" w:cs="仿宋"/>
          <w:sz w:val="32"/>
          <w:szCs w:val="32"/>
        </w:rPr>
        <w:t>被征地上有荔枝、</w:t>
      </w:r>
      <w:r>
        <w:rPr>
          <w:rFonts w:hint="eastAsia" w:ascii="Times New Roman" w:hAnsi="Times New Roman" w:eastAsia="仿宋" w:cs="仿宋"/>
          <w:sz w:val="32"/>
          <w:szCs w:val="32"/>
          <w:lang w:eastAsia="zh-CN"/>
        </w:rPr>
        <w:t>水泥地板</w:t>
      </w:r>
      <w:r>
        <w:rPr>
          <w:rFonts w:hint="eastAsia" w:ascii="Times New Roman" w:hAnsi="Times New Roman" w:eastAsia="仿宋" w:cs="仿宋"/>
          <w:sz w:val="32"/>
          <w:szCs w:val="32"/>
        </w:rPr>
        <w:t>、</w:t>
      </w:r>
      <w:r>
        <w:rPr>
          <w:rFonts w:hint="eastAsia" w:ascii="Times New Roman" w:hAnsi="Times New Roman" w:eastAsia="仿宋" w:cs="仿宋"/>
          <w:sz w:val="32"/>
          <w:szCs w:val="32"/>
          <w:lang w:eastAsia="zh-CN"/>
        </w:rPr>
        <w:t>路灯</w:t>
      </w:r>
      <w:r>
        <w:rPr>
          <w:rFonts w:hint="eastAsia" w:ascii="Times New Roman" w:hAnsi="Times New Roman" w:eastAsia="仿宋" w:cs="仿宋"/>
          <w:sz w:val="32"/>
          <w:szCs w:val="32"/>
        </w:rPr>
        <w:t>等地上附着物，</w:t>
      </w:r>
      <w:r>
        <w:rPr>
          <w:rFonts w:hint="eastAsia" w:ascii="Times New Roman" w:hAnsi="Times New Roman" w:eastAsia="仿宋" w:cs="仿宋"/>
          <w:sz w:val="32"/>
          <w:szCs w:val="32"/>
          <w:lang w:eastAsia="zh-CN"/>
        </w:rPr>
        <w:t>参照</w:t>
      </w:r>
      <w:r>
        <w:rPr>
          <w:rFonts w:hint="eastAsia" w:ascii="Times New Roman" w:hAnsi="Times New Roman" w:eastAsia="仿宋" w:cs="仿宋"/>
          <w:sz w:val="32"/>
          <w:szCs w:val="32"/>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2025</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6</w:t>
      </w:r>
      <w:r>
        <w:rPr>
          <w:rFonts w:hint="eastAsia" w:ascii="Times New Roman" w:hAnsi="Times New Roman" w:eastAsia="方正仿宋_GBK" w:cs="方正仿宋_GBK"/>
          <w:color w:val="auto"/>
          <w:sz w:val="32"/>
          <w:szCs w:val="32"/>
          <w:highlight w:val="none"/>
          <w:u w:val="none"/>
          <w:lang w:val="en-US" w:eastAsia="zh-CN"/>
        </w:rPr>
        <w:t>号</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仿宋" w:cs="仿宋"/>
          <w:sz w:val="32"/>
          <w:szCs w:val="32"/>
        </w:rPr>
        <w:t>确定的补偿标准进行补偿，需补偿</w:t>
      </w:r>
      <w:r>
        <w:rPr>
          <w:rFonts w:hint="eastAsia" w:ascii="Times New Roman" w:hAnsi="Times New Roman" w:eastAsia="方正仿宋_GBK" w:cs="方正仿宋_GBK"/>
          <w:sz w:val="32"/>
          <w:szCs w:val="32"/>
        </w:rPr>
        <w:t>费共</w:t>
      </w:r>
      <w:r>
        <w:rPr>
          <w:rFonts w:hint="eastAsia" w:ascii="Times New Roman" w:hAnsi="Times New Roman" w:eastAsia="方正仿宋_GBK"/>
          <w:bCs/>
          <w:sz w:val="32"/>
          <w:szCs w:val="32"/>
          <w:lang w:val="en-US" w:eastAsia="zh-CN"/>
        </w:rPr>
        <w:t>1.0847</w:t>
      </w:r>
      <w:r>
        <w:rPr>
          <w:rFonts w:hint="eastAsia" w:ascii="Times New Roman" w:hAnsi="Times New Roman" w:eastAsia="仿宋" w:cs="仿宋"/>
          <w:sz w:val="32"/>
          <w:szCs w:val="32"/>
        </w:rPr>
        <w:t>万元（补偿以实际发生为准）。地上附着物补偿费自</w:t>
      </w:r>
      <w:r>
        <w:rPr>
          <w:rFonts w:hint="eastAsia" w:ascii="Times New Roman" w:hAnsi="Times New Roman" w:eastAsia="方正仿宋_GBK" w:cs="方正仿宋_GBK"/>
          <w:sz w:val="32"/>
          <w:szCs w:val="32"/>
        </w:rPr>
        <w:t>征地公告发布之日起</w:t>
      </w:r>
      <w:r>
        <w:rPr>
          <w:rFonts w:hint="eastAsia" w:ascii="Times New Roman" w:hAnsi="Times New Roman" w:eastAsia="仿宋" w:cs="仿宋"/>
          <w:bCs/>
          <w:color w:val="000000"/>
          <w:sz w:val="32"/>
          <w:szCs w:val="32"/>
        </w:rPr>
        <w:t>3</w:t>
      </w:r>
      <w:r>
        <w:rPr>
          <w:rFonts w:hint="eastAsia" w:ascii="Times New Roman" w:hAnsi="Times New Roman" w:eastAsia="方正仿宋_GBK" w:cs="方正仿宋_GBK"/>
          <w:sz w:val="32"/>
          <w:szCs w:val="32"/>
        </w:rPr>
        <w:t>个月内</w:t>
      </w:r>
      <w:r>
        <w:rPr>
          <w:rFonts w:hint="eastAsia" w:ascii="Times New Roman" w:hAnsi="Times New Roman" w:eastAsia="仿宋" w:cs="仿宋"/>
          <w:sz w:val="32"/>
          <w:szCs w:val="32"/>
        </w:rPr>
        <w:t>一次性支付给权属人。</w:t>
      </w:r>
    </w:p>
    <w:p w14:paraId="442D71FF">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lang w:eastAsia="zh-CN"/>
        </w:rPr>
      </w:pPr>
      <w:r>
        <w:rPr>
          <w:rFonts w:hint="eastAsia" w:ascii="Times New Roman" w:hAnsi="Times New Roman" w:eastAsia="方正黑体_GBK" w:cs="方正黑体_GBK"/>
          <w:b w:val="0"/>
          <w:bCs w:val="0"/>
          <w:color w:val="auto"/>
          <w:sz w:val="32"/>
          <w:szCs w:val="32"/>
          <w:highlight w:val="none"/>
          <w:u w:val="none"/>
          <w:lang w:eastAsia="zh-CN"/>
        </w:rPr>
        <w:t>五、</w:t>
      </w:r>
      <w:r>
        <w:rPr>
          <w:rFonts w:hint="eastAsia" w:ascii="Times New Roman" w:hAnsi="Times New Roman" w:eastAsia="方正黑体_GBK" w:cs="方正黑体_GBK"/>
          <w:b w:val="0"/>
          <w:bCs w:val="0"/>
          <w:sz w:val="32"/>
          <w:szCs w:val="32"/>
          <w:u w:val="none"/>
          <w:lang w:eastAsia="zh-CN"/>
        </w:rPr>
        <w:t>征地留用地补偿方式</w:t>
      </w:r>
    </w:p>
    <w:p w14:paraId="47B92E6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sz w:val="32"/>
          <w:szCs w:val="32"/>
        </w:rPr>
        <w:t>征地留用地根据被征地村集体意愿，选择折算货币补偿的方式解决。按实际征地总面积的15%计算，面积为共0.</w:t>
      </w:r>
      <w:r>
        <w:rPr>
          <w:rFonts w:hint="eastAsia" w:ascii="Times New Roman" w:hAnsi="Times New Roman" w:eastAsia="方正仿宋_GBK"/>
          <w:sz w:val="32"/>
          <w:szCs w:val="32"/>
          <w:lang w:val="en-US" w:eastAsia="zh-CN"/>
        </w:rPr>
        <w:t>1626</w:t>
      </w:r>
      <w:r>
        <w:rPr>
          <w:rFonts w:hint="eastAsia" w:ascii="Times New Roman" w:hAnsi="Times New Roman" w:eastAsia="方正仿宋_GBK"/>
          <w:sz w:val="32"/>
          <w:szCs w:val="32"/>
        </w:rPr>
        <w:t>公顷（</w:t>
      </w:r>
      <w:r>
        <w:rPr>
          <w:rFonts w:hint="eastAsia" w:ascii="Times New Roman" w:hAnsi="Times New Roman" w:eastAsia="方正仿宋_GBK"/>
          <w:sz w:val="32"/>
          <w:szCs w:val="32"/>
          <w:lang w:val="en-US" w:eastAsia="zh-CN"/>
        </w:rPr>
        <w:t>1626</w:t>
      </w:r>
      <w:r>
        <w:rPr>
          <w:rFonts w:hint="eastAsia" w:ascii="Times New Roman" w:hAnsi="Times New Roman" w:eastAsia="方正仿宋_GBK"/>
          <w:sz w:val="32"/>
          <w:szCs w:val="32"/>
        </w:rPr>
        <w:t>平方米）</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根据《惠州市惠阳区征地留用地折算货币补偿标准》（惠阳府〔2023〕30号），按1600元/平方米</w:t>
      </w:r>
      <w:r>
        <w:rPr>
          <w:rFonts w:hint="eastAsia" w:ascii="Times New Roman" w:hAnsi="Times New Roman" w:eastAsia="方正仿宋_GBK" w:cs="方正仿宋_GBK"/>
          <w:sz w:val="32"/>
          <w:szCs w:val="32"/>
          <w:lang w:eastAsia="zh-CN"/>
        </w:rPr>
        <w:t>标准</w:t>
      </w:r>
      <w:r>
        <w:rPr>
          <w:rFonts w:hint="eastAsia" w:ascii="Times New Roman" w:hAnsi="Times New Roman" w:eastAsia="方正仿宋_GBK" w:cs="方正仿宋_GBK"/>
          <w:sz w:val="32"/>
          <w:szCs w:val="32"/>
        </w:rPr>
        <w:t>计算，补偿款共</w:t>
      </w:r>
      <w:r>
        <w:rPr>
          <w:rFonts w:hint="eastAsia" w:ascii="Times New Roman" w:hAnsi="Times New Roman" w:eastAsia="方正仿宋_GBK"/>
          <w:sz w:val="32"/>
          <w:szCs w:val="32"/>
          <w:lang w:val="en-US" w:eastAsia="zh-CN"/>
        </w:rPr>
        <w:t>260.16</w:t>
      </w:r>
      <w:r>
        <w:rPr>
          <w:rFonts w:hint="eastAsia" w:ascii="Times New Roman" w:hAnsi="Times New Roman" w:eastAsia="方正仿宋_GBK" w:cs="方正仿宋_GBK"/>
          <w:sz w:val="32"/>
          <w:szCs w:val="32"/>
        </w:rPr>
        <w:t>万元，留用地折算货币补偿款已足额存入征地预存款专户。</w:t>
      </w:r>
    </w:p>
    <w:p w14:paraId="5A0D4B0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color w:val="auto"/>
          <w:sz w:val="32"/>
          <w:szCs w:val="32"/>
          <w:highlight w:val="none"/>
          <w:u w:val="none"/>
          <w:lang w:eastAsia="zh-CN"/>
        </w:rPr>
      </w:pPr>
      <w:r>
        <w:rPr>
          <w:rFonts w:hint="eastAsia" w:ascii="Times New Roman" w:hAnsi="Times New Roman" w:eastAsia="方正黑体_GBK" w:cs="方正黑体_GBK"/>
          <w:b w:val="0"/>
          <w:bCs/>
          <w:sz w:val="32"/>
          <w:szCs w:val="32"/>
          <w:u w:val="none"/>
          <w:lang w:eastAsia="zh-CN"/>
        </w:rPr>
        <w:t>六、</w:t>
      </w:r>
      <w:r>
        <w:rPr>
          <w:rFonts w:hint="eastAsia" w:ascii="Times New Roman" w:hAnsi="Times New Roman" w:eastAsia="方正黑体_GBK" w:cs="方正黑体_GBK"/>
          <w:b w:val="0"/>
          <w:bCs/>
          <w:sz w:val="32"/>
          <w:szCs w:val="32"/>
          <w:u w:val="none"/>
        </w:rPr>
        <w:t>被征地农民按广东省人力资源和社会保障厅有关规定纳入相应的养老等社会保障体系</w:t>
      </w:r>
    </w:p>
    <w:p w14:paraId="138D2A0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综上所述，惠州市惠阳区</w:t>
      </w:r>
      <w:r>
        <w:rPr>
          <w:rFonts w:hint="eastAsia" w:ascii="Times New Roman" w:hAnsi="Times New Roman" w:eastAsia="方正仿宋_GBK" w:cs="仿宋"/>
          <w:bCs/>
          <w:color w:val="000000"/>
          <w:sz w:val="32"/>
          <w:szCs w:val="32"/>
        </w:rPr>
        <w:t>2024年度第</w:t>
      </w:r>
      <w:r>
        <w:rPr>
          <w:rFonts w:hint="eastAsia" w:ascii="Times New Roman" w:hAnsi="Times New Roman" w:eastAsia="方正仿宋_GBK" w:cs="仿宋"/>
          <w:bCs/>
          <w:color w:val="000000"/>
          <w:sz w:val="32"/>
          <w:szCs w:val="32"/>
          <w:lang w:eastAsia="zh-CN"/>
        </w:rPr>
        <w:t>六十四</w:t>
      </w:r>
      <w:r>
        <w:rPr>
          <w:rFonts w:hint="eastAsia" w:ascii="Times New Roman" w:hAnsi="Times New Roman" w:eastAsia="方正仿宋_GBK" w:cs="仿宋"/>
          <w:bCs/>
          <w:color w:val="000000"/>
          <w:sz w:val="32"/>
          <w:szCs w:val="32"/>
        </w:rPr>
        <w:t>批次</w:t>
      </w:r>
      <w:r>
        <w:rPr>
          <w:rFonts w:hint="eastAsia" w:ascii="Times New Roman" w:hAnsi="Times New Roman" w:eastAsia="方正仿宋_GBK" w:cs="方正仿宋_GBK"/>
          <w:sz w:val="32"/>
          <w:szCs w:val="32"/>
        </w:rPr>
        <w:t>城镇建设用地</w:t>
      </w:r>
      <w:r>
        <w:rPr>
          <w:rFonts w:hint="eastAsia" w:ascii="Times New Roman" w:hAnsi="Times New Roman" w:eastAsia="方正仿宋_GBK" w:cs="方正仿宋_GBK"/>
          <w:bCs/>
          <w:sz w:val="32"/>
          <w:szCs w:val="32"/>
        </w:rPr>
        <w:t>征地补偿总费用</w:t>
      </w:r>
      <w:r>
        <w:rPr>
          <w:rFonts w:hint="eastAsia" w:ascii="Times New Roman" w:hAnsi="Times New Roman" w:eastAsia="方正仿宋_GBK" w:cs="方正仿宋_GBK"/>
          <w:sz w:val="32"/>
          <w:szCs w:val="32"/>
          <w:lang w:val="en-US" w:eastAsia="zh-CN"/>
        </w:rPr>
        <w:t>397.8035</w:t>
      </w:r>
      <w:r>
        <w:rPr>
          <w:rFonts w:hint="eastAsia" w:ascii="Times New Roman" w:hAnsi="Times New Roman" w:eastAsia="方正仿宋_GBK" w:cs="方正仿宋_GBK"/>
          <w:sz w:val="32"/>
          <w:szCs w:val="32"/>
        </w:rPr>
        <w:t>万元</w:t>
      </w:r>
      <w:r>
        <w:rPr>
          <w:rFonts w:hint="eastAsia" w:ascii="Times New Roman" w:hAnsi="Times New Roman" w:eastAsia="方正仿宋_GBK" w:cs="方正仿宋_GBK"/>
          <w:bCs/>
          <w:sz w:val="32"/>
          <w:szCs w:val="32"/>
        </w:rPr>
        <w:t>，其中：土地补偿费和安置补助费</w:t>
      </w:r>
      <w:r>
        <w:rPr>
          <w:rFonts w:hint="eastAsia" w:ascii="Times New Roman" w:hAnsi="Times New Roman" w:eastAsia="方正仿宋_GBK" w:cs="方正仿宋_GBK"/>
          <w:bCs/>
          <w:sz w:val="32"/>
          <w:szCs w:val="32"/>
          <w:lang w:val="en-US" w:eastAsia="zh-CN"/>
        </w:rPr>
        <w:t>136.5588</w:t>
      </w:r>
      <w:r>
        <w:rPr>
          <w:rFonts w:hint="eastAsia" w:ascii="Times New Roman" w:hAnsi="Times New Roman" w:eastAsia="方正仿宋_GBK" w:cs="方正仿宋_GBK"/>
          <w:sz w:val="32"/>
          <w:szCs w:val="32"/>
        </w:rPr>
        <w:t>万元</w:t>
      </w:r>
      <w:r>
        <w:rPr>
          <w:rFonts w:hint="eastAsia" w:ascii="Times New Roman" w:hAnsi="Times New Roman" w:eastAsia="方正仿宋_GBK"/>
          <w:sz w:val="32"/>
          <w:szCs w:val="32"/>
        </w:rPr>
        <w:t>、地上附着物补偿款</w:t>
      </w:r>
      <w:r>
        <w:rPr>
          <w:rFonts w:hint="eastAsia" w:ascii="Times New Roman" w:hAnsi="Times New Roman" w:eastAsia="方正仿宋_GBK"/>
          <w:bCs/>
          <w:sz w:val="32"/>
          <w:szCs w:val="32"/>
          <w:lang w:val="en-US" w:eastAsia="zh-CN"/>
        </w:rPr>
        <w:t>1.0847</w:t>
      </w:r>
      <w:r>
        <w:rPr>
          <w:rFonts w:hint="eastAsia" w:ascii="Times New Roman" w:hAnsi="Times New Roman" w:eastAsia="方正仿宋_GBK"/>
          <w:sz w:val="32"/>
          <w:szCs w:val="32"/>
        </w:rPr>
        <w:t>万元、</w:t>
      </w:r>
      <w:r>
        <w:rPr>
          <w:rFonts w:hint="eastAsia" w:ascii="Times New Roman" w:hAnsi="Times New Roman" w:eastAsia="方正仿宋_GBK" w:cs="方正仿宋_GBK"/>
          <w:sz w:val="32"/>
          <w:szCs w:val="32"/>
        </w:rPr>
        <w:t>征地留用地折算货币补偿费</w:t>
      </w:r>
      <w:r>
        <w:rPr>
          <w:rFonts w:hint="eastAsia" w:ascii="Times New Roman" w:hAnsi="Times New Roman" w:eastAsia="方正仿宋_GBK"/>
          <w:sz w:val="32"/>
          <w:szCs w:val="32"/>
          <w:lang w:val="en-US" w:eastAsia="zh-CN"/>
        </w:rPr>
        <w:t>260.16</w:t>
      </w:r>
      <w:r>
        <w:rPr>
          <w:rFonts w:hint="eastAsia" w:ascii="Times New Roman" w:hAnsi="Times New Roman" w:eastAsia="方正仿宋_GBK" w:cs="方正仿宋_GBK"/>
          <w:sz w:val="32"/>
          <w:szCs w:val="32"/>
        </w:rPr>
        <w:t>万元。征地补偿总费用自征地公告发布之日起</w:t>
      </w:r>
      <w:r>
        <w:rPr>
          <w:rFonts w:hint="eastAsia" w:ascii="Times New Roman" w:hAnsi="Times New Roman" w:eastAsia="方正仿宋_GBK" w:cs="仿宋"/>
          <w:bCs/>
          <w:color w:val="000000"/>
          <w:sz w:val="32"/>
          <w:szCs w:val="32"/>
        </w:rPr>
        <w:t>3</w:t>
      </w:r>
      <w:r>
        <w:rPr>
          <w:rFonts w:hint="eastAsia" w:ascii="Times New Roman" w:hAnsi="Times New Roman" w:eastAsia="方正仿宋_GBK" w:cs="方正仿宋_GBK"/>
          <w:sz w:val="32"/>
          <w:szCs w:val="32"/>
        </w:rPr>
        <w:t xml:space="preserve">个月内一次性支付给被征地权属单位和相关权利人。 </w:t>
      </w:r>
    </w:p>
    <w:p w14:paraId="753BB2E7">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center"/>
        <w:textAlignment w:val="auto"/>
        <w:rPr>
          <w:rFonts w:hint="eastAsia" w:ascii="Times New Roman" w:hAnsi="Times New Roman" w:eastAsia="方正仿宋_GBK" w:cs="仿宋"/>
          <w:sz w:val="32"/>
          <w:szCs w:val="32"/>
          <w:lang w:val="en-US" w:eastAsia="zh-CN"/>
        </w:rPr>
      </w:pPr>
      <w:r>
        <w:rPr>
          <w:rFonts w:hint="eastAsia" w:ascii="Times New Roman" w:hAnsi="Times New Roman" w:eastAsia="方正仿宋_GBK" w:cs="仿宋"/>
          <w:sz w:val="32"/>
          <w:szCs w:val="32"/>
          <w:lang w:val="en-US" w:eastAsia="zh-CN"/>
        </w:rPr>
        <w:t xml:space="preserve">              </w:t>
      </w:r>
    </w:p>
    <w:p w14:paraId="416F6091">
      <w:pPr>
        <w:spacing w:line="580" w:lineRule="exact"/>
        <w:ind w:firstLine="630"/>
        <w:jc w:val="center"/>
        <w:rPr>
          <w:rFonts w:ascii="Times New Roman" w:hAnsi="Times New Roman" w:eastAsia="方正仿宋_GBK"/>
          <w:sz w:val="32"/>
          <w:szCs w:val="32"/>
        </w:rPr>
      </w:pP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rPr>
        <w:t>惠州市惠阳区自然资源局</w:t>
      </w:r>
    </w:p>
    <w:p w14:paraId="74C35E4C">
      <w:pPr>
        <w:spacing w:line="580" w:lineRule="exact"/>
        <w:ind w:right="320" w:firstLine="630"/>
        <w:jc w:val="center"/>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7</w:t>
      </w:r>
      <w:r>
        <w:rPr>
          <w:rFonts w:ascii="Times New Roman" w:hAnsi="Times New Roman" w:eastAsia="方正仿宋_GBK"/>
          <w:sz w:val="32"/>
          <w:szCs w:val="32"/>
        </w:rPr>
        <w:t>日</w:t>
      </w:r>
      <w:r>
        <w:rPr>
          <w:rFonts w:hint="eastAsia" w:ascii="Times New Roman" w:hAnsi="Times New Roman" w:eastAsia="方正仿宋_GBK"/>
          <w:sz w:val="32"/>
          <w:szCs w:val="32"/>
        </w:rPr>
        <w:t xml:space="preserve">   </w:t>
      </w:r>
    </w:p>
    <w:sectPr>
      <w:pgSz w:w="11906" w:h="16838"/>
      <w:pgMar w:top="2041" w:right="1587" w:bottom="1701" w:left="1587"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dit="comment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iZTdhMGIwYzQ5ZmYzMGIxYjBiODExYWU2YzRhMWYifQ=="/>
  </w:docVars>
  <w:rsids>
    <w:rsidRoot w:val="518B6C6A"/>
    <w:rsid w:val="0020462D"/>
    <w:rsid w:val="00473532"/>
    <w:rsid w:val="005C6ADC"/>
    <w:rsid w:val="006147BA"/>
    <w:rsid w:val="00807B3E"/>
    <w:rsid w:val="00C520D1"/>
    <w:rsid w:val="01014A4E"/>
    <w:rsid w:val="01154075"/>
    <w:rsid w:val="01604DAC"/>
    <w:rsid w:val="018540A7"/>
    <w:rsid w:val="01870AF1"/>
    <w:rsid w:val="01892BE0"/>
    <w:rsid w:val="018D5FDD"/>
    <w:rsid w:val="01D775FD"/>
    <w:rsid w:val="02024260"/>
    <w:rsid w:val="027652C4"/>
    <w:rsid w:val="027720CC"/>
    <w:rsid w:val="027B4F23"/>
    <w:rsid w:val="029B19CD"/>
    <w:rsid w:val="02A27C12"/>
    <w:rsid w:val="02C8006B"/>
    <w:rsid w:val="02D335E1"/>
    <w:rsid w:val="02D96AD8"/>
    <w:rsid w:val="03025BD6"/>
    <w:rsid w:val="03093CBB"/>
    <w:rsid w:val="036C2207"/>
    <w:rsid w:val="036F19E0"/>
    <w:rsid w:val="03BE5F0C"/>
    <w:rsid w:val="03EF3C5C"/>
    <w:rsid w:val="04137294"/>
    <w:rsid w:val="04596211"/>
    <w:rsid w:val="047927AC"/>
    <w:rsid w:val="047E7E46"/>
    <w:rsid w:val="048703D6"/>
    <w:rsid w:val="04A47572"/>
    <w:rsid w:val="04B617EC"/>
    <w:rsid w:val="05064512"/>
    <w:rsid w:val="0516533B"/>
    <w:rsid w:val="05416698"/>
    <w:rsid w:val="055C54E3"/>
    <w:rsid w:val="05C27914"/>
    <w:rsid w:val="05F96202"/>
    <w:rsid w:val="06437E54"/>
    <w:rsid w:val="06470EAD"/>
    <w:rsid w:val="06482C99"/>
    <w:rsid w:val="064E24E3"/>
    <w:rsid w:val="066A7086"/>
    <w:rsid w:val="06735227"/>
    <w:rsid w:val="06760AE5"/>
    <w:rsid w:val="067D0215"/>
    <w:rsid w:val="068463D8"/>
    <w:rsid w:val="06B338A4"/>
    <w:rsid w:val="06C426D1"/>
    <w:rsid w:val="06E237A8"/>
    <w:rsid w:val="06E72CE6"/>
    <w:rsid w:val="06FB68B7"/>
    <w:rsid w:val="074347CB"/>
    <w:rsid w:val="075A00B5"/>
    <w:rsid w:val="075B44FA"/>
    <w:rsid w:val="07BF0C47"/>
    <w:rsid w:val="07D13626"/>
    <w:rsid w:val="082707B9"/>
    <w:rsid w:val="082825EC"/>
    <w:rsid w:val="08403E23"/>
    <w:rsid w:val="08500F2D"/>
    <w:rsid w:val="088F5846"/>
    <w:rsid w:val="08B446BA"/>
    <w:rsid w:val="08BC34B9"/>
    <w:rsid w:val="091618B9"/>
    <w:rsid w:val="095225EB"/>
    <w:rsid w:val="09566602"/>
    <w:rsid w:val="09567FC7"/>
    <w:rsid w:val="095F4DDF"/>
    <w:rsid w:val="09632046"/>
    <w:rsid w:val="098E30F0"/>
    <w:rsid w:val="09C41B67"/>
    <w:rsid w:val="09DB0972"/>
    <w:rsid w:val="09DE5173"/>
    <w:rsid w:val="09EC52F9"/>
    <w:rsid w:val="09ED2EF2"/>
    <w:rsid w:val="0A225BA4"/>
    <w:rsid w:val="0A304A1D"/>
    <w:rsid w:val="0A611364"/>
    <w:rsid w:val="0A927CA8"/>
    <w:rsid w:val="0AB57CB0"/>
    <w:rsid w:val="0ABB62E9"/>
    <w:rsid w:val="0AC11179"/>
    <w:rsid w:val="0ACE740B"/>
    <w:rsid w:val="0ADB3007"/>
    <w:rsid w:val="0ADD66C4"/>
    <w:rsid w:val="0AE11F90"/>
    <w:rsid w:val="0B4D3535"/>
    <w:rsid w:val="0B7D274D"/>
    <w:rsid w:val="0B987152"/>
    <w:rsid w:val="0C056FCB"/>
    <w:rsid w:val="0C0A056A"/>
    <w:rsid w:val="0C1F44BE"/>
    <w:rsid w:val="0C323885"/>
    <w:rsid w:val="0C471DBB"/>
    <w:rsid w:val="0C4A20D1"/>
    <w:rsid w:val="0C5253BB"/>
    <w:rsid w:val="0C6A10EB"/>
    <w:rsid w:val="0CEE56FC"/>
    <w:rsid w:val="0CF0362D"/>
    <w:rsid w:val="0CF03FF3"/>
    <w:rsid w:val="0D153C84"/>
    <w:rsid w:val="0D190AA4"/>
    <w:rsid w:val="0D2F334C"/>
    <w:rsid w:val="0D391634"/>
    <w:rsid w:val="0D48599B"/>
    <w:rsid w:val="0D5B2023"/>
    <w:rsid w:val="0D9B46C5"/>
    <w:rsid w:val="0DDA05A2"/>
    <w:rsid w:val="0E237315"/>
    <w:rsid w:val="0E54344C"/>
    <w:rsid w:val="0E934868"/>
    <w:rsid w:val="0F03286F"/>
    <w:rsid w:val="0F3550C8"/>
    <w:rsid w:val="0F8044DF"/>
    <w:rsid w:val="0FCE0BD4"/>
    <w:rsid w:val="101E35F3"/>
    <w:rsid w:val="104925F5"/>
    <w:rsid w:val="10555EBD"/>
    <w:rsid w:val="10732665"/>
    <w:rsid w:val="107B0C4F"/>
    <w:rsid w:val="108E3394"/>
    <w:rsid w:val="1091092A"/>
    <w:rsid w:val="109435F9"/>
    <w:rsid w:val="10D2448F"/>
    <w:rsid w:val="10D76A30"/>
    <w:rsid w:val="10EF036D"/>
    <w:rsid w:val="11187D60"/>
    <w:rsid w:val="112B3401"/>
    <w:rsid w:val="11714C3E"/>
    <w:rsid w:val="11843E5C"/>
    <w:rsid w:val="11915B64"/>
    <w:rsid w:val="11CB51FA"/>
    <w:rsid w:val="11E5680D"/>
    <w:rsid w:val="12095EB4"/>
    <w:rsid w:val="121D248B"/>
    <w:rsid w:val="122258F2"/>
    <w:rsid w:val="122443D5"/>
    <w:rsid w:val="122D5259"/>
    <w:rsid w:val="12C153AD"/>
    <w:rsid w:val="12E52A2E"/>
    <w:rsid w:val="12F53AF3"/>
    <w:rsid w:val="132E4F51"/>
    <w:rsid w:val="137827DB"/>
    <w:rsid w:val="13A031E9"/>
    <w:rsid w:val="13A9380B"/>
    <w:rsid w:val="13D110F9"/>
    <w:rsid w:val="13DB464D"/>
    <w:rsid w:val="141F32E8"/>
    <w:rsid w:val="14336863"/>
    <w:rsid w:val="148E459E"/>
    <w:rsid w:val="149659B9"/>
    <w:rsid w:val="14AA6055"/>
    <w:rsid w:val="14ED1F1F"/>
    <w:rsid w:val="15030539"/>
    <w:rsid w:val="150D4CE3"/>
    <w:rsid w:val="15847F76"/>
    <w:rsid w:val="15A83D69"/>
    <w:rsid w:val="15A856C8"/>
    <w:rsid w:val="15CE3AFB"/>
    <w:rsid w:val="160B6B83"/>
    <w:rsid w:val="161174FF"/>
    <w:rsid w:val="16314FE7"/>
    <w:rsid w:val="16394467"/>
    <w:rsid w:val="16563EB0"/>
    <w:rsid w:val="165A7466"/>
    <w:rsid w:val="16664F4D"/>
    <w:rsid w:val="1669427C"/>
    <w:rsid w:val="16840D31"/>
    <w:rsid w:val="16912888"/>
    <w:rsid w:val="169A70D4"/>
    <w:rsid w:val="16E744C5"/>
    <w:rsid w:val="17056B15"/>
    <w:rsid w:val="170C69C5"/>
    <w:rsid w:val="17357130"/>
    <w:rsid w:val="17363AC1"/>
    <w:rsid w:val="176836DE"/>
    <w:rsid w:val="17932A25"/>
    <w:rsid w:val="17C61B66"/>
    <w:rsid w:val="17D31BE4"/>
    <w:rsid w:val="17F445B0"/>
    <w:rsid w:val="182A61D8"/>
    <w:rsid w:val="18396EC7"/>
    <w:rsid w:val="18AC1A95"/>
    <w:rsid w:val="18D71A8A"/>
    <w:rsid w:val="18DB1CA4"/>
    <w:rsid w:val="18EC5BD6"/>
    <w:rsid w:val="18ED0793"/>
    <w:rsid w:val="19101C39"/>
    <w:rsid w:val="19340D93"/>
    <w:rsid w:val="19367119"/>
    <w:rsid w:val="193D3616"/>
    <w:rsid w:val="19406D47"/>
    <w:rsid w:val="1949075E"/>
    <w:rsid w:val="194C07AD"/>
    <w:rsid w:val="195D14E3"/>
    <w:rsid w:val="195F6477"/>
    <w:rsid w:val="19B84EA9"/>
    <w:rsid w:val="19BE18F5"/>
    <w:rsid w:val="19C97027"/>
    <w:rsid w:val="1A3B02C1"/>
    <w:rsid w:val="1A3B44D3"/>
    <w:rsid w:val="1A5B5F55"/>
    <w:rsid w:val="1A805508"/>
    <w:rsid w:val="1A8D2024"/>
    <w:rsid w:val="1AAF1450"/>
    <w:rsid w:val="1ABD36BE"/>
    <w:rsid w:val="1ABE2BAB"/>
    <w:rsid w:val="1ADC2FF7"/>
    <w:rsid w:val="1AEB72FE"/>
    <w:rsid w:val="1B3A34F1"/>
    <w:rsid w:val="1B66289D"/>
    <w:rsid w:val="1B7774A6"/>
    <w:rsid w:val="1B7A0007"/>
    <w:rsid w:val="1B995555"/>
    <w:rsid w:val="1BF73E5E"/>
    <w:rsid w:val="1BFD2C28"/>
    <w:rsid w:val="1BFF5D0B"/>
    <w:rsid w:val="1C1044D8"/>
    <w:rsid w:val="1C402B46"/>
    <w:rsid w:val="1C7258DF"/>
    <w:rsid w:val="1C80717C"/>
    <w:rsid w:val="1CC64A0F"/>
    <w:rsid w:val="1D0C0732"/>
    <w:rsid w:val="1D2467A4"/>
    <w:rsid w:val="1D4601AD"/>
    <w:rsid w:val="1D500A18"/>
    <w:rsid w:val="1DA52ECE"/>
    <w:rsid w:val="1DB10397"/>
    <w:rsid w:val="1DC43A1B"/>
    <w:rsid w:val="1DCE07AF"/>
    <w:rsid w:val="1DD159A3"/>
    <w:rsid w:val="1DD61722"/>
    <w:rsid w:val="1E151CFD"/>
    <w:rsid w:val="1E30500B"/>
    <w:rsid w:val="1E352B1A"/>
    <w:rsid w:val="1E4D4766"/>
    <w:rsid w:val="1E87579E"/>
    <w:rsid w:val="1EAD7457"/>
    <w:rsid w:val="1EBD3BCE"/>
    <w:rsid w:val="1EDA24CC"/>
    <w:rsid w:val="1EFF2287"/>
    <w:rsid w:val="1F9B4CF7"/>
    <w:rsid w:val="1FA147B2"/>
    <w:rsid w:val="1FAA5D66"/>
    <w:rsid w:val="1FDA528E"/>
    <w:rsid w:val="1FE26CF1"/>
    <w:rsid w:val="1FE56185"/>
    <w:rsid w:val="20590A66"/>
    <w:rsid w:val="20731004"/>
    <w:rsid w:val="20880BC6"/>
    <w:rsid w:val="20945055"/>
    <w:rsid w:val="20C2116B"/>
    <w:rsid w:val="21017971"/>
    <w:rsid w:val="21135F6F"/>
    <w:rsid w:val="2115087A"/>
    <w:rsid w:val="214826E8"/>
    <w:rsid w:val="214B4F1E"/>
    <w:rsid w:val="216317D9"/>
    <w:rsid w:val="2173648C"/>
    <w:rsid w:val="21736804"/>
    <w:rsid w:val="21860938"/>
    <w:rsid w:val="21872406"/>
    <w:rsid w:val="21D84771"/>
    <w:rsid w:val="21EC7244"/>
    <w:rsid w:val="21F86DED"/>
    <w:rsid w:val="220A1DB4"/>
    <w:rsid w:val="22231621"/>
    <w:rsid w:val="2245745C"/>
    <w:rsid w:val="227B208C"/>
    <w:rsid w:val="228E6E77"/>
    <w:rsid w:val="22B16765"/>
    <w:rsid w:val="22B2693A"/>
    <w:rsid w:val="23295CF6"/>
    <w:rsid w:val="23334AEC"/>
    <w:rsid w:val="23401232"/>
    <w:rsid w:val="23460ABC"/>
    <w:rsid w:val="23710488"/>
    <w:rsid w:val="238B0FF0"/>
    <w:rsid w:val="238D1E9E"/>
    <w:rsid w:val="238E1EAF"/>
    <w:rsid w:val="239A49D5"/>
    <w:rsid w:val="239F6C00"/>
    <w:rsid w:val="23AF106A"/>
    <w:rsid w:val="23E55A67"/>
    <w:rsid w:val="24221D61"/>
    <w:rsid w:val="24871957"/>
    <w:rsid w:val="249E7D66"/>
    <w:rsid w:val="24B30D91"/>
    <w:rsid w:val="24BD4134"/>
    <w:rsid w:val="24FC125E"/>
    <w:rsid w:val="251A68E5"/>
    <w:rsid w:val="252538C7"/>
    <w:rsid w:val="25385B66"/>
    <w:rsid w:val="25792E9B"/>
    <w:rsid w:val="25796CE5"/>
    <w:rsid w:val="258A6DEF"/>
    <w:rsid w:val="258B4BEA"/>
    <w:rsid w:val="25E01A7F"/>
    <w:rsid w:val="26201966"/>
    <w:rsid w:val="26761C32"/>
    <w:rsid w:val="267E3683"/>
    <w:rsid w:val="26903032"/>
    <w:rsid w:val="26B7282F"/>
    <w:rsid w:val="26E965FA"/>
    <w:rsid w:val="27010841"/>
    <w:rsid w:val="27011EB0"/>
    <w:rsid w:val="27082F07"/>
    <w:rsid w:val="270A6EC8"/>
    <w:rsid w:val="27416519"/>
    <w:rsid w:val="27577882"/>
    <w:rsid w:val="279D52E0"/>
    <w:rsid w:val="27D5769E"/>
    <w:rsid w:val="27DA5317"/>
    <w:rsid w:val="284B73BF"/>
    <w:rsid w:val="28533C70"/>
    <w:rsid w:val="285E3E1E"/>
    <w:rsid w:val="286301C9"/>
    <w:rsid w:val="287B5DA7"/>
    <w:rsid w:val="28874EC1"/>
    <w:rsid w:val="289F5FDB"/>
    <w:rsid w:val="28F17C8C"/>
    <w:rsid w:val="28F63D73"/>
    <w:rsid w:val="28FF4949"/>
    <w:rsid w:val="290724CA"/>
    <w:rsid w:val="29212975"/>
    <w:rsid w:val="293C74BB"/>
    <w:rsid w:val="296B5D02"/>
    <w:rsid w:val="296F3C74"/>
    <w:rsid w:val="29770736"/>
    <w:rsid w:val="29F653D4"/>
    <w:rsid w:val="2A127FAA"/>
    <w:rsid w:val="2A200C28"/>
    <w:rsid w:val="2A2C4775"/>
    <w:rsid w:val="2A396F79"/>
    <w:rsid w:val="2A6550AA"/>
    <w:rsid w:val="2A7209A3"/>
    <w:rsid w:val="2AD85C8A"/>
    <w:rsid w:val="2AEE220E"/>
    <w:rsid w:val="2AF30F23"/>
    <w:rsid w:val="2B19568C"/>
    <w:rsid w:val="2B441D13"/>
    <w:rsid w:val="2B4815ED"/>
    <w:rsid w:val="2B5B46C7"/>
    <w:rsid w:val="2B5F3F03"/>
    <w:rsid w:val="2B9F5011"/>
    <w:rsid w:val="2BD37676"/>
    <w:rsid w:val="2BFD1DCB"/>
    <w:rsid w:val="2C445138"/>
    <w:rsid w:val="2C963208"/>
    <w:rsid w:val="2C9A4323"/>
    <w:rsid w:val="2CBA7F39"/>
    <w:rsid w:val="2CE246D0"/>
    <w:rsid w:val="2CEF67B4"/>
    <w:rsid w:val="2CFB7D75"/>
    <w:rsid w:val="2D1401F3"/>
    <w:rsid w:val="2D25541E"/>
    <w:rsid w:val="2D263C87"/>
    <w:rsid w:val="2D5B6977"/>
    <w:rsid w:val="2D5E2912"/>
    <w:rsid w:val="2D8B5FF3"/>
    <w:rsid w:val="2DA91E3F"/>
    <w:rsid w:val="2E14120F"/>
    <w:rsid w:val="2E28171C"/>
    <w:rsid w:val="2E3668A6"/>
    <w:rsid w:val="2E494294"/>
    <w:rsid w:val="2E6A4A9E"/>
    <w:rsid w:val="2E6D695B"/>
    <w:rsid w:val="2E803092"/>
    <w:rsid w:val="2E8970F5"/>
    <w:rsid w:val="2E8A13D3"/>
    <w:rsid w:val="2E9C0C64"/>
    <w:rsid w:val="2F0C62AB"/>
    <w:rsid w:val="2F1D55EA"/>
    <w:rsid w:val="2F266384"/>
    <w:rsid w:val="2F3342A4"/>
    <w:rsid w:val="2F431FB7"/>
    <w:rsid w:val="2F7202C1"/>
    <w:rsid w:val="2F877445"/>
    <w:rsid w:val="2FDC3436"/>
    <w:rsid w:val="2FE71D51"/>
    <w:rsid w:val="2FFB67F9"/>
    <w:rsid w:val="30091C8E"/>
    <w:rsid w:val="300D1298"/>
    <w:rsid w:val="30103390"/>
    <w:rsid w:val="301758CE"/>
    <w:rsid w:val="301B73CC"/>
    <w:rsid w:val="304E4AA7"/>
    <w:rsid w:val="307220A0"/>
    <w:rsid w:val="308E1A60"/>
    <w:rsid w:val="30B5632F"/>
    <w:rsid w:val="30BD6EB0"/>
    <w:rsid w:val="30C1105A"/>
    <w:rsid w:val="30DF7813"/>
    <w:rsid w:val="30E64D7A"/>
    <w:rsid w:val="30EE7AE0"/>
    <w:rsid w:val="31185FFC"/>
    <w:rsid w:val="31232E99"/>
    <w:rsid w:val="313D1596"/>
    <w:rsid w:val="318D0B89"/>
    <w:rsid w:val="31CF4900"/>
    <w:rsid w:val="31ED6379"/>
    <w:rsid w:val="32013BDA"/>
    <w:rsid w:val="32472672"/>
    <w:rsid w:val="328D1044"/>
    <w:rsid w:val="32922D5F"/>
    <w:rsid w:val="329A4AB4"/>
    <w:rsid w:val="32AD29EC"/>
    <w:rsid w:val="32FE3BF3"/>
    <w:rsid w:val="330D4E2A"/>
    <w:rsid w:val="3314413A"/>
    <w:rsid w:val="33295052"/>
    <w:rsid w:val="33480FFF"/>
    <w:rsid w:val="3349301C"/>
    <w:rsid w:val="33722EE1"/>
    <w:rsid w:val="33A87E25"/>
    <w:rsid w:val="33AF51CA"/>
    <w:rsid w:val="33B43278"/>
    <w:rsid w:val="33FE76F1"/>
    <w:rsid w:val="343E0F0C"/>
    <w:rsid w:val="347164E3"/>
    <w:rsid w:val="348E72A3"/>
    <w:rsid w:val="351D69D6"/>
    <w:rsid w:val="351D7CF3"/>
    <w:rsid w:val="35217F91"/>
    <w:rsid w:val="35385F78"/>
    <w:rsid w:val="354323E0"/>
    <w:rsid w:val="35631660"/>
    <w:rsid w:val="358B77F9"/>
    <w:rsid w:val="35AF2B03"/>
    <w:rsid w:val="35E816BE"/>
    <w:rsid w:val="35ED4BEA"/>
    <w:rsid w:val="36077208"/>
    <w:rsid w:val="361202CD"/>
    <w:rsid w:val="36303EAE"/>
    <w:rsid w:val="36377947"/>
    <w:rsid w:val="36396DF4"/>
    <w:rsid w:val="364C124E"/>
    <w:rsid w:val="365A42E6"/>
    <w:rsid w:val="36A355BF"/>
    <w:rsid w:val="36A73B09"/>
    <w:rsid w:val="36BC7AD2"/>
    <w:rsid w:val="36C1616A"/>
    <w:rsid w:val="36D220EB"/>
    <w:rsid w:val="36D66A67"/>
    <w:rsid w:val="36D84DDC"/>
    <w:rsid w:val="36ED383B"/>
    <w:rsid w:val="371C56F3"/>
    <w:rsid w:val="3758356E"/>
    <w:rsid w:val="37852C0B"/>
    <w:rsid w:val="37874C86"/>
    <w:rsid w:val="37C11752"/>
    <w:rsid w:val="37C60534"/>
    <w:rsid w:val="37C67880"/>
    <w:rsid w:val="37DA579F"/>
    <w:rsid w:val="37FF6E6B"/>
    <w:rsid w:val="380E22C9"/>
    <w:rsid w:val="38267626"/>
    <w:rsid w:val="383C29AC"/>
    <w:rsid w:val="387B6FD2"/>
    <w:rsid w:val="38D10C88"/>
    <w:rsid w:val="38EE73B3"/>
    <w:rsid w:val="392A06CE"/>
    <w:rsid w:val="39547865"/>
    <w:rsid w:val="397D5649"/>
    <w:rsid w:val="3997625F"/>
    <w:rsid w:val="39C76595"/>
    <w:rsid w:val="39E75D43"/>
    <w:rsid w:val="3A231A1B"/>
    <w:rsid w:val="3A591D1A"/>
    <w:rsid w:val="3A86653C"/>
    <w:rsid w:val="3ABC1C57"/>
    <w:rsid w:val="3B03016C"/>
    <w:rsid w:val="3B0515AA"/>
    <w:rsid w:val="3B5077D4"/>
    <w:rsid w:val="3B8F60C5"/>
    <w:rsid w:val="3B96774F"/>
    <w:rsid w:val="3B9B2948"/>
    <w:rsid w:val="3BB847CD"/>
    <w:rsid w:val="3BC70FDD"/>
    <w:rsid w:val="3BD63128"/>
    <w:rsid w:val="3BD91A95"/>
    <w:rsid w:val="3BEC57C9"/>
    <w:rsid w:val="3BF52611"/>
    <w:rsid w:val="3C067321"/>
    <w:rsid w:val="3C345E6D"/>
    <w:rsid w:val="3C3C2C24"/>
    <w:rsid w:val="3C5267A7"/>
    <w:rsid w:val="3C5F0B58"/>
    <w:rsid w:val="3C607298"/>
    <w:rsid w:val="3CD60148"/>
    <w:rsid w:val="3D431C56"/>
    <w:rsid w:val="3D49434D"/>
    <w:rsid w:val="3D525969"/>
    <w:rsid w:val="3D68633F"/>
    <w:rsid w:val="3D6B2A5F"/>
    <w:rsid w:val="3D7B642F"/>
    <w:rsid w:val="3D883E8E"/>
    <w:rsid w:val="3DB5061F"/>
    <w:rsid w:val="3DC27B3B"/>
    <w:rsid w:val="3E1B5F62"/>
    <w:rsid w:val="3E5E52B6"/>
    <w:rsid w:val="3E79356A"/>
    <w:rsid w:val="3E7A761B"/>
    <w:rsid w:val="3E8553BD"/>
    <w:rsid w:val="3E863A05"/>
    <w:rsid w:val="3ECE0FA6"/>
    <w:rsid w:val="3EF24F2F"/>
    <w:rsid w:val="3F234967"/>
    <w:rsid w:val="3FBD77EB"/>
    <w:rsid w:val="3FD25DF7"/>
    <w:rsid w:val="3FDA2B99"/>
    <w:rsid w:val="400232E6"/>
    <w:rsid w:val="400316DE"/>
    <w:rsid w:val="4005708D"/>
    <w:rsid w:val="40253B3C"/>
    <w:rsid w:val="40354288"/>
    <w:rsid w:val="40356254"/>
    <w:rsid w:val="404F5FF1"/>
    <w:rsid w:val="40813296"/>
    <w:rsid w:val="408B2F89"/>
    <w:rsid w:val="40BC1FC3"/>
    <w:rsid w:val="40BF1A6A"/>
    <w:rsid w:val="40E56275"/>
    <w:rsid w:val="40F81FBA"/>
    <w:rsid w:val="415E08C4"/>
    <w:rsid w:val="416F5578"/>
    <w:rsid w:val="41785104"/>
    <w:rsid w:val="417A5C0D"/>
    <w:rsid w:val="418B65F2"/>
    <w:rsid w:val="41D82246"/>
    <w:rsid w:val="41DA3F12"/>
    <w:rsid w:val="41E161F2"/>
    <w:rsid w:val="4225554A"/>
    <w:rsid w:val="422E7EAE"/>
    <w:rsid w:val="425B1B9A"/>
    <w:rsid w:val="426967DF"/>
    <w:rsid w:val="42795007"/>
    <w:rsid w:val="428F5864"/>
    <w:rsid w:val="42A67DD7"/>
    <w:rsid w:val="42B26331"/>
    <w:rsid w:val="4304004E"/>
    <w:rsid w:val="43404960"/>
    <w:rsid w:val="434A0C79"/>
    <w:rsid w:val="434A7F81"/>
    <w:rsid w:val="43604974"/>
    <w:rsid w:val="43792B1C"/>
    <w:rsid w:val="43925A6E"/>
    <w:rsid w:val="44271A76"/>
    <w:rsid w:val="44841C81"/>
    <w:rsid w:val="448F07AA"/>
    <w:rsid w:val="4498623A"/>
    <w:rsid w:val="44AC2850"/>
    <w:rsid w:val="44CF76E7"/>
    <w:rsid w:val="44DB3454"/>
    <w:rsid w:val="44E46768"/>
    <w:rsid w:val="452C34DB"/>
    <w:rsid w:val="453079D0"/>
    <w:rsid w:val="45740007"/>
    <w:rsid w:val="45A51C9F"/>
    <w:rsid w:val="45B46F08"/>
    <w:rsid w:val="460734EC"/>
    <w:rsid w:val="460C6AA8"/>
    <w:rsid w:val="4623517B"/>
    <w:rsid w:val="46433A08"/>
    <w:rsid w:val="464B2812"/>
    <w:rsid w:val="464C62B4"/>
    <w:rsid w:val="46557B44"/>
    <w:rsid w:val="468209B0"/>
    <w:rsid w:val="46A65652"/>
    <w:rsid w:val="46D15B6E"/>
    <w:rsid w:val="470F4EFE"/>
    <w:rsid w:val="47197F1E"/>
    <w:rsid w:val="472760DF"/>
    <w:rsid w:val="473716DD"/>
    <w:rsid w:val="474F2B52"/>
    <w:rsid w:val="47653E18"/>
    <w:rsid w:val="47726024"/>
    <w:rsid w:val="479A3EDB"/>
    <w:rsid w:val="47A309C4"/>
    <w:rsid w:val="47B32ACE"/>
    <w:rsid w:val="48071793"/>
    <w:rsid w:val="48115AD6"/>
    <w:rsid w:val="484D385B"/>
    <w:rsid w:val="485538EF"/>
    <w:rsid w:val="485A2BC0"/>
    <w:rsid w:val="48710D16"/>
    <w:rsid w:val="48AC1250"/>
    <w:rsid w:val="48D32C5E"/>
    <w:rsid w:val="49082635"/>
    <w:rsid w:val="496413C8"/>
    <w:rsid w:val="497D185C"/>
    <w:rsid w:val="49831965"/>
    <w:rsid w:val="4997623F"/>
    <w:rsid w:val="49A10EF6"/>
    <w:rsid w:val="49A565E2"/>
    <w:rsid w:val="49CB2F0E"/>
    <w:rsid w:val="49D85219"/>
    <w:rsid w:val="49F05393"/>
    <w:rsid w:val="4A0869BA"/>
    <w:rsid w:val="4A0E1077"/>
    <w:rsid w:val="4A2876D5"/>
    <w:rsid w:val="4A30588E"/>
    <w:rsid w:val="4A560A99"/>
    <w:rsid w:val="4A8446E4"/>
    <w:rsid w:val="4ACC5101"/>
    <w:rsid w:val="4AE92FD0"/>
    <w:rsid w:val="4B083DF8"/>
    <w:rsid w:val="4B271CBB"/>
    <w:rsid w:val="4B5C2627"/>
    <w:rsid w:val="4B645F55"/>
    <w:rsid w:val="4BEC498C"/>
    <w:rsid w:val="4BFF3E6C"/>
    <w:rsid w:val="4C08609A"/>
    <w:rsid w:val="4C165835"/>
    <w:rsid w:val="4C4A427F"/>
    <w:rsid w:val="4C667577"/>
    <w:rsid w:val="4C6B256A"/>
    <w:rsid w:val="4C863163"/>
    <w:rsid w:val="4C8E6B34"/>
    <w:rsid w:val="4CD41C4A"/>
    <w:rsid w:val="4D1148EB"/>
    <w:rsid w:val="4D1D36AC"/>
    <w:rsid w:val="4D397B22"/>
    <w:rsid w:val="4D6C2BD1"/>
    <w:rsid w:val="4D807AE1"/>
    <w:rsid w:val="4DA556EB"/>
    <w:rsid w:val="4DD6571F"/>
    <w:rsid w:val="4DFE1457"/>
    <w:rsid w:val="4E0B1D4E"/>
    <w:rsid w:val="4E2D219E"/>
    <w:rsid w:val="4E442C5A"/>
    <w:rsid w:val="4E67729F"/>
    <w:rsid w:val="4E690B80"/>
    <w:rsid w:val="4E6F1281"/>
    <w:rsid w:val="4E785784"/>
    <w:rsid w:val="4E810AF1"/>
    <w:rsid w:val="4EAA6BB6"/>
    <w:rsid w:val="4EAB58A7"/>
    <w:rsid w:val="4EE616CF"/>
    <w:rsid w:val="4EED4EA0"/>
    <w:rsid w:val="4F0A5A5B"/>
    <w:rsid w:val="4F176C84"/>
    <w:rsid w:val="4F187304"/>
    <w:rsid w:val="4F40101C"/>
    <w:rsid w:val="4F4233D3"/>
    <w:rsid w:val="4F4A218D"/>
    <w:rsid w:val="4F4E4E00"/>
    <w:rsid w:val="4F5641F5"/>
    <w:rsid w:val="4F750B03"/>
    <w:rsid w:val="4F7D1FA5"/>
    <w:rsid w:val="4F8B6703"/>
    <w:rsid w:val="4FD73001"/>
    <w:rsid w:val="4FED64A9"/>
    <w:rsid w:val="500F43F6"/>
    <w:rsid w:val="50324081"/>
    <w:rsid w:val="505D45DF"/>
    <w:rsid w:val="509C2100"/>
    <w:rsid w:val="50AC0BD4"/>
    <w:rsid w:val="50DD54DB"/>
    <w:rsid w:val="511122C2"/>
    <w:rsid w:val="51417A31"/>
    <w:rsid w:val="514E6604"/>
    <w:rsid w:val="516956A9"/>
    <w:rsid w:val="516A1B24"/>
    <w:rsid w:val="517A4BB9"/>
    <w:rsid w:val="518B6C6A"/>
    <w:rsid w:val="51A34ADB"/>
    <w:rsid w:val="51BC0C24"/>
    <w:rsid w:val="51CD0AE8"/>
    <w:rsid w:val="51DC381E"/>
    <w:rsid w:val="51E0039C"/>
    <w:rsid w:val="5219306A"/>
    <w:rsid w:val="523710C4"/>
    <w:rsid w:val="524153A3"/>
    <w:rsid w:val="524D1F28"/>
    <w:rsid w:val="525A0B61"/>
    <w:rsid w:val="5261659F"/>
    <w:rsid w:val="526B087A"/>
    <w:rsid w:val="52BD5BB1"/>
    <w:rsid w:val="52CF7B9D"/>
    <w:rsid w:val="52DF4D8A"/>
    <w:rsid w:val="52F0485C"/>
    <w:rsid w:val="530416A3"/>
    <w:rsid w:val="530F11CB"/>
    <w:rsid w:val="5319674F"/>
    <w:rsid w:val="532868D3"/>
    <w:rsid w:val="534917F6"/>
    <w:rsid w:val="534F6AF6"/>
    <w:rsid w:val="53636ED3"/>
    <w:rsid w:val="536E1823"/>
    <w:rsid w:val="53BA4834"/>
    <w:rsid w:val="53D14C04"/>
    <w:rsid w:val="53F74314"/>
    <w:rsid w:val="53FF5B58"/>
    <w:rsid w:val="540409FC"/>
    <w:rsid w:val="54147DEB"/>
    <w:rsid w:val="5460684D"/>
    <w:rsid w:val="54620B26"/>
    <w:rsid w:val="548624B9"/>
    <w:rsid w:val="548904E9"/>
    <w:rsid w:val="548F3FF5"/>
    <w:rsid w:val="54B2501C"/>
    <w:rsid w:val="54C61FE8"/>
    <w:rsid w:val="54FB17D9"/>
    <w:rsid w:val="55013EDB"/>
    <w:rsid w:val="553A25E5"/>
    <w:rsid w:val="557416B1"/>
    <w:rsid w:val="557C69E4"/>
    <w:rsid w:val="55824F85"/>
    <w:rsid w:val="55A80D42"/>
    <w:rsid w:val="5606780A"/>
    <w:rsid w:val="561A005E"/>
    <w:rsid w:val="566455C4"/>
    <w:rsid w:val="56805E53"/>
    <w:rsid w:val="56B04B58"/>
    <w:rsid w:val="56CA56C3"/>
    <w:rsid w:val="56CE270B"/>
    <w:rsid w:val="56D7385B"/>
    <w:rsid w:val="56DB5CDC"/>
    <w:rsid w:val="573F1F85"/>
    <w:rsid w:val="57507270"/>
    <w:rsid w:val="577C3D11"/>
    <w:rsid w:val="57A2155E"/>
    <w:rsid w:val="57AF0FBF"/>
    <w:rsid w:val="57F26D9A"/>
    <w:rsid w:val="583A00FD"/>
    <w:rsid w:val="584D6384"/>
    <w:rsid w:val="5895259C"/>
    <w:rsid w:val="58A51FCE"/>
    <w:rsid w:val="58E713A8"/>
    <w:rsid w:val="58E87303"/>
    <w:rsid w:val="5928489D"/>
    <w:rsid w:val="595F39C0"/>
    <w:rsid w:val="597604B4"/>
    <w:rsid w:val="599B5EC0"/>
    <w:rsid w:val="599B6CED"/>
    <w:rsid w:val="599C1D5C"/>
    <w:rsid w:val="59CA2F16"/>
    <w:rsid w:val="59DC15E3"/>
    <w:rsid w:val="5A2E5909"/>
    <w:rsid w:val="5A38408D"/>
    <w:rsid w:val="5A707598"/>
    <w:rsid w:val="5AA54B95"/>
    <w:rsid w:val="5AB427B7"/>
    <w:rsid w:val="5ABE11E9"/>
    <w:rsid w:val="5ABF07A8"/>
    <w:rsid w:val="5ACE39CB"/>
    <w:rsid w:val="5AD47B50"/>
    <w:rsid w:val="5B1C1DBD"/>
    <w:rsid w:val="5B1F7F6C"/>
    <w:rsid w:val="5B5A0A8E"/>
    <w:rsid w:val="5B6E08A3"/>
    <w:rsid w:val="5B6F4A57"/>
    <w:rsid w:val="5B852928"/>
    <w:rsid w:val="5BAF1E10"/>
    <w:rsid w:val="5C273A49"/>
    <w:rsid w:val="5C760EC8"/>
    <w:rsid w:val="5C7D0E79"/>
    <w:rsid w:val="5C860867"/>
    <w:rsid w:val="5C905521"/>
    <w:rsid w:val="5CA90283"/>
    <w:rsid w:val="5CE02E64"/>
    <w:rsid w:val="5CFE32B9"/>
    <w:rsid w:val="5D131392"/>
    <w:rsid w:val="5D3B0FD6"/>
    <w:rsid w:val="5D497F6E"/>
    <w:rsid w:val="5D5F0489"/>
    <w:rsid w:val="5D6044FA"/>
    <w:rsid w:val="5D717161"/>
    <w:rsid w:val="5D852894"/>
    <w:rsid w:val="5DEB514C"/>
    <w:rsid w:val="5DF81744"/>
    <w:rsid w:val="5DFA3BFF"/>
    <w:rsid w:val="5E20206C"/>
    <w:rsid w:val="5E55708A"/>
    <w:rsid w:val="5E582126"/>
    <w:rsid w:val="5E5D5126"/>
    <w:rsid w:val="5E6A7FF7"/>
    <w:rsid w:val="5E722BB6"/>
    <w:rsid w:val="5EA20CD3"/>
    <w:rsid w:val="5EAB232C"/>
    <w:rsid w:val="5EB57E2D"/>
    <w:rsid w:val="5EC918CC"/>
    <w:rsid w:val="5EEF326F"/>
    <w:rsid w:val="5F1A2E0F"/>
    <w:rsid w:val="5F3F7A18"/>
    <w:rsid w:val="5F472A8A"/>
    <w:rsid w:val="5F5A1508"/>
    <w:rsid w:val="5F85276F"/>
    <w:rsid w:val="5F913311"/>
    <w:rsid w:val="5FAA78DD"/>
    <w:rsid w:val="601B142C"/>
    <w:rsid w:val="607A5863"/>
    <w:rsid w:val="60973EA6"/>
    <w:rsid w:val="60B027A2"/>
    <w:rsid w:val="60C01B37"/>
    <w:rsid w:val="60D64D9B"/>
    <w:rsid w:val="60DF5F06"/>
    <w:rsid w:val="61037BC2"/>
    <w:rsid w:val="611A4C86"/>
    <w:rsid w:val="611F03E1"/>
    <w:rsid w:val="61600501"/>
    <w:rsid w:val="616A1897"/>
    <w:rsid w:val="619841EC"/>
    <w:rsid w:val="61BD1204"/>
    <w:rsid w:val="61CF5384"/>
    <w:rsid w:val="61EE58E2"/>
    <w:rsid w:val="621608BB"/>
    <w:rsid w:val="62371345"/>
    <w:rsid w:val="624124EA"/>
    <w:rsid w:val="624237EF"/>
    <w:rsid w:val="626B295B"/>
    <w:rsid w:val="6290066D"/>
    <w:rsid w:val="62C5182D"/>
    <w:rsid w:val="62E467EB"/>
    <w:rsid w:val="630947A7"/>
    <w:rsid w:val="63410382"/>
    <w:rsid w:val="636B0566"/>
    <w:rsid w:val="638F280B"/>
    <w:rsid w:val="63A7333A"/>
    <w:rsid w:val="63E0389B"/>
    <w:rsid w:val="63FA269F"/>
    <w:rsid w:val="640F755A"/>
    <w:rsid w:val="64130183"/>
    <w:rsid w:val="64453CE8"/>
    <w:rsid w:val="644A7ACC"/>
    <w:rsid w:val="64715DFC"/>
    <w:rsid w:val="649A4E11"/>
    <w:rsid w:val="64D109CA"/>
    <w:rsid w:val="64DF5F58"/>
    <w:rsid w:val="64F45A68"/>
    <w:rsid w:val="65082D9F"/>
    <w:rsid w:val="651A21C7"/>
    <w:rsid w:val="653D032A"/>
    <w:rsid w:val="65897C91"/>
    <w:rsid w:val="658A3EA0"/>
    <w:rsid w:val="658B7ACC"/>
    <w:rsid w:val="66331BF4"/>
    <w:rsid w:val="664420B9"/>
    <w:rsid w:val="664F6B82"/>
    <w:rsid w:val="66D40E00"/>
    <w:rsid w:val="66DC4AD3"/>
    <w:rsid w:val="6736514D"/>
    <w:rsid w:val="67532047"/>
    <w:rsid w:val="675B60CF"/>
    <w:rsid w:val="677E70D7"/>
    <w:rsid w:val="67AE2DD3"/>
    <w:rsid w:val="680826F7"/>
    <w:rsid w:val="681B4BBC"/>
    <w:rsid w:val="684746E1"/>
    <w:rsid w:val="68A25C63"/>
    <w:rsid w:val="68BB007C"/>
    <w:rsid w:val="69574AE7"/>
    <w:rsid w:val="695B26E9"/>
    <w:rsid w:val="69811CDC"/>
    <w:rsid w:val="698502F8"/>
    <w:rsid w:val="69A13A65"/>
    <w:rsid w:val="69B934C4"/>
    <w:rsid w:val="69FE7A13"/>
    <w:rsid w:val="69FF3FA3"/>
    <w:rsid w:val="6A5D0CE1"/>
    <w:rsid w:val="6A796467"/>
    <w:rsid w:val="6AB01F00"/>
    <w:rsid w:val="6AF53038"/>
    <w:rsid w:val="6B2B6006"/>
    <w:rsid w:val="6B612D8A"/>
    <w:rsid w:val="6B650866"/>
    <w:rsid w:val="6BA04FE1"/>
    <w:rsid w:val="6BA5029D"/>
    <w:rsid w:val="6BF23069"/>
    <w:rsid w:val="6BF56065"/>
    <w:rsid w:val="6C0E5D0F"/>
    <w:rsid w:val="6C282CC7"/>
    <w:rsid w:val="6C30567D"/>
    <w:rsid w:val="6CC240A0"/>
    <w:rsid w:val="6CD62A8F"/>
    <w:rsid w:val="6CF5172B"/>
    <w:rsid w:val="6D59428F"/>
    <w:rsid w:val="6D7B70D9"/>
    <w:rsid w:val="6E0C2668"/>
    <w:rsid w:val="6E1B274B"/>
    <w:rsid w:val="6E266E43"/>
    <w:rsid w:val="6E2F4663"/>
    <w:rsid w:val="6EAC24F4"/>
    <w:rsid w:val="6EDA699C"/>
    <w:rsid w:val="6F0149E1"/>
    <w:rsid w:val="6F027A06"/>
    <w:rsid w:val="6F095684"/>
    <w:rsid w:val="6F3F3846"/>
    <w:rsid w:val="6F6A366A"/>
    <w:rsid w:val="6F74582A"/>
    <w:rsid w:val="6F7B21FF"/>
    <w:rsid w:val="6FBD5726"/>
    <w:rsid w:val="6FD52F41"/>
    <w:rsid w:val="6FE97712"/>
    <w:rsid w:val="6FFC5041"/>
    <w:rsid w:val="6FFD5829"/>
    <w:rsid w:val="7033529D"/>
    <w:rsid w:val="704407B3"/>
    <w:rsid w:val="70853F51"/>
    <w:rsid w:val="70CB4C62"/>
    <w:rsid w:val="70D86F99"/>
    <w:rsid w:val="710647FC"/>
    <w:rsid w:val="711230F4"/>
    <w:rsid w:val="711B4DA6"/>
    <w:rsid w:val="71381D60"/>
    <w:rsid w:val="713E09D4"/>
    <w:rsid w:val="71444476"/>
    <w:rsid w:val="714E0750"/>
    <w:rsid w:val="71601A67"/>
    <w:rsid w:val="71853478"/>
    <w:rsid w:val="7189634C"/>
    <w:rsid w:val="71B251C2"/>
    <w:rsid w:val="71BD2CDC"/>
    <w:rsid w:val="71D9514E"/>
    <w:rsid w:val="71DC6F32"/>
    <w:rsid w:val="71EF674B"/>
    <w:rsid w:val="71F25C01"/>
    <w:rsid w:val="72121EFB"/>
    <w:rsid w:val="722228C0"/>
    <w:rsid w:val="72260CBA"/>
    <w:rsid w:val="723408DA"/>
    <w:rsid w:val="72371B23"/>
    <w:rsid w:val="72444ECD"/>
    <w:rsid w:val="726F4C36"/>
    <w:rsid w:val="727F32CE"/>
    <w:rsid w:val="729138D0"/>
    <w:rsid w:val="72DE75A2"/>
    <w:rsid w:val="736C088B"/>
    <w:rsid w:val="73782645"/>
    <w:rsid w:val="73796AE7"/>
    <w:rsid w:val="7388507D"/>
    <w:rsid w:val="739A2E7E"/>
    <w:rsid w:val="739F05B9"/>
    <w:rsid w:val="73F54529"/>
    <w:rsid w:val="73F844A9"/>
    <w:rsid w:val="741E7E2A"/>
    <w:rsid w:val="7429169E"/>
    <w:rsid w:val="744D0C67"/>
    <w:rsid w:val="7467263B"/>
    <w:rsid w:val="75061890"/>
    <w:rsid w:val="754A5E80"/>
    <w:rsid w:val="754C3CB6"/>
    <w:rsid w:val="755819FE"/>
    <w:rsid w:val="75730615"/>
    <w:rsid w:val="75AB45CC"/>
    <w:rsid w:val="75B03E34"/>
    <w:rsid w:val="75C10A24"/>
    <w:rsid w:val="75D6600D"/>
    <w:rsid w:val="75DC1E31"/>
    <w:rsid w:val="76112601"/>
    <w:rsid w:val="761F0F9A"/>
    <w:rsid w:val="764C2DA9"/>
    <w:rsid w:val="7658075A"/>
    <w:rsid w:val="76B142E9"/>
    <w:rsid w:val="76D01E3F"/>
    <w:rsid w:val="76FE1C5E"/>
    <w:rsid w:val="77646F90"/>
    <w:rsid w:val="77B141E0"/>
    <w:rsid w:val="77C609CB"/>
    <w:rsid w:val="77DE6F0B"/>
    <w:rsid w:val="77EB746E"/>
    <w:rsid w:val="783B382D"/>
    <w:rsid w:val="78A51336"/>
    <w:rsid w:val="78BC0D8F"/>
    <w:rsid w:val="78E43B32"/>
    <w:rsid w:val="78E73D4A"/>
    <w:rsid w:val="78E91B30"/>
    <w:rsid w:val="78F6715E"/>
    <w:rsid w:val="790640BB"/>
    <w:rsid w:val="792B5E5D"/>
    <w:rsid w:val="79431C7E"/>
    <w:rsid w:val="794B3FEA"/>
    <w:rsid w:val="79756235"/>
    <w:rsid w:val="79942CA8"/>
    <w:rsid w:val="79997F2E"/>
    <w:rsid w:val="79B4555D"/>
    <w:rsid w:val="79BE7CC7"/>
    <w:rsid w:val="79C95C8F"/>
    <w:rsid w:val="79E85090"/>
    <w:rsid w:val="7A064041"/>
    <w:rsid w:val="7A506533"/>
    <w:rsid w:val="7A914C8E"/>
    <w:rsid w:val="7A916D8D"/>
    <w:rsid w:val="7AA16E44"/>
    <w:rsid w:val="7AA32865"/>
    <w:rsid w:val="7B2867C3"/>
    <w:rsid w:val="7B3F2A29"/>
    <w:rsid w:val="7B425DA1"/>
    <w:rsid w:val="7B5958B9"/>
    <w:rsid w:val="7BD3061B"/>
    <w:rsid w:val="7BE74B60"/>
    <w:rsid w:val="7BE84FBA"/>
    <w:rsid w:val="7BEF1501"/>
    <w:rsid w:val="7C182F20"/>
    <w:rsid w:val="7C9B20E5"/>
    <w:rsid w:val="7C9C1C7C"/>
    <w:rsid w:val="7C9F0B47"/>
    <w:rsid w:val="7CB14C41"/>
    <w:rsid w:val="7CBA5337"/>
    <w:rsid w:val="7CF50BAD"/>
    <w:rsid w:val="7D0D60EF"/>
    <w:rsid w:val="7D1474ED"/>
    <w:rsid w:val="7D165268"/>
    <w:rsid w:val="7D273E71"/>
    <w:rsid w:val="7D2B0B9C"/>
    <w:rsid w:val="7D617A54"/>
    <w:rsid w:val="7D6E647D"/>
    <w:rsid w:val="7D9B74AE"/>
    <w:rsid w:val="7DAA52FA"/>
    <w:rsid w:val="7DC433FC"/>
    <w:rsid w:val="7DCB60CA"/>
    <w:rsid w:val="7DD82066"/>
    <w:rsid w:val="7DE1197C"/>
    <w:rsid w:val="7DEA47B1"/>
    <w:rsid w:val="7DED4E86"/>
    <w:rsid w:val="7E2D2DA0"/>
    <w:rsid w:val="7E5937D8"/>
    <w:rsid w:val="7EA80711"/>
    <w:rsid w:val="7EB75DF4"/>
    <w:rsid w:val="7EC83ABF"/>
    <w:rsid w:val="7ED34E15"/>
    <w:rsid w:val="7EDE0C2A"/>
    <w:rsid w:val="7F0A19B5"/>
    <w:rsid w:val="7F512441"/>
    <w:rsid w:val="7FA771AC"/>
    <w:rsid w:val="7FAA5AD9"/>
    <w:rsid w:val="7FB95DB0"/>
    <w:rsid w:val="7FC73B15"/>
    <w:rsid w:val="7FD0495A"/>
    <w:rsid w:val="7FD24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Lines="0" w:beforeAutospacing="0" w:afterLines="0" w:afterAutospacing="0" w:line="640" w:lineRule="exact"/>
      <w:ind w:firstLine="0" w:firstLineChars="0"/>
      <w:jc w:val="center"/>
      <w:outlineLvl w:val="0"/>
    </w:pPr>
    <w:rPr>
      <w:rFonts w:ascii="Times New Roman" w:hAnsi="Times New Roman" w:eastAsia="方正小标宋_GBK" w:cs="Times New Roman"/>
      <w:spacing w:val="20"/>
      <w:kern w:val="44"/>
      <w:sz w:val="44"/>
      <w:szCs w:val="24"/>
      <w:lang w:val="en-US" w:eastAsia="zh-CN" w:bidi="ar-SA"/>
    </w:rPr>
  </w:style>
  <w:style w:type="paragraph" w:styleId="4">
    <w:name w:val="heading 2"/>
    <w:basedOn w:val="1"/>
    <w:next w:val="1"/>
    <w:link w:val="42"/>
    <w:unhideWhenUsed/>
    <w:qFormat/>
    <w:uiPriority w:val="0"/>
    <w:pPr>
      <w:keepNext w:val="0"/>
      <w:keepLines/>
      <w:widowControl w:val="0"/>
      <w:spacing w:beforeLines="0" w:beforeAutospacing="0" w:afterLines="0" w:afterAutospacing="0" w:line="580" w:lineRule="exact"/>
      <w:ind w:firstLine="960" w:firstLineChars="200"/>
      <w:jc w:val="both"/>
      <w:outlineLvl w:val="1"/>
    </w:pPr>
    <w:rPr>
      <w:rFonts w:ascii="Arial" w:hAnsi="Arial" w:eastAsia="方正黑体_GBK" w:cs="Times New Roman"/>
      <w:spacing w:val="0"/>
      <w:kern w:val="2"/>
      <w:sz w:val="32"/>
      <w:szCs w:val="24"/>
      <w:lang w:val="en-US" w:eastAsia="zh-CN" w:bidi="ar-SA"/>
    </w:rPr>
  </w:style>
  <w:style w:type="paragraph" w:styleId="2">
    <w:name w:val="heading 3"/>
    <w:basedOn w:val="1"/>
    <w:next w:val="1"/>
    <w:unhideWhenUsed/>
    <w:qFormat/>
    <w:uiPriority w:val="9"/>
    <w:pPr>
      <w:keepNext/>
      <w:keepLines/>
      <w:spacing w:before="260" w:beforeLines="50" w:after="260" w:afterLines="50" w:line="416" w:lineRule="auto"/>
      <w:ind w:firstLine="560" w:firstLineChars="200"/>
      <w:outlineLvl w:val="2"/>
    </w:pPr>
    <w:rPr>
      <w:rFonts w:ascii="仿宋" w:hAnsi="仿宋" w:eastAsia="微软雅黑"/>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6">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7">
    <w:name w:val="index 8"/>
    <w:basedOn w:val="1"/>
    <w:next w:val="1"/>
    <w:qFormat/>
    <w:uiPriority w:val="0"/>
    <w:pPr>
      <w:ind w:left="2940"/>
    </w:pPr>
  </w:style>
  <w:style w:type="paragraph" w:styleId="8">
    <w:name w:val="Normal Indent"/>
    <w:basedOn w:val="1"/>
    <w:next w:val="1"/>
    <w:qFormat/>
    <w:uiPriority w:val="0"/>
    <w:pPr>
      <w:adjustRightInd w:val="0"/>
      <w:snapToGrid w:val="0"/>
      <w:spacing w:line="360" w:lineRule="auto"/>
      <w:ind w:firstLine="462"/>
      <w:textAlignment w:val="baseline"/>
    </w:pPr>
    <w:rPr>
      <w:rFonts w:eastAsia="仿宋_GB2312"/>
      <w:kern w:val="0"/>
      <w:sz w:val="24"/>
    </w:rPr>
  </w:style>
  <w:style w:type="paragraph" w:styleId="9">
    <w:name w:val="index 5"/>
    <w:basedOn w:val="1"/>
    <w:next w:val="1"/>
    <w:qFormat/>
    <w:uiPriority w:val="0"/>
    <w:pPr>
      <w:ind w:left="1680"/>
    </w:pPr>
    <w:rPr>
      <w:rFonts w:ascii="Times New Roman" w:hAnsi="Times New Roman" w:eastAsia="宋体" w:cs="Times New Roman"/>
    </w:rPr>
  </w:style>
  <w:style w:type="paragraph" w:styleId="10">
    <w:name w:val="annotation text"/>
    <w:basedOn w:val="1"/>
    <w:semiHidden/>
    <w:unhideWhenUsed/>
    <w:qFormat/>
    <w:uiPriority w:val="99"/>
    <w:pPr>
      <w:jc w:val="left"/>
    </w:pPr>
  </w:style>
  <w:style w:type="paragraph" w:styleId="11">
    <w:name w:val="Body Text"/>
    <w:basedOn w:val="1"/>
    <w:next w:val="1"/>
    <w:qFormat/>
    <w:uiPriority w:val="0"/>
    <w:pPr>
      <w:spacing w:after="120" w:afterLines="0" w:afterAutospacing="0"/>
    </w:pPr>
    <w:rPr>
      <w:rFonts w:ascii="Times New Roman" w:hAnsi="Times New Roman" w:eastAsia="宋体" w:cs="Times New Roman"/>
    </w:rPr>
  </w:style>
  <w:style w:type="paragraph" w:styleId="12">
    <w:name w:val="Body Text Indent"/>
    <w:basedOn w:val="1"/>
    <w:next w:val="13"/>
    <w:qFormat/>
    <w:uiPriority w:val="0"/>
    <w:pPr>
      <w:spacing w:line="288" w:lineRule="auto"/>
      <w:ind w:firstLine="480" w:firstLineChars="200"/>
    </w:pPr>
    <w:rPr>
      <w:rFonts w:ascii="幼圆" w:hAnsi="Times New Roman" w:eastAsia="幼圆" w:cs="Times New Roman"/>
      <w:sz w:val="24"/>
    </w:rPr>
  </w:style>
  <w:style w:type="paragraph" w:styleId="13">
    <w:name w:val="envelope return"/>
    <w:basedOn w:val="1"/>
    <w:qFormat/>
    <w:uiPriority w:val="0"/>
    <w:pPr>
      <w:snapToGrid w:val="0"/>
    </w:pPr>
    <w:rPr>
      <w:rFonts w:ascii="Arial" w:hAnsi="Arial" w:eastAsia="宋体" w:cs="Times New Roman"/>
    </w:rPr>
  </w:style>
  <w:style w:type="paragraph" w:styleId="14">
    <w:name w:val="Block Text"/>
    <w:basedOn w:val="1"/>
    <w:next w:val="1"/>
    <w:qFormat/>
    <w:uiPriority w:val="0"/>
    <w:pPr>
      <w:spacing w:after="120"/>
      <w:ind w:left="1440" w:leftChars="700" w:right="1440" w:rightChars="700"/>
    </w:pPr>
  </w:style>
  <w:style w:type="paragraph" w:styleId="15">
    <w:name w:val="toc 5"/>
    <w:basedOn w:val="1"/>
    <w:next w:val="1"/>
    <w:qFormat/>
    <w:uiPriority w:val="0"/>
    <w:pPr>
      <w:ind w:left="1680" w:leftChars="800"/>
    </w:pPr>
    <w:rPr>
      <w:rFonts w:ascii="Times New Roman" w:hAnsi="Times New Roman" w:eastAsia="宋体" w:cs="Times New Roman"/>
      <w:sz w:val="21"/>
    </w:rPr>
  </w:style>
  <w:style w:type="paragraph" w:styleId="16">
    <w:name w:val="Plain Text"/>
    <w:basedOn w:val="1"/>
    <w:next w:val="1"/>
    <w:unhideWhenUsed/>
    <w:qFormat/>
    <w:uiPriority w:val="99"/>
    <w:rPr>
      <w:rFonts w:ascii="宋体" w:hAnsi="Courier New" w:cs="Courier New"/>
      <w:szCs w:val="21"/>
    </w:rPr>
  </w:style>
  <w:style w:type="paragraph" w:styleId="17">
    <w:name w:val="Body Text Indent 2"/>
    <w:basedOn w:val="1"/>
    <w:qFormat/>
    <w:uiPriority w:val="0"/>
    <w:pPr>
      <w:spacing w:after="120" w:line="480" w:lineRule="auto"/>
      <w:ind w:left="420" w:leftChars="200"/>
    </w:pPr>
    <w:rPr>
      <w:rFonts w:cs="Droid Sans"/>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semiHidden/>
    <w:qFormat/>
    <w:uiPriority w:val="99"/>
  </w:style>
  <w:style w:type="paragraph" w:styleId="2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3">
    <w:name w:val="Body Text First Indent"/>
    <w:basedOn w:val="11"/>
    <w:next w:val="1"/>
    <w:qFormat/>
    <w:uiPriority w:val="0"/>
    <w:pPr>
      <w:ind w:firstLine="420" w:firstLineChars="100"/>
    </w:pPr>
  </w:style>
  <w:style w:type="paragraph" w:styleId="24">
    <w:name w:val="Body Text First Indent 2"/>
    <w:basedOn w:val="12"/>
    <w:qFormat/>
    <w:uiPriority w:val="0"/>
    <w:pPr>
      <w:spacing w:after="120" w:line="240" w:lineRule="auto"/>
      <w:ind w:left="420" w:leftChars="200" w:firstLine="420" w:firstLineChars="200"/>
    </w:pPr>
    <w:rPr>
      <w:rFonts w:ascii="Times New Roman" w:hAnsi="Times New Roman" w:eastAsia="宋体" w:cs="Times New Roman"/>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unhideWhenUsed/>
    <w:qFormat/>
    <w:uiPriority w:val="99"/>
  </w:style>
  <w:style w:type="character" w:styleId="29">
    <w:name w:val="Hyperlink"/>
    <w:basedOn w:val="27"/>
    <w:unhideWhenUsed/>
    <w:qFormat/>
    <w:uiPriority w:val="99"/>
    <w:rPr>
      <w:color w:val="0000FF"/>
      <w:u w:val="single"/>
    </w:rPr>
  </w:style>
  <w:style w:type="paragraph" w:customStyle="1" w:styleId="30">
    <w:name w:val="纯文本1"/>
    <w:basedOn w:val="1"/>
    <w:next w:val="16"/>
    <w:qFormat/>
    <w:uiPriority w:val="0"/>
    <w:rPr>
      <w:rFonts w:ascii="宋体" w:hAnsi="Courier New"/>
    </w:rPr>
  </w:style>
  <w:style w:type="paragraph" w:customStyle="1" w:styleId="31">
    <w:name w:val="Default"/>
    <w:basedOn w:val="30"/>
    <w:next w:val="6"/>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styleId="32">
    <w:name w:val="No Spacing"/>
    <w:qFormat/>
    <w:uiPriority w:val="1"/>
    <w:rPr>
      <w:rFonts w:ascii="Times New Roman" w:hAnsi="Times New Roman" w:eastAsia="宋体" w:cs="Times New Roman"/>
      <w:sz w:val="24"/>
      <w:lang w:val="en-US" w:eastAsia="zh-CN" w:bidi="ar-SA"/>
    </w:rPr>
  </w:style>
  <w:style w:type="paragraph" w:customStyle="1" w:styleId="33">
    <w:name w:val="样式1"/>
    <w:basedOn w:val="34"/>
    <w:next w:val="1"/>
    <w:qFormat/>
    <w:uiPriority w:val="0"/>
    <w:rPr>
      <w:rFonts w:ascii="Calibri" w:hAnsi="Calibri" w:eastAsia="方正小标宋_GBK" w:cs="Times New Roman"/>
    </w:rPr>
  </w:style>
  <w:style w:type="paragraph" w:customStyle="1" w:styleId="34">
    <w:name w:val="正文1"/>
    <w:basedOn w:val="35"/>
    <w:next w:val="14"/>
    <w:qFormat/>
    <w:uiPriority w:val="0"/>
    <w:pPr>
      <w:spacing w:line="580" w:lineRule="exact"/>
      <w:ind w:firstLine="880" w:firstLineChars="200"/>
    </w:pPr>
    <w:rPr>
      <w:rFonts w:ascii="仿宋" w:hAnsi="仿宋" w:eastAsia="方正仿宋_GBK" w:cs="仿宋"/>
      <w:kern w:val="6"/>
      <w:sz w:val="32"/>
      <w:szCs w:val="32"/>
    </w:rPr>
  </w:style>
  <w:style w:type="paragraph" w:customStyle="1" w:styleId="35">
    <w:name w:val="正文 New New New New New New New New New New New New New New New New New New New New New New New New New"/>
    <w:next w:val="33"/>
    <w:qFormat/>
    <w:uiPriority w:val="0"/>
    <w:pPr>
      <w:widowControl w:val="0"/>
      <w:jc w:val="both"/>
    </w:pPr>
    <w:rPr>
      <w:rFonts w:ascii="Calibri" w:hAnsi="Calibri" w:eastAsia="宋体" w:cs="黑体"/>
      <w:kern w:val="2"/>
      <w:sz w:val="21"/>
      <w:szCs w:val="24"/>
      <w:lang w:val="en-US" w:eastAsia="zh-CN" w:bidi="ar-SA"/>
    </w:rPr>
  </w:style>
  <w:style w:type="paragraph" w:customStyle="1" w:styleId="36">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37">
    <w:name w:val="正文 New New New"/>
    <w:next w:val="38"/>
    <w:qFormat/>
    <w:uiPriority w:val="0"/>
    <w:pPr>
      <w:widowControl w:val="0"/>
      <w:jc w:val="both"/>
    </w:pPr>
    <w:rPr>
      <w:rFonts w:ascii="Calibri" w:hAnsi="Calibri" w:eastAsia="宋体" w:cs="Times New Roman"/>
      <w:kern w:val="2"/>
      <w:sz w:val="21"/>
      <w:szCs w:val="24"/>
      <w:lang w:val="en-US" w:eastAsia="zh-CN"/>
    </w:rPr>
  </w:style>
  <w:style w:type="paragraph" w:customStyle="1" w:styleId="38">
    <w:name w:val="标题 3 New"/>
    <w:basedOn w:val="37"/>
    <w:next w:val="37"/>
    <w:qFormat/>
    <w:uiPriority w:val="0"/>
    <w:pPr>
      <w:keepNext/>
      <w:keepLines/>
      <w:spacing w:line="413" w:lineRule="auto"/>
      <w:outlineLvl w:val="2"/>
    </w:pPr>
    <w:rPr>
      <w:b/>
      <w:sz w:val="32"/>
    </w:rPr>
  </w:style>
  <w:style w:type="paragraph" w:customStyle="1" w:styleId="39">
    <w:name w:val="正文 New"/>
    <w:next w:val="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Normal Indent"/>
    <w:basedOn w:val="39"/>
    <w:qFormat/>
    <w:uiPriority w:val="0"/>
    <w:pPr>
      <w:ind w:firstLine="420" w:firstLineChars="200"/>
    </w:pPr>
    <w:rPr>
      <w:rFonts w:ascii="Times New Roman" w:hAnsi="Times New Roman" w:eastAsia="宋体" w:cs="Times New Roman"/>
      <w:sz w:val="33"/>
      <w:szCs w:val="33"/>
    </w:rPr>
  </w:style>
  <w:style w:type="paragraph" w:customStyle="1" w:styleId="41">
    <w:name w:val="_Style 5"/>
    <w:qFormat/>
    <w:uiPriority w:val="0"/>
    <w:pPr>
      <w:widowControl w:val="0"/>
      <w:ind w:firstLine="200" w:firstLineChars="200"/>
      <w:jc w:val="both"/>
    </w:pPr>
    <w:rPr>
      <w:rFonts w:ascii="Times New Roman" w:hAnsi="Times New Roman" w:eastAsia="宋体" w:cs="黑体"/>
      <w:kern w:val="2"/>
      <w:sz w:val="24"/>
      <w:szCs w:val="22"/>
      <w:lang w:val="en-US" w:eastAsia="zh-CN" w:bidi="ar-SA"/>
    </w:rPr>
  </w:style>
  <w:style w:type="character" w:customStyle="1" w:styleId="42">
    <w:name w:val="标题 2 Char"/>
    <w:link w:val="4"/>
    <w:qFormat/>
    <w:uiPriority w:val="0"/>
    <w:rPr>
      <w:rFonts w:ascii="Arial" w:hAnsi="Arial" w:eastAsia="方正黑体_GBK" w:cs="Times New Roman"/>
      <w:spacing w:val="0"/>
      <w:kern w:val="2"/>
      <w:sz w:val="32"/>
      <w:szCs w:val="24"/>
      <w:lang w:val="en-US" w:eastAsia="zh-CN" w:bidi="ar-SA"/>
    </w:rPr>
  </w:style>
  <w:style w:type="paragraph" w:customStyle="1" w:styleId="43">
    <w:name w:val="缩进正文"/>
    <w:qFormat/>
    <w:uiPriority w:val="0"/>
    <w:pPr>
      <w:widowControl w:val="0"/>
      <w:spacing w:line="360" w:lineRule="auto"/>
      <w:ind w:firstLine="200" w:firstLineChars="200"/>
      <w:jc w:val="both"/>
    </w:pPr>
    <w:rPr>
      <w:rFonts w:ascii="仿宋" w:hAnsi="Calibri" w:eastAsia="仿宋" w:cs="Times New Roman"/>
      <w:kern w:val="2"/>
      <w:sz w:val="28"/>
      <w:szCs w:val="22"/>
      <w:lang w:val="en-US" w:eastAsia="zh-CN" w:bidi="ar-SA"/>
    </w:rPr>
  </w:style>
  <w:style w:type="paragraph" w:customStyle="1" w:styleId="44">
    <w:name w:val="Normal"/>
    <w:qFormat/>
    <w:uiPriority w:val="0"/>
    <w:pPr>
      <w:jc w:val="both"/>
    </w:pPr>
    <w:rPr>
      <w:rFonts w:ascii="Times New Roman" w:hAnsi="Times New Roman" w:eastAsia="宋体" w:cs="Times New Roman"/>
      <w:kern w:val="2"/>
      <w:sz w:val="21"/>
      <w:szCs w:val="21"/>
      <w:lang w:val="en-US" w:eastAsia="zh-CN" w:bidi="ar-SA"/>
    </w:rPr>
  </w:style>
  <w:style w:type="character" w:customStyle="1" w:styleId="45">
    <w:name w:val="readonlyfieldval1"/>
    <w:basedOn w:val="27"/>
    <w:qFormat/>
    <w:uiPriority w:val="0"/>
  </w:style>
  <w:style w:type="paragraph" w:customStyle="1" w:styleId="46">
    <w:name w:val=" Char"/>
    <w:basedOn w:val="1"/>
    <w:qFormat/>
    <w:uiPriority w:val="0"/>
  </w:style>
  <w:style w:type="paragraph" w:customStyle="1" w:styleId="47">
    <w:name w:val="正文2"/>
    <w:basedOn w:val="1"/>
    <w:next w:val="1"/>
    <w:qFormat/>
    <w:uiPriority w:val="99"/>
    <w:rPr>
      <w:rFonts w:ascii="仿宋_GB2312" w:eastAsia="仿宋_GB2312"/>
      <w:sz w:val="32"/>
      <w:szCs w:val="20"/>
    </w:rPr>
  </w:style>
  <w:style w:type="paragraph" w:customStyle="1" w:styleId="48">
    <w:name w:val="无间隔1"/>
    <w:qFormat/>
    <w:uiPriority w:val="0"/>
    <w:rPr>
      <w:rFonts w:ascii="Times New Roman" w:hAnsi="Times New Roman" w:eastAsia="宋体" w:cs="Times New Roman"/>
      <w:sz w:val="22"/>
      <w:szCs w:val="22"/>
      <w:lang w:val="en-US" w:eastAsia="zh-CN" w:bidi="ar-SA"/>
    </w:rPr>
  </w:style>
  <w:style w:type="paragraph" w:customStyle="1" w:styleId="49">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50">
    <w:name w:val="正文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51">
    <w:name w:val="TOC2"/>
    <w:basedOn w:val="1"/>
    <w:next w:val="1"/>
    <w:qFormat/>
    <w:uiPriority w:val="0"/>
    <w:pPr>
      <w:ind w:left="420" w:leftChars="200"/>
      <w:textAlignment w:val="baseline"/>
    </w:pPr>
    <w:rPr>
      <w:rFonts w:ascii="Times New Roman" w:hAnsi="Times New Roman" w:eastAsia="宋体" w:cs="Times New Roman"/>
    </w:rPr>
  </w:style>
  <w:style w:type="paragraph" w:customStyle="1" w:styleId="52">
    <w:name w:val="2 标题样式"/>
    <w:basedOn w:val="1"/>
    <w:next w:val="53"/>
    <w:qFormat/>
    <w:uiPriority w:val="0"/>
    <w:pPr>
      <w:spacing w:line="620" w:lineRule="exact"/>
      <w:jc w:val="center"/>
      <w:outlineLvl w:val="0"/>
    </w:pPr>
    <w:rPr>
      <w:rFonts w:ascii="Times New Roman" w:hAnsi="Times New Roman" w:eastAsia="方正小标宋_GBK"/>
      <w:sz w:val="44"/>
      <w:szCs w:val="24"/>
    </w:rPr>
  </w:style>
  <w:style w:type="paragraph" w:customStyle="1" w:styleId="53">
    <w:name w:val="1 基本样式"/>
    <w:basedOn w:val="1"/>
    <w:next w:val="54"/>
    <w:qFormat/>
    <w:uiPriority w:val="0"/>
    <w:pPr>
      <w:spacing w:line="620" w:lineRule="exact"/>
    </w:pPr>
    <w:rPr>
      <w:rFonts w:ascii="Times New Roman" w:hAnsi="Times New Roman" w:eastAsia="方正仿宋_GBK"/>
      <w:sz w:val="32"/>
      <w:szCs w:val="32"/>
    </w:rPr>
  </w:style>
  <w:style w:type="paragraph" w:customStyle="1" w:styleId="54">
    <w:name w:val="3 正文样式"/>
    <w:basedOn w:val="53"/>
    <w:qFormat/>
    <w:uiPriority w:val="0"/>
    <w:pPr>
      <w:ind w:firstLine="640" w:firstLineChars="200"/>
      <w:jc w:val="both"/>
    </w:pPr>
  </w:style>
  <w:style w:type="paragraph" w:customStyle="1" w:styleId="55">
    <w:name w:val="5 署名与日期"/>
    <w:basedOn w:val="53"/>
    <w:qFormat/>
    <w:uiPriority w:val="0"/>
    <w:pPr>
      <w:jc w:val="right"/>
    </w:pPr>
  </w:style>
  <w:style w:type="paragraph" w:customStyle="1" w:styleId="56">
    <w:name w:val="5 标题样式"/>
    <w:basedOn w:val="1"/>
    <w:next w:val="57"/>
    <w:qFormat/>
    <w:uiPriority w:val="0"/>
    <w:pPr>
      <w:spacing w:line="600" w:lineRule="exact"/>
      <w:jc w:val="center"/>
      <w:outlineLvl w:val="0"/>
    </w:pPr>
    <w:rPr>
      <w:rFonts w:ascii="宋体" w:hAnsi="宋体" w:eastAsia="方正小标宋_GBK" w:cs="宋体"/>
      <w:sz w:val="44"/>
    </w:rPr>
  </w:style>
  <w:style w:type="paragraph" w:customStyle="1" w:styleId="57">
    <w:name w:val="0 基本样式"/>
    <w:basedOn w:val="1"/>
    <w:next w:val="58"/>
    <w:qFormat/>
    <w:uiPriority w:val="0"/>
    <w:pPr>
      <w:spacing w:line="620" w:lineRule="exact"/>
    </w:pPr>
    <w:rPr>
      <w:rFonts w:ascii="Times New Roman" w:hAnsi="Times New Roman" w:eastAsia="方正仿宋_GBK"/>
      <w:sz w:val="32"/>
      <w:szCs w:val="32"/>
    </w:rPr>
  </w:style>
  <w:style w:type="paragraph" w:customStyle="1" w:styleId="58">
    <w:name w:val="7 正文样式"/>
    <w:basedOn w:val="57"/>
    <w:qFormat/>
    <w:uiPriority w:val="0"/>
    <w:pPr>
      <w:ind w:firstLine="640" w:firstLineChars="200"/>
      <w:jc w:val="both"/>
    </w:pPr>
  </w:style>
  <w:style w:type="paragraph" w:customStyle="1" w:styleId="59">
    <w:name w:val="署名与日期"/>
    <w:basedOn w:val="57"/>
    <w:qFormat/>
    <w:uiPriority w:val="0"/>
    <w:pPr>
      <w:jc w:val="righ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1311</Words>
  <Characters>1455</Characters>
  <Lines>0</Lines>
  <Paragraphs>0</Paragraphs>
  <TotalTime>19</TotalTime>
  <ScaleCrop>false</ScaleCrop>
  <LinksUpToDate>false</LinksUpToDate>
  <CharactersWithSpaces>1520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2024-10-09T09:49:00Z</dcterms:created>
  <dc:creator>办公室套文号</dc:creator>
  <cp:lastModifiedBy>teng</cp:lastModifiedBy>
  <cp:lastPrinted>2025-05-07T08:55:00Z</cp:lastPrinted>
  <dcterms:modified xsi:type="dcterms:W3CDTF">2025-05-08T07:39:18Z</dcterms:modified>
  <dc:title>惠阳自然资函〔2024〕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3DDAEF7707584735BA7E57E90878CF75_13</vt:lpwstr>
  </property>
</Properties>
</file>