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60" w:lineRule="exact"/>
        <w:jc w:val="right"/>
        <w:rPr>
          <w:rFonts w:hint="eastAsia" w:eastAsia="仿宋_GB2312"/>
          <w:color w:val="000000"/>
          <w:sz w:val="32"/>
          <w:szCs w:val="24"/>
        </w:rPr>
      </w:pPr>
      <w:bookmarkStart w:id="0" w:name="OLE_LINK5"/>
    </w:p>
    <w:p>
      <w:pPr>
        <w:adjustRightInd w:val="0"/>
        <w:snapToGrid w:val="0"/>
        <w:spacing w:beforeLines="0" w:afterLines="0" w:line="560" w:lineRule="exact"/>
        <w:jc w:val="right"/>
        <w:rPr>
          <w:rFonts w:hint="eastAsia" w:eastAsia="仿宋_GB2312"/>
          <w:color w:val="000000"/>
          <w:sz w:val="32"/>
          <w:szCs w:val="24"/>
        </w:rPr>
      </w:pPr>
    </w:p>
    <w:p>
      <w:pPr>
        <w:adjustRightInd w:val="0"/>
        <w:snapToGrid w:val="0"/>
        <w:spacing w:beforeLines="0" w:afterLines="0" w:line="560" w:lineRule="exact"/>
        <w:jc w:val="right"/>
        <w:rPr>
          <w:rFonts w:hint="eastAsia" w:eastAsia="仿宋_GB2312"/>
          <w:color w:val="000000"/>
          <w:sz w:val="32"/>
          <w:szCs w:val="24"/>
        </w:rPr>
      </w:pPr>
      <w:r>
        <w:rPr>
          <w:rFonts w:hint="default"/>
          <w:color w:val="000000"/>
          <w:sz w:val="20"/>
          <w:szCs w:val="24"/>
        </w:rPr>
        <mc:AlternateContent>
          <mc:Choice Requires="wps">
            <w:drawing>
              <wp:anchor distT="0" distB="0" distL="114300" distR="114300" simplePos="0" relativeHeight="251659264" behindDoc="0" locked="0" layoutInCell="1" allowOverlap="1">
                <wp:simplePos x="0" y="0"/>
                <wp:positionH relativeFrom="column">
                  <wp:posOffset>669290</wp:posOffset>
                </wp:positionH>
                <wp:positionV relativeFrom="paragraph">
                  <wp:posOffset>9770110</wp:posOffset>
                </wp:positionV>
                <wp:extent cx="6155690" cy="0"/>
                <wp:effectExtent l="0" t="28575" r="16510" b="28575"/>
                <wp:wrapNone/>
                <wp:docPr id="2" name="直接连接符 4"/>
                <wp:cNvGraphicFramePr/>
                <a:graphic xmlns:a="http://schemas.openxmlformats.org/drawingml/2006/main">
                  <a:graphicData uri="http://schemas.microsoft.com/office/word/2010/wordprocessingShape">
                    <wps:wsp>
                      <wps:cNvCnPr/>
                      <wps:spPr>
                        <a:xfrm>
                          <a:off x="0" y="0"/>
                          <a:ext cx="6155690" cy="0"/>
                        </a:xfrm>
                        <a:prstGeom prst="line">
                          <a:avLst/>
                        </a:prstGeom>
                        <a:ln w="57150" cap="flat" cmpd="thinThick">
                          <a:solidFill>
                            <a:srgbClr val="FF0000"/>
                          </a:solidFill>
                          <a:prstDash val="solid"/>
                          <a:round/>
                          <a:headEnd type="none" w="med" len="med"/>
                          <a:tailEnd type="none" w="med" len="med"/>
                        </a:ln>
                      </wps:spPr>
                      <wps:bodyPr upright="1"/>
                    </wps:wsp>
                  </a:graphicData>
                </a:graphic>
              </wp:anchor>
            </w:drawing>
          </mc:Choice>
          <mc:Fallback>
            <w:pict>
              <v:line id="直接连接符 4" o:spid="_x0000_s1026" o:spt="20" style="position:absolute;left:0pt;margin-left:52.7pt;margin-top:769.3pt;height:0pt;width:484.7pt;z-index:251659264;mso-width-relative:page;mso-height-relative:page;" filled="f" stroked="t" coordsize="21600,21600" o:gfxdata="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904idgAAAAOAQAADwAAAAAAAAABACAAAAAiAAAAZHJzL2Rv&#10;d25yZXYueG1sUEsBAhQAFAAAAAgAh07iQH1nsx0BAgAA9QMAAA4AAAAAAAAAAQAgAAAAJwEAAGRy&#10;cy9lMm9Eb2MueG1sUEsFBgAAAAAGAAYAWQEAAJoFAAAAAA==&#10;">
                <v:fill on="f" focussize="0,0"/>
                <v:stroke weight="4.5pt" color="#FF0000" linestyle="thinThick" joinstyle="round"/>
                <v:imagedata o:title=""/>
                <o:lock v:ext="edit" aspectratio="f"/>
              </v:line>
            </w:pict>
          </mc:Fallback>
        </mc:AlternateContent>
      </w:r>
    </w:p>
    <w:p>
      <w:pPr>
        <w:adjustRightInd w:val="0"/>
        <w:snapToGrid w:val="0"/>
        <w:spacing w:before="292" w:beforeLines="50" w:afterLines="0" w:line="560" w:lineRule="exact"/>
        <w:jc w:val="right"/>
        <w:rPr>
          <w:rFonts w:hint="default"/>
          <w:color w:val="000000"/>
          <w:sz w:val="32"/>
          <w:szCs w:val="24"/>
        </w:rPr>
      </w:pPr>
      <w:r>
        <w:rPr>
          <w:rFonts w:hint="eastAsia" w:eastAsia="仿宋_GB2312"/>
          <w:color w:val="000000"/>
          <w:sz w:val="32"/>
          <w:szCs w:val="24"/>
        </w:rPr>
        <w:t>惠市环建〔2025〕101号</w:t>
      </w:r>
    </w:p>
    <w:p>
      <w:pPr>
        <w:pStyle w:val="8"/>
        <w:keepNext w:val="0"/>
        <w:keepLines w:val="0"/>
        <w:adjustRightInd w:val="0"/>
        <w:snapToGrid w:val="0"/>
        <w:spacing w:before="0" w:beforeLines="0" w:after="0" w:afterLines="0" w:line="560" w:lineRule="exact"/>
        <w:rPr>
          <w:rFonts w:hint="default"/>
          <w:color w:val="000000"/>
          <w:sz w:val="28"/>
          <w:szCs w:val="24"/>
        </w:rPr>
      </w:pPr>
    </w:p>
    <w:p>
      <w:pPr>
        <w:adjustRightInd w:val="0"/>
        <w:snapToGrid w:val="0"/>
        <w:spacing w:beforeLines="0" w:afterLines="0" w:line="560" w:lineRule="exact"/>
        <w:jc w:val="center"/>
        <w:rPr>
          <w:rFonts w:hint="default"/>
          <w:color w:val="000000"/>
          <w:sz w:val="44"/>
          <w:szCs w:val="44"/>
        </w:rPr>
      </w:pPr>
      <w:bookmarkStart w:id="1" w:name="OLE_LINK6"/>
      <w:bookmarkStart w:id="2" w:name="OLE_LINK8"/>
      <w:r>
        <w:rPr>
          <w:rFonts w:hint="eastAsia" w:eastAsia="方正小标宋简体"/>
          <w:color w:val="000000"/>
          <w:sz w:val="44"/>
          <w:szCs w:val="44"/>
        </w:rPr>
        <w:t>关于博罗县杨侨镇联丰养殖场肉鹅生态养殖示范区项目（改扩建）环境影响</w:t>
      </w:r>
      <w:bookmarkStart w:id="3" w:name="OLE_LINK7"/>
      <w:r>
        <w:rPr>
          <w:rFonts w:hint="eastAsia" w:eastAsia="方正小标宋简体"/>
          <w:color w:val="000000"/>
          <w:sz w:val="44"/>
          <w:szCs w:val="44"/>
        </w:rPr>
        <w:t>报告书的批复</w:t>
      </w:r>
      <w:bookmarkEnd w:id="1"/>
      <w:bookmarkEnd w:id="3"/>
    </w:p>
    <w:bookmarkEnd w:id="2"/>
    <w:p>
      <w:pPr>
        <w:adjustRightInd w:val="0"/>
        <w:snapToGrid w:val="0"/>
        <w:spacing w:beforeLines="0" w:afterLines="0" w:line="560" w:lineRule="exact"/>
        <w:rPr>
          <w:rFonts w:hint="default"/>
          <w:color w:val="000000"/>
          <w:sz w:val="24"/>
          <w:szCs w:val="24"/>
        </w:rPr>
      </w:pPr>
    </w:p>
    <w:p>
      <w:pPr>
        <w:adjustRightInd w:val="0"/>
        <w:snapToGrid w:val="0"/>
        <w:spacing w:beforeLines="0" w:afterLines="0" w:line="554" w:lineRule="exact"/>
        <w:rPr>
          <w:rFonts w:hint="default"/>
          <w:color w:val="000000"/>
          <w:sz w:val="32"/>
          <w:szCs w:val="32"/>
        </w:rPr>
      </w:pPr>
      <w:bookmarkStart w:id="4" w:name="OLE_LINK9"/>
      <w:r>
        <w:rPr>
          <w:rFonts w:hint="eastAsia" w:eastAsia="仿宋_GB2312"/>
          <w:color w:val="000000"/>
          <w:sz w:val="32"/>
          <w:szCs w:val="32"/>
        </w:rPr>
        <w:t>博罗县杨侨镇联丰养殖场</w:t>
      </w:r>
      <w:bookmarkEnd w:id="4"/>
      <w:r>
        <w:rPr>
          <w:rFonts w:hint="eastAsia" w:eastAsia="仿宋_GB2312"/>
          <w:color w:val="000000"/>
          <w:sz w:val="32"/>
          <w:szCs w:val="32"/>
        </w:rPr>
        <w:t>：</w:t>
      </w:r>
    </w:p>
    <w:p>
      <w:pPr>
        <w:adjustRightInd w:val="0"/>
        <w:snapToGrid w:val="0"/>
        <w:spacing w:beforeLines="0" w:afterLines="0" w:line="554" w:lineRule="exact"/>
        <w:ind w:firstLine="632" w:firstLineChars="200"/>
        <w:rPr>
          <w:rFonts w:hint="default"/>
          <w:color w:val="000000"/>
          <w:sz w:val="32"/>
          <w:szCs w:val="30"/>
        </w:rPr>
      </w:pPr>
      <w:r>
        <w:rPr>
          <w:rFonts w:hint="eastAsia" w:eastAsia="仿宋_GB2312"/>
          <w:color w:val="000000"/>
          <w:sz w:val="32"/>
          <w:szCs w:val="30"/>
        </w:rPr>
        <w:t>你公司报批的《博罗县杨侨镇联丰养殖场肉鹅生态养殖示范区项目（改扩建）环境影响报告书》（以下简称</w:t>
      </w:r>
      <w:r>
        <w:rPr>
          <w:rFonts w:hint="eastAsia" w:eastAsia="仿宋_GB2312"/>
          <w:color w:val="000000"/>
          <w:sz w:val="32"/>
          <w:szCs w:val="32"/>
        </w:rPr>
        <w:t>《报告书》</w:t>
      </w:r>
      <w:r>
        <w:rPr>
          <w:rFonts w:hint="eastAsia" w:eastAsia="仿宋_GB2312"/>
          <w:color w:val="000000"/>
          <w:sz w:val="32"/>
          <w:szCs w:val="30"/>
        </w:rPr>
        <w:t>）等材料收悉。经审查，批复如下：</w:t>
      </w:r>
    </w:p>
    <w:p>
      <w:pPr>
        <w:numPr>
          <w:ilvl w:val="0"/>
          <w:numId w:val="1"/>
        </w:numPr>
        <w:adjustRightInd w:val="0"/>
        <w:snapToGrid w:val="0"/>
        <w:spacing w:beforeLines="0" w:afterLines="0" w:line="554" w:lineRule="exact"/>
        <w:ind w:firstLine="632" w:firstLineChars="200"/>
        <w:rPr>
          <w:rFonts w:hint="eastAsia" w:eastAsia="仿宋_GB2312"/>
          <w:color w:val="000000"/>
          <w:sz w:val="32"/>
          <w:szCs w:val="30"/>
        </w:rPr>
      </w:pPr>
      <w:r>
        <w:rPr>
          <w:rFonts w:hint="eastAsia" w:eastAsia="仿宋_GB2312"/>
          <w:color w:val="000000"/>
          <w:sz w:val="32"/>
          <w:szCs w:val="30"/>
        </w:rPr>
        <w:t>博罗县杨侨镇联丰养殖场肉鹅生态养殖示范区项目（改扩建）位于博罗县杨侨镇坪塘办事处下排队西边，在现有场区范围内进行改扩建。现有工程用地面积约134217平方米，其中设施农用地面积74200平方米，建筑面积约8278.6平方米。本次改扩建不新增用地，新增建筑面积约18733平方米。项目建成后，预计年出栏肉鹅49.539万只。</w:t>
      </w:r>
    </w:p>
    <w:p>
      <w:pPr>
        <w:numPr>
          <w:ilvl w:val="0"/>
          <w:numId w:val="0"/>
        </w:numPr>
        <w:adjustRightInd w:val="0"/>
        <w:snapToGrid w:val="0"/>
        <w:spacing w:beforeLines="0" w:afterLines="0" w:line="554" w:lineRule="exact"/>
        <w:ind w:firstLine="632" w:firstLineChars="200"/>
        <w:rPr>
          <w:rFonts w:hint="default"/>
          <w:color w:val="000000"/>
          <w:sz w:val="32"/>
          <w:szCs w:val="32"/>
        </w:rPr>
      </w:pPr>
      <w:r>
        <w:rPr>
          <w:rFonts w:hint="eastAsia" w:eastAsia="仿宋_GB2312"/>
          <w:color w:val="000000"/>
          <w:kern w:val="0"/>
          <w:sz w:val="32"/>
          <w:szCs w:val="32"/>
        </w:rPr>
        <w:t>二、根据《报告书》的评价结论、</w:t>
      </w:r>
      <w:bookmarkStart w:id="5" w:name="OLE_LINK2"/>
      <w:r>
        <w:rPr>
          <w:rFonts w:hint="eastAsia" w:eastAsia="仿宋_GB2312"/>
          <w:color w:val="000000"/>
          <w:kern w:val="0"/>
          <w:sz w:val="32"/>
          <w:szCs w:val="32"/>
        </w:rPr>
        <w:t>惠州市生态环境局博罗分局的初审意见</w:t>
      </w:r>
      <w:bookmarkEnd w:id="5"/>
      <w:r>
        <w:rPr>
          <w:rFonts w:hint="eastAsia" w:eastAsia="仿宋_GB2312"/>
          <w:color w:val="000000"/>
          <w:kern w:val="0"/>
          <w:sz w:val="32"/>
          <w:szCs w:val="32"/>
        </w:rPr>
        <w:t>和惠州市环境科学研究所的技术评估报告，在全面落实《报告书》提出的各项污染防治、生态保护措施及环境风险防范措施，并确保各类污染物稳定达标排放且符合总量控制要求的前提下，项目按照《报告书》中所列性质、规模、地点和采用的生产工艺建设，从生态环境保护角度考虑，项目可行。项目建设和运行管理中还应重点做好以下工作：</w:t>
      </w:r>
    </w:p>
    <w:p>
      <w:pPr>
        <w:adjustRightInd w:val="0"/>
        <w:snapToGrid w:val="0"/>
        <w:spacing w:beforeLines="0" w:afterLines="0" w:line="554" w:lineRule="exact"/>
        <w:ind w:firstLine="632" w:firstLineChars="200"/>
        <w:rPr>
          <w:rFonts w:hint="eastAsia" w:eastAsia="仿宋_GB2312"/>
          <w:color w:val="000000"/>
          <w:sz w:val="32"/>
          <w:szCs w:val="32"/>
        </w:rPr>
      </w:pPr>
      <w:r>
        <w:rPr>
          <w:rFonts w:hint="eastAsia" w:eastAsia="仿宋_GB2312"/>
          <w:color w:val="000000"/>
          <w:sz w:val="32"/>
          <w:szCs w:val="32"/>
        </w:rPr>
        <w:t>（一）严格落实大气污染防治措施。项目各工艺产生的废气应有效收集处理，减少无组织废气排放；各排气筒高度不应低于《报告书》建议值。</w:t>
      </w:r>
    </w:p>
    <w:p>
      <w:pPr>
        <w:numPr>
          <w:ilvl w:val="0"/>
          <w:numId w:val="0"/>
        </w:numPr>
        <w:adjustRightInd w:val="0"/>
        <w:snapToGrid w:val="0"/>
        <w:spacing w:beforeLines="0" w:afterLines="0" w:line="554" w:lineRule="exact"/>
        <w:ind w:firstLine="632" w:firstLineChars="200"/>
        <w:rPr>
          <w:rFonts w:hint="default" w:eastAsia="仿宋_GB2312"/>
          <w:color w:val="000000"/>
          <w:sz w:val="32"/>
          <w:szCs w:val="32"/>
        </w:rPr>
      </w:pPr>
      <w:r>
        <w:rPr>
          <w:rFonts w:hint="eastAsia" w:eastAsia="仿宋_GB2312"/>
          <w:color w:val="000000"/>
          <w:sz w:val="32"/>
          <w:szCs w:val="32"/>
        </w:rPr>
        <w:t>各股废气应采取适宜的成熟高效的处理技术处理达标后排放。污水处理过程中产生的臭气浓度、氨和硫化氢有组织排放执行</w:t>
      </w:r>
      <w:bookmarkStart w:id="6" w:name="OLE_LINK1"/>
      <w:r>
        <w:rPr>
          <w:rFonts w:hint="eastAsia" w:eastAsia="仿宋_GB2312"/>
          <w:color w:val="000000"/>
          <w:sz w:val="32"/>
          <w:szCs w:val="32"/>
        </w:rPr>
        <w:t>《恶臭污染物排放标准》（GB14554-93）</w:t>
      </w:r>
      <w:bookmarkEnd w:id="6"/>
      <w:r>
        <w:rPr>
          <w:rFonts w:hint="eastAsia" w:eastAsia="仿宋_GB2312"/>
          <w:color w:val="000000"/>
          <w:sz w:val="32"/>
          <w:szCs w:val="32"/>
        </w:rPr>
        <w:t>表2标准。氨和硫化氢无组织排放执行《恶臭污染物排放标准》（GB14554-93）表1二级“新扩改建项目”标准；臭气浓度无组织排放执行广东省《畜禽养殖业污染物排放标准》（DB44/613-2024）中表3排放限值和《恶臭污染物排放标准》（GB14554-93）表1“新扩改建项目”二级标准中的较严值。颗粒物无组织排放执行广东省《大气污染物排放限值》（DB44/27-2001）表2无组织排放监控浓度限值。</w:t>
      </w:r>
    </w:p>
    <w:p>
      <w:pPr>
        <w:numPr>
          <w:ilvl w:val="0"/>
          <w:numId w:val="0"/>
        </w:numPr>
        <w:adjustRightInd w:val="0"/>
        <w:snapToGrid w:val="0"/>
        <w:spacing w:beforeLines="0" w:afterLines="0" w:line="554" w:lineRule="exact"/>
        <w:ind w:firstLine="632" w:firstLineChars="200"/>
        <w:rPr>
          <w:rFonts w:hint="eastAsia" w:eastAsia="仿宋_GB2312"/>
          <w:color w:val="000000"/>
          <w:sz w:val="32"/>
          <w:szCs w:val="32"/>
        </w:rPr>
      </w:pPr>
      <w:r>
        <w:rPr>
          <w:rFonts w:hint="eastAsia" w:eastAsia="仿宋_GB2312"/>
          <w:color w:val="000000"/>
          <w:sz w:val="32"/>
          <w:szCs w:val="32"/>
        </w:rPr>
        <w:t>（二）严格落实水污染防治措施。严格按照“清污分流、雨污分流、循环用水”的原则，并结合应急的需要，优化设置给、排水系统，落实废水分质收集、分质治理措施，采取先进的节水灌溉技术方案，并在灌溉区域的周边设置植物缓冲带等减缓面源污染的生态防护措施。建设足够容积的灌溉水储存池，做好自建污水处理设施、回用灌溉设施的运行维护管理；在污水处理、回用灌溉等关键节点安装水、电等计量设施以及在线监控设施，建立各关键节点的环保精细化管理台账。养殖废水和生活污水经自建污水处理设施处理达到</w:t>
      </w:r>
      <w:bookmarkStart w:id="7" w:name="OLE_LINK3"/>
      <w:r>
        <w:rPr>
          <w:rFonts w:hint="eastAsia" w:eastAsia="仿宋_GB2312"/>
          <w:color w:val="000000"/>
          <w:sz w:val="32"/>
          <w:szCs w:val="32"/>
        </w:rPr>
        <w:t>《畜禽养殖业污染物排放限值》（DB44/613-2024）</w:t>
      </w:r>
      <w:bookmarkEnd w:id="7"/>
      <w:r>
        <w:rPr>
          <w:rFonts w:hint="eastAsia" w:eastAsia="仿宋_GB2312"/>
          <w:color w:val="000000"/>
          <w:sz w:val="32"/>
          <w:szCs w:val="32"/>
        </w:rPr>
        <w:t>表1中一类区域排放限值和《农田灌溉水质标准》（GB5084-2021）中旱地作物用水标准的较严值，用于场内灌溉，不外排。</w:t>
      </w:r>
    </w:p>
    <w:p>
      <w:pPr>
        <w:adjustRightInd w:val="0"/>
        <w:snapToGrid w:val="0"/>
        <w:spacing w:beforeLines="0" w:afterLines="0" w:line="554" w:lineRule="exact"/>
        <w:ind w:firstLine="632" w:firstLineChars="200"/>
        <w:rPr>
          <w:rFonts w:hint="default"/>
          <w:color w:val="000000"/>
          <w:sz w:val="32"/>
          <w:szCs w:val="32"/>
        </w:rPr>
      </w:pPr>
      <w:r>
        <w:rPr>
          <w:rFonts w:hint="eastAsia" w:eastAsia="仿宋_GB2312"/>
          <w:color w:val="000000"/>
          <w:sz w:val="32"/>
          <w:szCs w:val="32"/>
        </w:rPr>
        <w:t>（三）</w:t>
      </w:r>
      <w:r>
        <w:rPr>
          <w:rFonts w:hint="eastAsia" w:eastAsia="仿宋_GB2312"/>
          <w:color w:val="000000"/>
          <w:sz w:val="32"/>
          <w:szCs w:val="24"/>
        </w:rPr>
        <w:t>严格落实土壤污染防治及地下水污染防治有关要求</w:t>
      </w:r>
      <w:r>
        <w:rPr>
          <w:rFonts w:hint="eastAsia" w:eastAsia="仿宋_GB2312"/>
          <w:color w:val="000000"/>
          <w:sz w:val="32"/>
          <w:szCs w:val="32"/>
        </w:rPr>
        <w:t>。按照相关技术规范要求做好基础防渗。建立地下水监测井，落实地下水环境监测计划，跟踪地下水水质变化以便及时改进污染防范措施和采取有效治理措施。</w:t>
      </w:r>
    </w:p>
    <w:p>
      <w:pPr>
        <w:numPr>
          <w:ilvl w:val="0"/>
          <w:numId w:val="0"/>
        </w:numPr>
        <w:adjustRightInd w:val="0"/>
        <w:snapToGrid w:val="0"/>
        <w:spacing w:beforeLines="0" w:afterLines="0" w:line="554" w:lineRule="exact"/>
        <w:ind w:firstLine="632" w:firstLineChars="200"/>
        <w:rPr>
          <w:rFonts w:hint="eastAsia" w:eastAsia="仿宋_GB2312"/>
          <w:color w:val="000000"/>
          <w:sz w:val="32"/>
          <w:szCs w:val="32"/>
        </w:rPr>
      </w:pPr>
      <w:r>
        <w:rPr>
          <w:rFonts w:hint="eastAsia" w:eastAsia="仿宋_GB2312"/>
          <w:color w:val="000000"/>
          <w:sz w:val="32"/>
          <w:szCs w:val="32"/>
        </w:rPr>
        <w:t>（四）严格落实噪声污染防治措施。选用低噪声机械设备，并采取有效的降噪措施，确保厂界噪声符合《工业企业厂界环境噪声排放标准》（GB12348-2008）1类标准要求。</w:t>
      </w:r>
    </w:p>
    <w:p>
      <w:pPr>
        <w:pStyle w:val="14"/>
        <w:numPr>
          <w:ilvl w:val="0"/>
          <w:numId w:val="0"/>
        </w:numPr>
        <w:snapToGrid w:val="0"/>
        <w:spacing w:beforeLines="0" w:after="0" w:afterLines="0" w:line="554" w:lineRule="exact"/>
        <w:ind w:left="0" w:firstLine="632"/>
        <w:rPr>
          <w:rFonts w:hint="default" w:cs="Times New Roman"/>
          <w:color w:val="000000"/>
          <w:sz w:val="32"/>
          <w:szCs w:val="24"/>
        </w:rPr>
      </w:pPr>
      <w:r>
        <w:rPr>
          <w:rFonts w:hint="eastAsia" w:eastAsia="仿宋_GB2312" w:cs="Times New Roman"/>
          <w:color w:val="000000"/>
          <w:sz w:val="32"/>
          <w:szCs w:val="32"/>
        </w:rPr>
        <w:t>（五）严格落实固体废物分类收集、处理和综合利用措施。场内需设置足够容量的危险废物贮存仓库，严格按照《一般工业固体废物贮存和填埋污染控制标准》（GB18599-2020）及《危险废物贮存污染控制标准》（GB18597-2023）贮存固体废物，并做好危废台账管理工作。</w:t>
      </w:r>
      <w:r>
        <w:rPr>
          <w:rFonts w:hint="eastAsia" w:eastAsia="仿宋_GB2312" w:cs="Times New Roman"/>
          <w:color w:val="000000"/>
          <w:sz w:val="32"/>
          <w:szCs w:val="24"/>
        </w:rPr>
        <w:t>项目产生的固体废物应分类收集并立足于综合利用，确实不能利用的须按照有关规定落实妥善的处理处置措施，防止造成二次污染；危险废物的污染防治须严格执行国家和省对危险废物管理的有关规定，要特别注意做好病死鹅尸体和医疗废物的处理处置工作。农业固体废物、一般工业固体废物依法处理处置；生活垃圾统一收集后交由当地环卫部门处理。</w:t>
      </w:r>
    </w:p>
    <w:p>
      <w:pPr>
        <w:numPr>
          <w:ilvl w:val="0"/>
          <w:numId w:val="0"/>
        </w:numPr>
        <w:adjustRightInd w:val="0"/>
        <w:snapToGrid w:val="0"/>
        <w:spacing w:beforeLines="0" w:afterLines="0" w:line="554" w:lineRule="exact"/>
        <w:ind w:firstLine="632" w:firstLineChars="200"/>
        <w:rPr>
          <w:rFonts w:hint="default"/>
          <w:color w:val="000000"/>
          <w:sz w:val="32"/>
          <w:szCs w:val="32"/>
        </w:rPr>
      </w:pPr>
      <w:r>
        <w:rPr>
          <w:rFonts w:hint="eastAsia" w:eastAsia="仿宋_GB2312"/>
          <w:color w:val="000000"/>
          <w:sz w:val="32"/>
          <w:szCs w:val="32"/>
        </w:rPr>
        <w:t>（六）强化环境风险防范与应急管理。</w:t>
      </w:r>
      <w:r>
        <w:rPr>
          <w:rFonts w:hint="eastAsia" w:eastAsia="仿宋_GB2312"/>
          <w:color w:val="000000"/>
          <w:sz w:val="32"/>
          <w:szCs w:val="24"/>
        </w:rPr>
        <w:t>完善并落实有效的环境风险防范措施和应急预案，设置足够容积的环境设施确保突发环境事件状态下的危险物质不直接排至外环境，保障环境安全。</w:t>
      </w:r>
      <w:r>
        <w:rPr>
          <w:rFonts w:hint="eastAsia" w:eastAsia="仿宋_GB2312"/>
          <w:color w:val="000000"/>
          <w:sz w:val="32"/>
          <w:szCs w:val="32"/>
        </w:rPr>
        <w:t>建立与当地政府</w:t>
      </w:r>
      <w:bookmarkStart w:id="9" w:name="_GoBack"/>
      <w:bookmarkEnd w:id="9"/>
      <w:r>
        <w:rPr>
          <w:rFonts w:hint="eastAsia" w:eastAsia="仿宋_GB2312"/>
          <w:color w:val="000000"/>
          <w:sz w:val="32"/>
          <w:szCs w:val="32"/>
        </w:rPr>
        <w:t>关于突发环境事件应急联动的长效机制。</w:t>
      </w:r>
    </w:p>
    <w:p>
      <w:pPr>
        <w:adjustRightInd w:val="0"/>
        <w:snapToGrid w:val="0"/>
        <w:spacing w:beforeLines="0" w:afterLines="0" w:line="554" w:lineRule="exact"/>
        <w:ind w:firstLine="632" w:firstLineChars="200"/>
        <w:rPr>
          <w:rFonts w:hint="eastAsia" w:eastAsia="仿宋_GB2312"/>
          <w:color w:val="000000"/>
          <w:sz w:val="32"/>
          <w:szCs w:val="24"/>
        </w:rPr>
      </w:pPr>
      <w:r>
        <w:rPr>
          <w:rFonts w:hint="eastAsia" w:eastAsia="仿宋_GB2312"/>
          <w:color w:val="000000"/>
          <w:sz w:val="32"/>
          <w:szCs w:val="24"/>
        </w:rPr>
        <w:t>（七）加强施工期环境管理。合理安排施工时间，采取有效措施控制施工扬尘、噪声、废水及固体废物污染。施工场界噪声须符合《建筑施工场界环境噪声排放标准》（GB12523-2011）。</w:t>
      </w:r>
    </w:p>
    <w:p>
      <w:pPr>
        <w:adjustRightInd w:val="0"/>
        <w:snapToGrid w:val="0"/>
        <w:spacing w:beforeLines="0" w:afterLines="0" w:line="554" w:lineRule="exact"/>
        <w:ind w:firstLine="632" w:firstLineChars="200"/>
        <w:rPr>
          <w:rFonts w:hint="default"/>
          <w:color w:val="000000"/>
          <w:sz w:val="32"/>
          <w:szCs w:val="32"/>
        </w:rPr>
      </w:pPr>
      <w:r>
        <w:rPr>
          <w:rFonts w:hint="eastAsia" w:eastAsia="仿宋_GB2312"/>
          <w:color w:val="000000"/>
          <w:sz w:val="32"/>
          <w:szCs w:val="32"/>
        </w:rPr>
        <w:t>（八）按照国家和省的有关规定规范排污口的设置，落实环境监测制度。</w:t>
      </w:r>
    </w:p>
    <w:p>
      <w:pPr>
        <w:adjustRightInd w:val="0"/>
        <w:snapToGrid w:val="0"/>
        <w:spacing w:beforeLines="0" w:afterLines="0" w:line="554" w:lineRule="exact"/>
        <w:ind w:firstLine="632" w:firstLineChars="200"/>
        <w:rPr>
          <w:rFonts w:hint="default"/>
          <w:color w:val="000000"/>
          <w:sz w:val="32"/>
          <w:szCs w:val="32"/>
        </w:rPr>
      </w:pPr>
      <w:r>
        <w:rPr>
          <w:rFonts w:hint="eastAsia" w:eastAsia="仿宋_GB2312"/>
          <w:color w:val="000000"/>
          <w:sz w:val="32"/>
          <w:szCs w:val="32"/>
        </w:rPr>
        <w:t>（九）</w:t>
      </w:r>
      <w:r>
        <w:rPr>
          <w:rFonts w:hint="eastAsia" w:eastAsia="仿宋_GB2312"/>
          <w:color w:val="000000"/>
          <w:kern w:val="0"/>
          <w:sz w:val="32"/>
          <w:szCs w:val="32"/>
        </w:rPr>
        <w:t>国家或地方对项目污染物排放有新标准、新要求的，按新规定执行。</w:t>
      </w:r>
    </w:p>
    <w:p>
      <w:pPr>
        <w:pStyle w:val="9"/>
        <w:adjustRightInd w:val="0"/>
        <w:snapToGrid w:val="0"/>
        <w:spacing w:beforeLines="0" w:afterLines="0" w:line="554" w:lineRule="exact"/>
        <w:rPr>
          <w:rFonts w:hint="default"/>
          <w:color w:val="000000"/>
          <w:sz w:val="32"/>
          <w:szCs w:val="20"/>
        </w:rPr>
      </w:pPr>
      <w:r>
        <w:rPr>
          <w:rFonts w:hint="eastAsia" w:eastAsia="仿宋_GB2312"/>
          <w:color w:val="000000"/>
          <w:kern w:val="0"/>
          <w:sz w:val="32"/>
          <w:szCs w:val="32"/>
        </w:rPr>
        <w:t>（十）</w:t>
      </w:r>
      <w:r>
        <w:rPr>
          <w:rFonts w:hint="eastAsia" w:eastAsia="仿宋_GB2312"/>
          <w:color w:val="000000"/>
          <w:sz w:val="32"/>
          <w:szCs w:val="24"/>
        </w:rPr>
        <w:t>健全环境管理制度与公众沟通机制。 完善内部环境管理体系，落实环保责任。依法公开企业环境信息，建立公众沟通渠道，接受社会监督。</w:t>
      </w:r>
    </w:p>
    <w:p>
      <w:pPr>
        <w:adjustRightInd w:val="0"/>
        <w:snapToGrid w:val="0"/>
        <w:spacing w:beforeLines="0" w:afterLines="0" w:line="554" w:lineRule="exact"/>
        <w:ind w:firstLine="632" w:firstLineChars="200"/>
        <w:rPr>
          <w:rFonts w:hint="default"/>
          <w:color w:val="000000"/>
          <w:sz w:val="32"/>
          <w:szCs w:val="32"/>
        </w:rPr>
      </w:pPr>
      <w:r>
        <w:rPr>
          <w:rFonts w:hint="eastAsia" w:eastAsia="仿宋_GB2312"/>
          <w:color w:val="000000"/>
          <w:sz w:val="32"/>
          <w:szCs w:val="32"/>
        </w:rPr>
        <w:t>三、项目环保投资应纳入工程投资概算并予以落实。</w:t>
      </w:r>
    </w:p>
    <w:p>
      <w:pPr>
        <w:adjustRightInd w:val="0"/>
        <w:snapToGrid w:val="0"/>
        <w:spacing w:beforeLines="0" w:afterLines="0" w:line="600" w:lineRule="exact"/>
        <w:ind w:firstLine="632" w:firstLineChars="200"/>
        <w:rPr>
          <w:rFonts w:hint="eastAsia" w:ascii="宋体"/>
          <w:color w:val="000000"/>
          <w:sz w:val="32"/>
          <w:szCs w:val="32"/>
        </w:rPr>
      </w:pPr>
      <w:r>
        <w:rPr>
          <w:rFonts w:hint="eastAsia" w:eastAsia="仿宋_GB2312"/>
          <w:color w:val="000000"/>
          <w:sz w:val="32"/>
          <w:szCs w:val="32"/>
        </w:rPr>
        <w:t xml:space="preserve">四、《报告书》经批准后，项目的性质、规模、地点、采用的生产工艺或者防治污染、防止生态破坏的措施发生重大变动的，应当重新报批建设项目的环境影响评价文件。自批复之日起超过5 年，方决定该项目开工建设的， </w:t>
      </w:r>
      <w:bookmarkStart w:id="8" w:name="OLE_LINK4"/>
      <w:r>
        <w:rPr>
          <w:rFonts w:hint="eastAsia" w:eastAsia="仿宋_GB2312"/>
          <w:color w:val="000000"/>
          <w:sz w:val="32"/>
          <w:szCs w:val="32"/>
        </w:rPr>
        <w:t>《报告书》</w:t>
      </w:r>
      <w:bookmarkEnd w:id="8"/>
      <w:r>
        <w:rPr>
          <w:rFonts w:hint="eastAsia" w:eastAsia="仿宋_GB2312"/>
          <w:color w:val="000000"/>
          <w:sz w:val="32"/>
          <w:szCs w:val="32"/>
        </w:rPr>
        <w:t>应当报我局重新审核。</w:t>
      </w:r>
    </w:p>
    <w:p>
      <w:pPr>
        <w:adjustRightInd w:val="0"/>
        <w:snapToGrid w:val="0"/>
        <w:spacing w:beforeLines="0" w:afterLines="0" w:line="554" w:lineRule="exact"/>
        <w:ind w:firstLine="632" w:firstLineChars="200"/>
        <w:rPr>
          <w:rFonts w:hint="default"/>
          <w:color w:val="000000"/>
          <w:sz w:val="32"/>
          <w:szCs w:val="32"/>
        </w:rPr>
      </w:pPr>
      <w:r>
        <w:rPr>
          <w:rFonts w:hint="eastAsia" w:eastAsia="仿宋_GB2312"/>
          <w:color w:val="000000"/>
          <w:sz w:val="32"/>
          <w:szCs w:val="32"/>
        </w:rPr>
        <w:t>五、你司应严格落实生态环境保护主体责任，加强生态环境管理，落实包括但不限于《报告书》所列各项污染防治、生态保护和环境风险防范措施及环境保护工作承诺。项目建设必须严格执行环境保护设施与主体工程同时设计、同时施工、同时投产使用的环境保护“三同时”制度。你司应按照《排污许可管理条例》有关规定，依法及时申领排污许可证，并做好规范排污行为的相关工作。项目建成后，应按规定程序实施竣工环境保护验收。</w:t>
      </w:r>
    </w:p>
    <w:p>
      <w:pPr>
        <w:adjustRightInd w:val="0"/>
        <w:snapToGrid w:val="0"/>
        <w:spacing w:beforeLines="0" w:afterLines="0" w:line="554" w:lineRule="exact"/>
        <w:ind w:firstLine="632" w:firstLineChars="200"/>
        <w:rPr>
          <w:rFonts w:hint="default"/>
          <w:color w:val="000000"/>
          <w:sz w:val="32"/>
          <w:szCs w:val="32"/>
        </w:rPr>
      </w:pPr>
      <w:r>
        <w:rPr>
          <w:rFonts w:hint="eastAsia" w:eastAsia="仿宋_GB2312"/>
          <w:color w:val="000000"/>
          <w:sz w:val="32"/>
          <w:szCs w:val="32"/>
        </w:rPr>
        <w:t>六、请惠州市生态环境局博罗分局严格落实事中、事后属地监管责任，按照生态环境部《关于进一步完善建设项目环境保护“三同时”及竣工环境保护自主验收监管工作机制的意见》（环执法</w:t>
      </w:r>
      <w:r>
        <w:rPr>
          <w:rFonts w:hint="eastAsia" w:eastAsia="仿宋_GB2312"/>
          <w:color w:val="000000"/>
          <w:sz w:val="32"/>
          <w:szCs w:val="24"/>
        </w:rPr>
        <w:t>〔2021〕</w:t>
      </w:r>
      <w:r>
        <w:rPr>
          <w:rFonts w:hint="default"/>
          <w:color w:val="000000"/>
          <w:sz w:val="32"/>
          <w:szCs w:val="32"/>
        </w:rPr>
        <w:t>70</w:t>
      </w:r>
      <w:r>
        <w:rPr>
          <w:rFonts w:hint="eastAsia" w:eastAsia="仿宋_GB2312"/>
          <w:color w:val="000000"/>
          <w:sz w:val="32"/>
          <w:szCs w:val="32"/>
        </w:rPr>
        <w:t>号）要求，加强对该项目环境保护“三同时”及自主验收监管。</w:t>
      </w:r>
    </w:p>
    <w:p>
      <w:pPr>
        <w:adjustRightInd w:val="0"/>
        <w:snapToGrid w:val="0"/>
        <w:spacing w:beforeLines="0" w:afterLines="0" w:line="554" w:lineRule="exact"/>
        <w:ind w:firstLine="632" w:firstLineChars="200"/>
        <w:rPr>
          <w:rFonts w:hint="default"/>
          <w:color w:val="000000"/>
          <w:sz w:val="32"/>
          <w:szCs w:val="32"/>
        </w:rPr>
      </w:pPr>
      <w:r>
        <w:rPr>
          <w:rFonts w:hint="eastAsia" w:eastAsia="仿宋_GB2312"/>
          <w:color w:val="000000"/>
          <w:sz w:val="32"/>
          <w:szCs w:val="32"/>
        </w:rPr>
        <w:t>你公司应在收到本批复后20个工作日内，将批准后的《报告书》送至惠州市生态环境局博罗分局，按规定接受生态环境部门日常监督检查。</w:t>
      </w:r>
    </w:p>
    <w:p>
      <w:pPr>
        <w:adjustRightInd w:val="0"/>
        <w:snapToGrid w:val="0"/>
        <w:spacing w:beforeLines="0" w:afterLines="0" w:line="554" w:lineRule="exact"/>
        <w:ind w:firstLine="632" w:firstLineChars="200"/>
        <w:rPr>
          <w:rFonts w:hint="default"/>
          <w:color w:val="000000"/>
          <w:sz w:val="32"/>
          <w:szCs w:val="32"/>
        </w:rPr>
      </w:pPr>
      <w:r>
        <w:rPr>
          <w:rFonts w:hint="eastAsia" w:eastAsia="仿宋_GB2312"/>
          <w:color w:val="000000"/>
          <w:sz w:val="32"/>
          <w:szCs w:val="32"/>
        </w:rPr>
        <w:t>七、项目若涉及有关规划、农业、动物防疫、消防、安全生产等问题的，应依法到相关部门办理手续。</w:t>
      </w:r>
    </w:p>
    <w:p>
      <w:pPr>
        <w:wordWrap w:val="0"/>
        <w:adjustRightInd w:val="0"/>
        <w:snapToGrid w:val="0"/>
        <w:spacing w:before="581" w:beforeLines="100" w:afterLines="0" w:line="560" w:lineRule="exact"/>
        <w:ind w:firstLine="632" w:firstLineChars="200"/>
        <w:jc w:val="right"/>
        <w:rPr>
          <w:rFonts w:hint="eastAsia" w:eastAsia="仿宋_GB2312"/>
          <w:color w:val="000000"/>
          <w:sz w:val="32"/>
          <w:szCs w:val="32"/>
        </w:rPr>
      </w:pPr>
    </w:p>
    <w:p>
      <w:pPr>
        <w:wordWrap w:val="0"/>
        <w:adjustRightInd w:val="0"/>
        <w:snapToGrid w:val="0"/>
        <w:spacing w:before="581" w:beforeLines="100" w:afterLines="0" w:line="560" w:lineRule="exact"/>
        <w:ind w:firstLine="632" w:firstLineChars="200"/>
        <w:jc w:val="right"/>
        <w:rPr>
          <w:rFonts w:hint="default"/>
          <w:color w:val="000000"/>
          <w:sz w:val="32"/>
          <w:szCs w:val="32"/>
        </w:rPr>
      </w:pPr>
      <w:r>
        <w:rPr>
          <w:rFonts w:hint="eastAsia" w:eastAsia="仿宋_GB2312"/>
          <w:color w:val="000000"/>
          <w:sz w:val="32"/>
          <w:szCs w:val="32"/>
        </w:rPr>
        <w:t xml:space="preserve">惠州市生态环境局        </w:t>
      </w:r>
    </w:p>
    <w:p>
      <w:pPr>
        <w:wordWrap w:val="0"/>
        <w:adjustRightInd w:val="0"/>
        <w:snapToGrid w:val="0"/>
        <w:spacing w:beforeLines="0" w:afterLines="0" w:line="560" w:lineRule="exact"/>
        <w:ind w:firstLine="632" w:firstLineChars="200"/>
        <w:jc w:val="center"/>
        <w:rPr>
          <w:rFonts w:hint="eastAsia" w:ascii="黑体" w:hAnsi="黑体" w:eastAsia="黑体" w:cs="黑体"/>
          <w:b/>
          <w:color w:val="000000"/>
          <w:sz w:val="32"/>
          <w:szCs w:val="32"/>
        </w:rPr>
      </w:pPr>
      <w:r>
        <w:rPr>
          <w:rFonts w:hint="default"/>
          <w:color w:val="000000"/>
          <w:sz w:val="32"/>
          <w:szCs w:val="32"/>
        </w:rPr>
        <w:t xml:space="preserve">                    </w:t>
      </w:r>
      <w:r>
        <w:rPr>
          <w:rFonts w:hint="eastAsia"/>
          <w:color w:val="000000"/>
          <w:sz w:val="32"/>
          <w:szCs w:val="32"/>
        </w:rPr>
        <w:t xml:space="preserve"> </w:t>
      </w:r>
      <w:r>
        <w:rPr>
          <w:rFonts w:hint="default"/>
          <w:color w:val="000000"/>
          <w:sz w:val="32"/>
          <w:szCs w:val="32"/>
        </w:rPr>
        <w:t>202</w:t>
      </w:r>
      <w:r>
        <w:rPr>
          <w:rFonts w:hint="eastAsia"/>
          <w:color w:val="000000"/>
          <w:sz w:val="32"/>
          <w:szCs w:val="32"/>
        </w:rPr>
        <w:t>5</w:t>
      </w:r>
      <w:r>
        <w:rPr>
          <w:rFonts w:hint="eastAsia" w:eastAsia="仿宋_GB2312"/>
          <w:color w:val="000000"/>
          <w:sz w:val="32"/>
          <w:szCs w:val="32"/>
        </w:rPr>
        <w:t xml:space="preserve">年12月24日 </w:t>
      </w: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sectPr>
          <w:footerReference r:id="rId4" w:type="default"/>
          <w:pgSz w:w="11906" w:h="16838"/>
          <w:pgMar w:top="2098" w:right="1474" w:bottom="1984" w:left="1587" w:header="851" w:footer="1587" w:gutter="0"/>
          <w:lnNumType w:countBy="0" w:distance="360"/>
          <w:cols w:space="720" w:num="1"/>
          <w:titlePg/>
          <w:docGrid w:type="linesAndChars" w:linePitch="579" w:charSpace="-842"/>
        </w:sectPr>
      </w:pPr>
    </w:p>
    <w:p>
      <w:pPr>
        <w:pStyle w:val="2"/>
        <w:spacing w:beforeLines="0" w:afterLines="0"/>
        <w:rPr>
          <w:rFonts w:hint="eastAsia"/>
          <w:sz w:val="24"/>
          <w:szCs w:val="24"/>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黑体" w:hAnsi="黑体" w:eastAsia="黑体" w:cs="黑体"/>
          <w:b/>
          <w:color w:val="000000"/>
          <w:sz w:val="32"/>
          <w:szCs w:val="32"/>
        </w:rPr>
      </w:pPr>
    </w:p>
    <w:p>
      <w:pPr>
        <w:wordWrap w:val="0"/>
        <w:adjustRightInd w:val="0"/>
        <w:snapToGrid w:val="0"/>
        <w:spacing w:beforeLines="0" w:afterLines="0" w:line="560" w:lineRule="exact"/>
        <w:rPr>
          <w:rFonts w:hint="eastAsia" w:ascii="仿宋_GB2312" w:hAnsi="仿宋_GB2312" w:eastAsia="仿宋_GB2312" w:cs="仿宋_GB2312"/>
          <w:color w:val="000000"/>
          <w:sz w:val="32"/>
          <w:szCs w:val="32"/>
        </w:rPr>
      </w:pPr>
      <w:r>
        <w:rPr>
          <w:rFonts w:hint="default" w:ascii="黑体" w:hAnsi="黑体" w:eastAsia="黑体" w:cs="黑体"/>
          <w:color w:val="000000"/>
          <w:sz w:val="20"/>
          <w:szCs w:val="24"/>
        </w:rPr>
        <mc:AlternateContent>
          <mc:Choice Requires="wps">
            <w:drawing>
              <wp:anchor distT="0" distB="0" distL="114300" distR="114300" simplePos="0" relativeHeight="251661312" behindDoc="0" locked="0" layoutInCell="1" allowOverlap="1">
                <wp:simplePos x="0" y="0"/>
                <wp:positionH relativeFrom="column">
                  <wp:posOffset>669290</wp:posOffset>
                </wp:positionH>
                <wp:positionV relativeFrom="paragraph">
                  <wp:posOffset>9770110</wp:posOffset>
                </wp:positionV>
                <wp:extent cx="6155690" cy="0"/>
                <wp:effectExtent l="0" t="28575" r="16510" b="28575"/>
                <wp:wrapNone/>
                <wp:docPr id="1" name="直接连接符 6"/>
                <wp:cNvGraphicFramePr/>
                <a:graphic xmlns:a="http://schemas.openxmlformats.org/drawingml/2006/main">
                  <a:graphicData uri="http://schemas.microsoft.com/office/word/2010/wordprocessingShape">
                    <wps:wsp>
                      <wps:cNvCnPr/>
                      <wps:spPr>
                        <a:xfrm>
                          <a:off x="0" y="0"/>
                          <a:ext cx="6155690" cy="0"/>
                        </a:xfrm>
                        <a:prstGeom prst="line">
                          <a:avLst/>
                        </a:prstGeom>
                        <a:ln w="57150" cap="flat" cmpd="thinThick">
                          <a:solidFill>
                            <a:srgbClr val="FF0000"/>
                          </a:solidFill>
                          <a:prstDash val="solid"/>
                          <a:round/>
                          <a:headEnd type="none" w="med" len="med"/>
                          <a:tailEnd type="none" w="med" len="med"/>
                        </a:ln>
                      </wps:spPr>
                      <wps:bodyPr upright="1"/>
                    </wps:wsp>
                  </a:graphicData>
                </a:graphic>
              </wp:anchor>
            </w:drawing>
          </mc:Choice>
          <mc:Fallback>
            <w:pict>
              <v:line id="直接连接符 6" o:spid="_x0000_s1026" o:spt="20" style="position:absolute;left:0pt;margin-left:52.7pt;margin-top:769.3pt;height:0pt;width:484.7pt;z-index:251661312;mso-width-relative:page;mso-height-relative:page;" filled="f" stroked="t" coordsize="21600,21600" o:gfxdata="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904idgAAAAOAQAADwAAAAAAAAABACAAAAAiAAAAZHJzL2Rv&#10;d25yZXYueG1sUEsBAhQAFAAAAAgAh07iQGCwsNMBAgAA9QMAAA4AAAAAAAAAAQAgAAAAJwEAAGRy&#10;cy9lMm9Eb2MueG1sUEsFBgAAAAAGAAYAWQEAAJoFAAAAAA==&#10;">
                <v:fill on="f" focussize="0,0"/>
                <v:stroke weight="4.5pt" color="#FF0000" linestyle="thinThick" joinstyle="round"/>
                <v:imagedata o:title=""/>
                <o:lock v:ext="edit" aspectratio="f"/>
              </v:line>
            </w:pict>
          </mc:Fallback>
        </mc:AlternateContent>
      </w:r>
      <w:r>
        <w:rPr>
          <w:rFonts w:hint="eastAsia" w:ascii="黑体" w:hAnsi="黑体" w:eastAsia="黑体" w:cs="黑体"/>
          <w:color w:val="000000"/>
          <w:sz w:val="32"/>
          <w:szCs w:val="32"/>
        </w:rPr>
        <w:t>公开方式：</w:t>
      </w:r>
      <w:r>
        <w:rPr>
          <w:rFonts w:hint="eastAsia" w:ascii="仿宋_GB2312" w:hAnsi="仿宋_GB2312" w:eastAsia="仿宋_GB2312" w:cs="仿宋_GB2312"/>
          <w:color w:val="000000"/>
          <w:sz w:val="32"/>
          <w:szCs w:val="32"/>
        </w:rPr>
        <w:t xml:space="preserve">主动公开        </w:t>
      </w:r>
    </w:p>
    <w:p>
      <w:pPr>
        <w:adjustRightInd w:val="0"/>
        <w:snapToGrid w:val="0"/>
        <w:spacing w:before="292" w:beforeLines="50" w:afterLines="0" w:line="560" w:lineRule="exact"/>
        <w:ind w:firstLine="276" w:firstLineChars="100"/>
      </w:pPr>
      <w:r>
        <w:rPr>
          <w:rFonts w:hint="eastAsia" w:ascii="仿宋_GB2312" w:hAnsi="仿宋_GB2312" w:eastAsia="仿宋_GB2312" w:cs="仿宋_GB2312"/>
          <w:color w:val="000000"/>
          <w:sz w:val="28"/>
          <w:szCs w:val="28"/>
        </w:rPr>
        <w:t>抄送：惠州市生态环境局博罗分局，惠州市亿蓝环境科技有限公司。</w:t>
      </w:r>
      <w:r>
        <w:rPr>
          <w:rFonts w:hint="default" w:eastAsia="仿宋_GB2312"/>
          <w:color w:val="000000"/>
          <w:sz w:val="20"/>
          <w:szCs w:val="24"/>
        </w:rPr>
        <mc:AlternateContent>
          <mc:Choice Requires="wps">
            <w:drawing>
              <wp:anchor distT="0" distB="0" distL="114300" distR="114300" simplePos="0" relativeHeight="251660288" behindDoc="0" locked="0" layoutInCell="1" allowOverlap="1">
                <wp:simplePos x="0" y="0"/>
                <wp:positionH relativeFrom="column">
                  <wp:posOffset>669290</wp:posOffset>
                </wp:positionH>
                <wp:positionV relativeFrom="paragraph">
                  <wp:posOffset>9770110</wp:posOffset>
                </wp:positionV>
                <wp:extent cx="6155690" cy="0"/>
                <wp:effectExtent l="0" t="28575" r="16510" b="28575"/>
                <wp:wrapNone/>
                <wp:docPr id="3" name="直线 3"/>
                <wp:cNvGraphicFramePr/>
                <a:graphic xmlns:a="http://schemas.openxmlformats.org/drawingml/2006/main">
                  <a:graphicData uri="http://schemas.microsoft.com/office/word/2010/wordprocessingShape">
                    <wps:wsp>
                      <wps:cNvCnPr/>
                      <wps:spPr>
                        <a:xfrm>
                          <a:off x="0" y="0"/>
                          <a:ext cx="6155690" cy="0"/>
                        </a:xfrm>
                        <a:prstGeom prst="line">
                          <a:avLst/>
                        </a:prstGeom>
                        <a:ln w="57150" cap="flat" cmpd="thinThick">
                          <a:solidFill>
                            <a:srgbClr val="FF0000"/>
                          </a:solidFill>
                          <a:prstDash val="solid"/>
                          <a:round/>
                          <a:headEnd type="none" w="med" len="med"/>
                          <a:tailEnd type="none" w="med" len="med"/>
                        </a:ln>
                      </wps:spPr>
                      <wps:bodyPr upright="1"/>
                    </wps:wsp>
                  </a:graphicData>
                </a:graphic>
              </wp:anchor>
            </w:drawing>
          </mc:Choice>
          <mc:Fallback>
            <w:pict>
              <v:line id="直线 3" o:spid="_x0000_s1026" o:spt="20" style="position:absolute;left:0pt;margin-left:52.7pt;margin-top:769.3pt;height:0pt;width:484.7pt;z-index:251660288;mso-width-relative:page;mso-height-relative:page;" filled="f" stroked="t" coordsize="21600,21600" o:gfxdata="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904idgAAAAOAQAADwAAAAAAAAABACAAAAAiAAAAZHJzL2Rvd25yZXYueG1sUEsB&#10;AhQAFAAAAAgAh07iQJcgeMT1AQAA7AMAAA4AAAAAAAAAAQAgAAAAJwEAAGRycy9lMm9Eb2MueG1s&#10;UEsFBgAAAAAGAAYAWQEAAI4FAAAAAA==&#10;">
                <v:fill on="f" focussize="0,0"/>
                <v:stroke weight="4.5pt" color="#FF0000" linestyle="thinThick" joinstyle="round"/>
                <v:imagedata o:title=""/>
                <o:lock v:ext="edit" aspectratio="f"/>
              </v:line>
            </w:pict>
          </mc:Fallback>
        </mc:AlternateContent>
      </w:r>
      <w:bookmarkEnd w:id="0"/>
    </w:p>
    <w:sectPr>
      <w:footerReference r:id="rId6" w:type="first"/>
      <w:footerReference r:id="rId5" w:type="default"/>
      <w:pgSz w:w="11906" w:h="16838"/>
      <w:pgMar w:top="2098" w:right="1474" w:bottom="1984" w:left="1587" w:header="851" w:footer="1587" w:gutter="0"/>
      <w:lnNumType w:countBy="0" w:distance="360"/>
      <w:cols w:space="720" w:num="1"/>
      <w:titlePg/>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T Song">
    <w:altName w:val="宋体"/>
    <w:panose1 w:val="00000000000000000000"/>
    <w:charset w:val="86"/>
    <w:family w:val="roma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text" w:hAnchor="margin" w:xAlign="outside" w:y="1"/>
      <w:spacing w:beforeLines="0" w:afterLines="0"/>
      <w:rPr>
        <w:rStyle w:val="13"/>
        <w:rFonts w:hint="default" w:ascii="Calibri" w:hAnsi="Calibri"/>
        <w:sz w:val="28"/>
        <w:szCs w:val="18"/>
      </w:rPr>
    </w:pPr>
    <w:r>
      <w:rPr>
        <w:rStyle w:val="13"/>
        <w:rFonts w:hint="eastAsia" w:ascii="宋体" w:hAnsi="宋体" w:cs="宋体"/>
        <w:sz w:val="28"/>
        <w:szCs w:val="18"/>
      </w:rPr>
      <w:t xml:space="preserve">— </w:t>
    </w:r>
    <w:r>
      <w:rPr>
        <w:rStyle w:val="13"/>
        <w:rFonts w:hint="eastAsia" w:ascii="宋体" w:hAnsi="宋体" w:cs="宋体"/>
        <w:sz w:val="28"/>
        <w:szCs w:val="18"/>
      </w:rPr>
      <w:fldChar w:fldCharType="begin"/>
    </w:r>
    <w:r>
      <w:rPr>
        <w:rStyle w:val="13"/>
        <w:rFonts w:hint="eastAsia" w:ascii="宋体" w:hAnsi="宋体" w:cs="宋体"/>
        <w:sz w:val="28"/>
        <w:szCs w:val="18"/>
      </w:rPr>
      <w:instrText xml:space="preserve">PAGE  </w:instrText>
    </w:r>
    <w:r>
      <w:rPr>
        <w:rStyle w:val="13"/>
        <w:rFonts w:hint="eastAsia" w:ascii="宋体" w:hAnsi="宋体" w:cs="宋体"/>
        <w:sz w:val="28"/>
        <w:szCs w:val="18"/>
      </w:rPr>
      <w:fldChar w:fldCharType="separate"/>
    </w:r>
    <w:r>
      <w:rPr>
        <w:rStyle w:val="13"/>
        <w:rFonts w:hint="eastAsia" w:ascii="宋体" w:hAnsi="宋体" w:cs="宋体"/>
        <w:sz w:val="28"/>
        <w:szCs w:val="18"/>
      </w:rPr>
      <w:t>7</w:t>
    </w:r>
    <w:r>
      <w:rPr>
        <w:rStyle w:val="13"/>
        <w:rFonts w:hint="eastAsia" w:ascii="宋体" w:hAnsi="宋体" w:cs="宋体"/>
        <w:sz w:val="28"/>
        <w:szCs w:val="18"/>
      </w:rPr>
      <w:fldChar w:fldCharType="end"/>
    </w:r>
    <w:r>
      <w:rPr>
        <w:rStyle w:val="13"/>
        <w:rFonts w:hint="eastAsia" w:ascii="宋体" w:hAnsi="宋体" w:cs="宋体"/>
        <w:sz w:val="28"/>
        <w:szCs w:val="18"/>
      </w:rPr>
      <w:t xml:space="preserve"> —</w:t>
    </w:r>
  </w:p>
  <w:p>
    <w:pPr>
      <w:pStyle w:val="10"/>
      <w:spacing w:beforeLines="0" w:afterLines="0"/>
      <w:ind w:right="360" w:firstLine="360"/>
      <w:rPr>
        <w:rFonts w:hint="default"/>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Lines="0" w:afterLines="0"/>
      <w:ind w:right="360"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EFD89"/>
    <w:multiLevelType w:val="multilevel"/>
    <w:tmpl w:val="81BEFD89"/>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F593889"/>
    <w:rsid w:val="57984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paragraph" w:styleId="8">
    <w:name w:val="heading 4"/>
    <w:basedOn w:val="1"/>
    <w:next w:val="1"/>
    <w:unhideWhenUsed/>
    <w:qFormat/>
    <w:uiPriority w:val="0"/>
    <w:pPr>
      <w:keepNext/>
      <w:keepLines/>
      <w:spacing w:before="280" w:beforeLines="0" w:after="290" w:afterLines="0" w:line="372" w:lineRule="auto"/>
      <w:outlineLvl w:val="3"/>
    </w:pPr>
    <w:rPr>
      <w:rFonts w:hint="default" w:ascii="Arial" w:hAnsi="Arial" w:eastAsia="黑体"/>
      <w:b/>
      <w:sz w:val="28"/>
      <w:szCs w:val="24"/>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basedOn w:val="3"/>
    <w:next w:val="6"/>
    <w:unhideWhenUsed/>
    <w:qFormat/>
    <w:uiPriority w:val="0"/>
    <w:pPr>
      <w:autoSpaceDE w:val="0"/>
      <w:autoSpaceDN w:val="0"/>
      <w:adjustRightInd w:val="0"/>
      <w:spacing w:beforeLines="0" w:afterLines="0"/>
    </w:pPr>
    <w:rPr>
      <w:rFonts w:hint="eastAsia" w:ascii="ST Song" w:hAnsi="Times New Roman" w:eastAsia="ST Song" w:cs="ST Song"/>
      <w:color w:val="000000"/>
      <w:sz w:val="24"/>
      <w:szCs w:val="24"/>
    </w:rPr>
  </w:style>
  <w:style w:type="paragraph" w:customStyle="1" w:styleId="3">
    <w:name w:val="纯文本1"/>
    <w:basedOn w:val="1"/>
    <w:next w:val="4"/>
    <w:unhideWhenUsed/>
    <w:qFormat/>
    <w:uiPriority w:val="0"/>
    <w:pPr>
      <w:spacing w:beforeLines="0" w:afterLines="0"/>
    </w:pPr>
    <w:rPr>
      <w:rFonts w:hint="eastAsia" w:ascii="宋体" w:hAnsi="Courier New"/>
      <w:sz w:val="32"/>
      <w:szCs w:val="22"/>
    </w:rPr>
  </w:style>
  <w:style w:type="paragraph" w:styleId="4">
    <w:name w:val="Plain Text"/>
    <w:basedOn w:val="1"/>
    <w:next w:val="5"/>
    <w:unhideWhenUsed/>
    <w:qFormat/>
    <w:uiPriority w:val="99"/>
    <w:pPr>
      <w:spacing w:beforeLines="0" w:afterLines="0"/>
    </w:pPr>
    <w:rPr>
      <w:rFonts w:hint="eastAsia" w:ascii="等线" w:hAnsi="Courier New" w:eastAsia="等线"/>
      <w:color w:val="auto"/>
      <w:kern w:val="0"/>
      <w:sz w:val="20"/>
      <w:szCs w:val="20"/>
    </w:rPr>
  </w:style>
  <w:style w:type="paragraph" w:styleId="5">
    <w:name w:val="toc 1"/>
    <w:basedOn w:val="1"/>
    <w:next w:val="1"/>
    <w:unhideWhenUsed/>
    <w:qFormat/>
    <w:uiPriority w:val="99"/>
    <w:pPr>
      <w:widowControl/>
      <w:spacing w:beforeLines="0" w:afterLines="0" w:line="360" w:lineRule="auto"/>
      <w:jc w:val="left"/>
    </w:pPr>
    <w:rPr>
      <w:rFonts w:hint="default" w:ascii="Calibri" w:hAnsi="Calibri"/>
      <w:b/>
      <w:sz w:val="28"/>
      <w:szCs w:val="22"/>
    </w:rPr>
  </w:style>
  <w:style w:type="paragraph" w:styleId="6">
    <w:name w:val="Body Text First Indent 2"/>
    <w:basedOn w:val="7"/>
    <w:unhideWhenUsed/>
    <w:qFormat/>
    <w:uiPriority w:val="99"/>
    <w:pPr>
      <w:spacing w:beforeLines="0" w:afterLines="0"/>
      <w:ind w:firstLine="420" w:firstLineChars="200"/>
    </w:pPr>
    <w:rPr>
      <w:rFonts w:hint="default"/>
      <w:sz w:val="32"/>
      <w:szCs w:val="24"/>
    </w:rPr>
  </w:style>
  <w:style w:type="paragraph" w:styleId="7">
    <w:name w:val="Body Text Indent"/>
    <w:basedOn w:val="1"/>
    <w:unhideWhenUsed/>
    <w:qFormat/>
    <w:uiPriority w:val="0"/>
    <w:pPr>
      <w:spacing w:beforeLines="0" w:afterLines="0"/>
      <w:ind w:firstLine="480" w:firstLineChars="168"/>
    </w:pPr>
    <w:rPr>
      <w:rFonts w:hint="default"/>
      <w:caps/>
      <w:sz w:val="32"/>
      <w:szCs w:val="24"/>
    </w:rPr>
  </w:style>
  <w:style w:type="paragraph" w:styleId="9">
    <w:name w:val="Normal Indent"/>
    <w:basedOn w:val="1"/>
    <w:next w:val="8"/>
    <w:unhideWhenUsed/>
    <w:qFormat/>
    <w:uiPriority w:val="0"/>
    <w:pPr>
      <w:spacing w:beforeLines="0" w:afterLines="0"/>
      <w:ind w:firstLine="420" w:firstLineChars="200"/>
    </w:pPr>
    <w:rPr>
      <w:rFonts w:hint="default"/>
      <w:sz w:val="32"/>
      <w:szCs w:val="20"/>
    </w:rPr>
  </w:style>
  <w:style w:type="paragraph" w:styleId="10">
    <w:name w:val="footer"/>
    <w:basedOn w:val="1"/>
    <w:unhideWhenUsed/>
    <w:qFormat/>
    <w:uiPriority w:val="0"/>
    <w:pPr>
      <w:tabs>
        <w:tab w:val="center" w:pos="4153"/>
        <w:tab w:val="right" w:pos="8306"/>
      </w:tabs>
      <w:snapToGrid w:val="0"/>
      <w:spacing w:beforeLines="0" w:afterLines="0"/>
      <w:jc w:val="left"/>
    </w:pPr>
    <w:rPr>
      <w:rFonts w:hint="default"/>
      <w:sz w:val="18"/>
      <w:szCs w:val="18"/>
    </w:rPr>
  </w:style>
  <w:style w:type="character" w:styleId="13">
    <w:name w:val="page number"/>
    <w:basedOn w:val="12"/>
    <w:unhideWhenUsed/>
    <w:qFormat/>
    <w:uiPriority w:val="0"/>
    <w:rPr>
      <w:rFonts w:hint="default"/>
      <w:sz w:val="24"/>
      <w:szCs w:val="24"/>
    </w:rPr>
  </w:style>
  <w:style w:type="paragraph" w:customStyle="1" w:styleId="14">
    <w:name w:val="样式 正文文本缩进 + 行距: 1.5 倍行距"/>
    <w:basedOn w:val="1"/>
    <w:unhideWhenUsed/>
    <w:qFormat/>
    <w:uiPriority w:val="0"/>
    <w:pPr>
      <w:spacing w:beforeLines="0" w:after="120" w:afterLines="0" w:line="360" w:lineRule="auto"/>
      <w:ind w:left="90" w:leftChars="32" w:firstLine="560" w:firstLineChars="200"/>
    </w:pPr>
    <w:rPr>
      <w:rFonts w:hint="default" w:cs="宋体"/>
      <w:sz w:val="3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2025-12-24T07:43:00Z</dcterms:created>
  <dc:creator>黎颖治</dc:creator>
  <cp:lastModifiedBy>黎颖治</cp:lastModifiedBy>
  <cp:lastPrinted>2025-12-24T09:23:35Z</cp:lastPrinted>
  <dcterms:modified xsi:type="dcterms:W3CDTF">2025-12-24T09:41:21Z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389D2B4C48EF4593B6736CDD500C8D17</vt:lpwstr>
  </property>
</Properties>
</file>