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F40A5">
      <w:pPr>
        <w:widowControl/>
        <w:spacing w:before="0" w:after="0" w:line="240" w:lineRule="auto"/>
        <w:ind w:firstLine="0" w:firstLineChars="0"/>
        <w:jc w:val="center"/>
        <w:rPr>
          <w:rFonts w:hint="eastAsia" w:ascii="Times New Roman" w:hAnsi="Times New Roman" w:eastAsia="仿宋_GB2312" w:cs="仿宋_GB2312"/>
          <w:b/>
          <w:bCs/>
          <w:color w:val="auto"/>
          <w:sz w:val="32"/>
          <w:szCs w:val="32"/>
        </w:rPr>
      </w:pPr>
      <w:bookmarkStart w:id="0" w:name="_Toc79948066"/>
    </w:p>
    <w:p w14:paraId="6ADE30A0">
      <w:pPr>
        <w:widowControl/>
        <w:spacing w:before="0" w:after="0" w:line="240" w:lineRule="auto"/>
        <w:ind w:firstLine="0" w:firstLineChars="0"/>
        <w:jc w:val="center"/>
        <w:rPr>
          <w:rFonts w:hint="eastAsia" w:ascii="Times New Roman" w:hAnsi="Times New Roman" w:eastAsia="仿宋_GB2312" w:cs="仿宋_GB2312"/>
          <w:b/>
          <w:bCs/>
          <w:color w:val="auto"/>
          <w:sz w:val="32"/>
          <w:szCs w:val="32"/>
        </w:rPr>
      </w:pPr>
    </w:p>
    <w:p w14:paraId="36191446">
      <w:pPr>
        <w:widowControl/>
        <w:spacing w:before="0" w:after="0" w:line="240" w:lineRule="auto"/>
        <w:ind w:firstLine="0" w:firstLineChars="0"/>
        <w:jc w:val="center"/>
        <w:rPr>
          <w:rFonts w:hint="eastAsia" w:ascii="Times New Roman" w:hAnsi="Times New Roman" w:eastAsia="仿宋_GB2312" w:cs="仿宋_GB2312"/>
          <w:b/>
          <w:bCs/>
          <w:color w:val="auto"/>
          <w:sz w:val="32"/>
          <w:szCs w:val="32"/>
        </w:rPr>
      </w:pPr>
    </w:p>
    <w:p w14:paraId="476FFAB0">
      <w:pPr>
        <w:widowControl/>
        <w:spacing w:before="0" w:after="0" w:line="240" w:lineRule="auto"/>
        <w:ind w:firstLine="0" w:firstLineChars="0"/>
        <w:jc w:val="center"/>
        <w:rPr>
          <w:rFonts w:hint="eastAsia" w:ascii="Times New Roman" w:hAnsi="Times New Roman" w:eastAsia="仿宋_GB2312" w:cs="仿宋_GB2312"/>
          <w:b/>
          <w:bCs/>
          <w:color w:val="auto"/>
          <w:sz w:val="32"/>
          <w:szCs w:val="32"/>
        </w:rPr>
      </w:pPr>
    </w:p>
    <w:p w14:paraId="0AD193C6">
      <w:pPr>
        <w:widowControl/>
        <w:spacing w:before="0" w:after="0" w:line="240" w:lineRule="auto"/>
        <w:ind w:firstLine="0" w:firstLineChars="0"/>
        <w:jc w:val="center"/>
        <w:rPr>
          <w:rFonts w:hint="eastAsia" w:ascii="Times New Roman" w:hAnsi="Times New Roman" w:eastAsia="仿宋_GB2312" w:cs="仿宋_GB2312"/>
          <w:b/>
          <w:bCs/>
          <w:color w:val="auto"/>
          <w:sz w:val="32"/>
          <w:szCs w:val="32"/>
        </w:rPr>
      </w:pPr>
    </w:p>
    <w:p w14:paraId="18DF775C">
      <w:pPr>
        <w:widowControl/>
        <w:spacing w:before="0" w:after="0" w:line="240" w:lineRule="auto"/>
        <w:ind w:firstLine="0" w:firstLineChars="0"/>
        <w:jc w:val="center"/>
        <w:rPr>
          <w:rFonts w:hint="eastAsia" w:ascii="Times New Roman" w:hAnsi="Times New Roman" w:eastAsia="仿宋_GB2312" w:cs="仿宋_GB2312"/>
          <w:b/>
          <w:bCs/>
          <w:color w:val="auto"/>
          <w:sz w:val="32"/>
          <w:szCs w:val="32"/>
        </w:rPr>
      </w:pPr>
    </w:p>
    <w:p w14:paraId="5CEE6E20">
      <w:pPr>
        <w:widowControl/>
        <w:spacing w:before="0" w:after="0" w:line="240" w:lineRule="auto"/>
        <w:ind w:firstLine="0" w:firstLineChars="0"/>
        <w:jc w:val="center"/>
        <w:rPr>
          <w:rFonts w:hint="eastAsia" w:ascii="Times New Roman" w:hAnsi="Times New Roman" w:eastAsia="仿宋_GB2312" w:cs="仿宋_GB2312"/>
          <w:b/>
          <w:bCs/>
          <w:color w:val="auto"/>
          <w:sz w:val="52"/>
          <w:szCs w:val="52"/>
        </w:rPr>
      </w:pPr>
      <w:r>
        <w:rPr>
          <w:rFonts w:hint="eastAsia" w:ascii="Times New Roman" w:hAnsi="Times New Roman" w:eastAsia="仿宋_GB2312" w:cs="仿宋_GB2312"/>
          <w:b/>
          <w:bCs/>
          <w:color w:val="auto"/>
          <w:sz w:val="52"/>
          <w:szCs w:val="52"/>
          <w:lang w:eastAsia="zh-CN"/>
        </w:rPr>
        <w:t>惠州市博罗县202</w:t>
      </w:r>
      <w:r>
        <w:rPr>
          <w:rFonts w:hint="eastAsia" w:ascii="Times New Roman" w:hAnsi="Times New Roman" w:eastAsia="仿宋_GB2312" w:cs="仿宋_GB2312"/>
          <w:b/>
          <w:bCs/>
          <w:color w:val="auto"/>
          <w:sz w:val="52"/>
          <w:szCs w:val="52"/>
          <w:lang w:val="en-US" w:eastAsia="zh-CN"/>
        </w:rPr>
        <w:t>5</w:t>
      </w:r>
      <w:r>
        <w:rPr>
          <w:rFonts w:hint="eastAsia" w:ascii="Times New Roman" w:hAnsi="Times New Roman" w:eastAsia="仿宋_GB2312" w:cs="仿宋_GB2312"/>
          <w:b/>
          <w:bCs/>
          <w:color w:val="auto"/>
          <w:sz w:val="52"/>
          <w:szCs w:val="52"/>
          <w:lang w:eastAsia="zh-CN"/>
        </w:rPr>
        <w:t>年度</w:t>
      </w:r>
      <w:r>
        <w:rPr>
          <w:rFonts w:hint="eastAsia" w:ascii="Times New Roman" w:hAnsi="Times New Roman" w:eastAsia="仿宋_GB2312" w:cs="仿宋_GB2312"/>
          <w:b/>
          <w:bCs/>
          <w:color w:val="auto"/>
          <w:sz w:val="52"/>
          <w:szCs w:val="52"/>
        </w:rPr>
        <w:t>土地征收</w:t>
      </w:r>
    </w:p>
    <w:p w14:paraId="7B9A3A0B">
      <w:pPr>
        <w:widowControl/>
        <w:spacing w:before="0" w:after="0" w:line="240" w:lineRule="auto"/>
        <w:ind w:firstLine="0" w:firstLineChars="0"/>
        <w:jc w:val="center"/>
        <w:rPr>
          <w:rFonts w:hint="eastAsia" w:ascii="Times New Roman" w:hAnsi="Times New Roman" w:eastAsia="仿宋_GB2312" w:cs="仿宋_GB2312"/>
          <w:b/>
          <w:bCs/>
          <w:color w:val="auto"/>
          <w:sz w:val="52"/>
          <w:szCs w:val="52"/>
        </w:rPr>
      </w:pPr>
      <w:r>
        <w:rPr>
          <w:rFonts w:hint="eastAsia" w:ascii="Times New Roman" w:hAnsi="Times New Roman" w:eastAsia="仿宋_GB2312" w:cs="仿宋_GB2312"/>
          <w:b/>
          <w:bCs/>
          <w:color w:val="auto"/>
          <w:sz w:val="52"/>
          <w:szCs w:val="52"/>
        </w:rPr>
        <w:t>成片开发方案（</w:t>
      </w:r>
      <w:r>
        <w:rPr>
          <w:rFonts w:hint="eastAsia" w:ascii="Times New Roman" w:hAnsi="Times New Roman" w:eastAsia="仿宋_GB2312" w:cs="仿宋_GB2312"/>
          <w:b/>
          <w:bCs/>
          <w:color w:val="auto"/>
          <w:sz w:val="52"/>
          <w:szCs w:val="52"/>
          <w:lang w:eastAsia="zh-CN"/>
        </w:rPr>
        <w:t>第五批</w:t>
      </w:r>
      <w:r>
        <w:rPr>
          <w:rFonts w:hint="eastAsia" w:ascii="Times New Roman" w:hAnsi="Times New Roman" w:eastAsia="仿宋_GB2312" w:cs="仿宋_GB2312"/>
          <w:b/>
          <w:bCs/>
          <w:color w:val="auto"/>
          <w:sz w:val="52"/>
          <w:szCs w:val="52"/>
        </w:rPr>
        <w:t>）</w:t>
      </w:r>
    </w:p>
    <w:p w14:paraId="1FCD3F58">
      <w:pPr>
        <w:widowControl/>
        <w:spacing w:before="0" w:after="0" w:line="240" w:lineRule="auto"/>
        <w:ind w:firstLine="0" w:firstLineChars="0"/>
        <w:jc w:val="center"/>
        <w:rPr>
          <w:rFonts w:hint="eastAsia" w:ascii="Times New Roman" w:hAnsi="Times New Roman" w:eastAsia="仿宋_GB2312" w:cs="仿宋_GB2312"/>
          <w:b/>
          <w:bCs/>
          <w:color w:val="auto"/>
          <w:sz w:val="40"/>
          <w:szCs w:val="40"/>
          <w:lang w:val="en-US" w:eastAsia="zh-CN"/>
        </w:rPr>
      </w:pPr>
      <w:r>
        <w:rPr>
          <w:rFonts w:hint="eastAsia" w:ascii="Times New Roman" w:hAnsi="Times New Roman" w:eastAsia="仿宋_GB2312" w:cs="仿宋_GB2312"/>
          <w:b/>
          <w:bCs/>
          <w:color w:val="auto"/>
          <w:sz w:val="40"/>
          <w:szCs w:val="40"/>
          <w:lang w:eastAsia="zh-CN"/>
        </w:rPr>
        <w:t>（</w:t>
      </w:r>
      <w:r>
        <w:rPr>
          <w:rFonts w:hint="eastAsia" w:ascii="Times New Roman" w:hAnsi="Times New Roman" w:eastAsia="仿宋_GB2312" w:cs="仿宋_GB2312"/>
          <w:b/>
          <w:bCs/>
          <w:color w:val="auto"/>
          <w:sz w:val="40"/>
          <w:szCs w:val="40"/>
          <w:lang w:val="en-US" w:eastAsia="zh-CN"/>
        </w:rPr>
        <w:t>公示</w:t>
      </w:r>
      <w:r>
        <w:rPr>
          <w:rFonts w:hint="eastAsia" w:ascii="Times New Roman" w:hAnsi="Times New Roman" w:eastAsia="仿宋_GB2312" w:cs="仿宋_GB2312"/>
          <w:b/>
          <w:bCs/>
          <w:color w:val="auto"/>
          <w:sz w:val="40"/>
          <w:szCs w:val="40"/>
          <w:lang w:val="en-US" w:eastAsia="zh-CN"/>
        </w:rPr>
        <w:t>稿）</w:t>
      </w:r>
    </w:p>
    <w:p w14:paraId="3CDCCC34">
      <w:pPr>
        <w:widowControl/>
        <w:spacing w:before="0" w:after="0" w:line="240" w:lineRule="auto"/>
        <w:ind w:firstLine="0" w:firstLineChars="0"/>
        <w:jc w:val="center"/>
        <w:rPr>
          <w:rFonts w:hint="eastAsia" w:ascii="Times New Roman" w:hAnsi="Times New Roman" w:eastAsia="仿宋_GB2312" w:cs="仿宋_GB2312"/>
          <w:b/>
          <w:bCs/>
          <w:color w:val="auto"/>
          <w:sz w:val="44"/>
          <w:szCs w:val="44"/>
        </w:rPr>
      </w:pPr>
    </w:p>
    <w:p w14:paraId="173629A1">
      <w:pPr>
        <w:widowControl/>
        <w:spacing w:before="0" w:after="0" w:line="240" w:lineRule="auto"/>
        <w:ind w:firstLine="0" w:firstLineChars="0"/>
        <w:jc w:val="center"/>
        <w:rPr>
          <w:rFonts w:hint="eastAsia" w:ascii="Times New Roman" w:hAnsi="Times New Roman" w:eastAsia="仿宋_GB2312" w:cs="仿宋_GB2312"/>
          <w:b/>
          <w:bCs/>
          <w:color w:val="auto"/>
          <w:sz w:val="44"/>
          <w:szCs w:val="44"/>
        </w:rPr>
      </w:pPr>
    </w:p>
    <w:p w14:paraId="11907BC0">
      <w:pPr>
        <w:widowControl/>
        <w:spacing w:before="0" w:after="0" w:line="240" w:lineRule="auto"/>
        <w:ind w:firstLine="0" w:firstLineChars="0"/>
        <w:jc w:val="center"/>
        <w:rPr>
          <w:rFonts w:hint="eastAsia" w:ascii="Times New Roman" w:hAnsi="Times New Roman" w:eastAsia="仿宋_GB2312" w:cs="仿宋_GB2312"/>
          <w:b/>
          <w:bCs/>
          <w:color w:val="auto"/>
          <w:sz w:val="44"/>
          <w:szCs w:val="44"/>
        </w:rPr>
      </w:pPr>
    </w:p>
    <w:p w14:paraId="32AB81B5">
      <w:pPr>
        <w:widowControl/>
        <w:spacing w:before="0" w:after="0" w:line="240" w:lineRule="auto"/>
        <w:ind w:firstLine="0" w:firstLineChars="0"/>
        <w:jc w:val="center"/>
        <w:rPr>
          <w:rFonts w:hint="eastAsia" w:ascii="Times New Roman" w:hAnsi="Times New Roman" w:eastAsia="仿宋_GB2312" w:cs="仿宋_GB2312"/>
          <w:b/>
          <w:bCs/>
          <w:color w:val="auto"/>
          <w:sz w:val="44"/>
          <w:szCs w:val="44"/>
        </w:rPr>
      </w:pPr>
    </w:p>
    <w:p w14:paraId="350BC0A8">
      <w:pPr>
        <w:widowControl/>
        <w:spacing w:before="0" w:after="0" w:line="240" w:lineRule="auto"/>
        <w:ind w:firstLine="0" w:firstLineChars="0"/>
        <w:jc w:val="center"/>
        <w:rPr>
          <w:rFonts w:hint="eastAsia" w:ascii="Times New Roman" w:hAnsi="Times New Roman" w:eastAsia="仿宋_GB2312" w:cs="仿宋_GB2312"/>
          <w:b/>
          <w:bCs/>
          <w:color w:val="auto"/>
          <w:sz w:val="44"/>
          <w:szCs w:val="44"/>
        </w:rPr>
      </w:pPr>
    </w:p>
    <w:p w14:paraId="0606650D">
      <w:pPr>
        <w:widowControl/>
        <w:spacing w:before="0" w:after="0" w:line="240" w:lineRule="auto"/>
        <w:ind w:firstLine="0" w:firstLineChars="0"/>
        <w:jc w:val="center"/>
        <w:rPr>
          <w:rFonts w:hint="eastAsia" w:ascii="Times New Roman" w:hAnsi="Times New Roman" w:eastAsia="仿宋_GB2312" w:cs="仿宋_GB2312"/>
          <w:b/>
          <w:bCs/>
          <w:color w:val="auto"/>
          <w:sz w:val="44"/>
          <w:szCs w:val="44"/>
        </w:rPr>
      </w:pPr>
    </w:p>
    <w:p w14:paraId="51A643FF">
      <w:pPr>
        <w:widowControl/>
        <w:spacing w:before="0" w:after="0" w:line="240" w:lineRule="auto"/>
        <w:ind w:firstLine="0" w:firstLineChars="0"/>
        <w:jc w:val="center"/>
        <w:rPr>
          <w:rFonts w:hint="eastAsia" w:ascii="Times New Roman" w:hAnsi="Times New Roman" w:eastAsia="仿宋_GB2312" w:cs="仿宋_GB2312"/>
          <w:b/>
          <w:bCs/>
          <w:color w:val="auto"/>
          <w:sz w:val="44"/>
          <w:szCs w:val="44"/>
        </w:rPr>
      </w:pPr>
    </w:p>
    <w:p w14:paraId="5A42C47E">
      <w:pPr>
        <w:widowControl/>
        <w:spacing w:before="0" w:after="0" w:line="240" w:lineRule="auto"/>
        <w:ind w:firstLine="0" w:firstLineChars="0"/>
        <w:jc w:val="center"/>
        <w:rPr>
          <w:rFonts w:hint="eastAsia" w:ascii="Times New Roman" w:hAnsi="Times New Roman" w:eastAsia="仿宋_GB2312" w:cs="仿宋_GB2312"/>
          <w:b/>
          <w:bCs/>
          <w:color w:val="auto"/>
          <w:sz w:val="44"/>
          <w:szCs w:val="44"/>
        </w:rPr>
      </w:pPr>
    </w:p>
    <w:p w14:paraId="28E95797">
      <w:pPr>
        <w:widowControl/>
        <w:spacing w:before="0" w:after="0" w:line="240" w:lineRule="auto"/>
        <w:ind w:firstLine="0" w:firstLineChars="0"/>
        <w:jc w:val="center"/>
        <w:rPr>
          <w:rFonts w:hint="eastAsia" w:ascii="Times New Roman" w:hAnsi="Times New Roman" w:eastAsia="仿宋_GB2312" w:cs="仿宋_GB2312"/>
          <w:b/>
          <w:bCs/>
          <w:color w:val="auto"/>
          <w:sz w:val="44"/>
          <w:szCs w:val="44"/>
        </w:rPr>
      </w:pPr>
    </w:p>
    <w:p w14:paraId="2400B220">
      <w:pPr>
        <w:widowControl/>
        <w:spacing w:before="0" w:after="0" w:line="240" w:lineRule="auto"/>
        <w:ind w:firstLine="0" w:firstLineChars="0"/>
        <w:jc w:val="both"/>
        <w:rPr>
          <w:rFonts w:hint="eastAsia" w:ascii="Times New Roman" w:hAnsi="Times New Roman" w:eastAsia="仿宋_GB2312" w:cs="仿宋_GB2312"/>
          <w:b/>
          <w:bCs/>
          <w:color w:val="auto"/>
          <w:sz w:val="44"/>
          <w:szCs w:val="44"/>
        </w:rPr>
      </w:pPr>
    </w:p>
    <w:p w14:paraId="6D12EDC5">
      <w:pPr>
        <w:widowControl/>
        <w:spacing w:before="0" w:after="0" w:line="240" w:lineRule="auto"/>
        <w:ind w:firstLine="0" w:firstLineChars="0"/>
        <w:jc w:val="center"/>
        <w:rPr>
          <w:rFonts w:hint="eastAsia" w:ascii="Times New Roman" w:hAnsi="Times New Roman" w:eastAsia="仿宋_GB2312" w:cs="仿宋_GB2312"/>
          <w:b/>
          <w:bCs/>
          <w:color w:val="auto"/>
          <w:sz w:val="32"/>
          <w:szCs w:val="32"/>
        </w:rPr>
      </w:pPr>
      <w:r>
        <w:rPr>
          <w:rFonts w:hint="eastAsia" w:ascii="Times New Roman" w:hAnsi="Times New Roman" w:eastAsia="仿宋_GB2312" w:cs="仿宋_GB2312"/>
          <w:b/>
          <w:bCs/>
          <w:color w:val="auto"/>
          <w:sz w:val="32"/>
          <w:szCs w:val="32"/>
          <w:lang w:eastAsia="zh-CN"/>
        </w:rPr>
        <w:t>惠州市博罗县</w:t>
      </w:r>
      <w:r>
        <w:rPr>
          <w:rFonts w:hint="eastAsia" w:ascii="Times New Roman" w:hAnsi="Times New Roman" w:eastAsia="仿宋_GB2312" w:cs="仿宋_GB2312"/>
          <w:b/>
          <w:bCs/>
          <w:color w:val="auto"/>
          <w:sz w:val="32"/>
          <w:szCs w:val="32"/>
        </w:rPr>
        <w:t>人民政府</w:t>
      </w:r>
    </w:p>
    <w:p w14:paraId="741BE7F9">
      <w:pPr>
        <w:widowControl/>
        <w:spacing w:before="0" w:after="0" w:line="240" w:lineRule="auto"/>
        <w:ind w:firstLine="0" w:firstLineChars="0"/>
        <w:jc w:val="center"/>
        <w:rPr>
          <w:rFonts w:hint="eastAsia" w:ascii="Times New Roman" w:hAnsi="Times New Roman" w:eastAsia="仿宋_GB2312" w:cs="仿宋_GB2312"/>
          <w:b/>
          <w:bCs/>
          <w:color w:val="auto"/>
          <w:sz w:val="32"/>
          <w:szCs w:val="32"/>
        </w:rPr>
      </w:pPr>
      <w:r>
        <w:rPr>
          <w:rFonts w:hint="eastAsia" w:ascii="Times New Roman" w:hAnsi="Times New Roman" w:eastAsia="仿宋_GB2312" w:cs="仿宋_GB2312"/>
          <w:b/>
          <w:bCs/>
          <w:color w:val="auto"/>
          <w:sz w:val="32"/>
          <w:szCs w:val="32"/>
        </w:rPr>
        <w:t>202</w:t>
      </w:r>
      <w:r>
        <w:rPr>
          <w:rFonts w:hint="eastAsia" w:ascii="Times New Roman" w:hAnsi="Times New Roman" w:eastAsia="仿宋_GB2312" w:cs="仿宋_GB2312"/>
          <w:b/>
          <w:bCs/>
          <w:color w:val="auto"/>
          <w:sz w:val="32"/>
          <w:szCs w:val="32"/>
          <w:lang w:val="en-US" w:eastAsia="zh-CN"/>
        </w:rPr>
        <w:t>5</w:t>
      </w:r>
      <w:r>
        <w:rPr>
          <w:rFonts w:hint="eastAsia" w:ascii="Times New Roman" w:hAnsi="Times New Roman" w:eastAsia="仿宋_GB2312" w:cs="仿宋_GB2312"/>
          <w:b/>
          <w:bCs/>
          <w:color w:val="auto"/>
          <w:sz w:val="32"/>
          <w:szCs w:val="32"/>
        </w:rPr>
        <w:t>年</w:t>
      </w:r>
      <w:r>
        <w:rPr>
          <w:rFonts w:hint="eastAsia" w:ascii="Times New Roman" w:hAnsi="Times New Roman" w:eastAsia="仿宋_GB2312" w:cs="仿宋_GB2312"/>
          <w:b/>
          <w:bCs/>
          <w:color w:val="auto"/>
          <w:sz w:val="32"/>
          <w:szCs w:val="32"/>
          <w:lang w:val="en-US" w:eastAsia="zh-CN"/>
        </w:rPr>
        <w:t>11</w:t>
      </w:r>
      <w:r>
        <w:rPr>
          <w:rFonts w:hint="eastAsia" w:ascii="Times New Roman" w:hAnsi="Times New Roman" w:eastAsia="仿宋_GB2312" w:cs="仿宋_GB2312"/>
          <w:b/>
          <w:bCs/>
          <w:color w:val="auto"/>
          <w:sz w:val="32"/>
          <w:szCs w:val="32"/>
        </w:rPr>
        <w:t>月</w:t>
      </w:r>
    </w:p>
    <w:p w14:paraId="10DAE655">
      <w:pPr>
        <w:spacing w:before="0" w:after="0" w:line="240" w:lineRule="auto"/>
        <w:ind w:firstLine="0" w:firstLineChars="0"/>
        <w:jc w:val="center"/>
        <w:rPr>
          <w:rFonts w:hint="eastAsia" w:ascii="Times New Roman" w:hAnsi="Times New Roman" w:eastAsia="仿宋_GB2312" w:cs="仿宋_GB2312"/>
          <w:b/>
          <w:bCs/>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upperRoman" w:start="1"/>
          <w:cols w:space="425" w:num="1"/>
          <w:titlePg/>
          <w:docGrid w:type="lines" w:linePitch="381" w:charSpace="0"/>
        </w:sectPr>
      </w:pPr>
    </w:p>
    <w:p w14:paraId="269CCF26">
      <w:pPr>
        <w:pStyle w:val="2"/>
        <w:ind w:left="0" w:firstLine="0"/>
        <w:rPr>
          <w:rFonts w:hint="eastAsia" w:ascii="Times New Roman" w:hAnsi="Times New Roman" w:eastAsia="仿宋_GB2312" w:cs="仿宋_GB2312"/>
          <w:b/>
          <w:bCs w:val="0"/>
          <w:color w:val="auto"/>
          <w:sz w:val="36"/>
          <w:szCs w:val="48"/>
          <w:highlight w:val="none"/>
        </w:rPr>
      </w:pPr>
      <w:bookmarkStart w:id="1" w:name="_Toc130412812"/>
      <w:bookmarkStart w:id="2" w:name="_Toc30115"/>
      <w:bookmarkStart w:id="3" w:name="_Toc93308247"/>
      <w:bookmarkStart w:id="4" w:name="_Toc80775324"/>
      <w:r>
        <w:rPr>
          <w:rFonts w:hint="eastAsia" w:ascii="Times New Roman" w:hAnsi="Times New Roman" w:eastAsia="仿宋_GB2312" w:cs="仿宋_GB2312"/>
          <w:b/>
          <w:bCs w:val="0"/>
          <w:color w:val="auto"/>
          <w:sz w:val="36"/>
          <w:szCs w:val="48"/>
          <w:highlight w:val="none"/>
        </w:rPr>
        <w:t>一、编制背景</w:t>
      </w:r>
      <w:bookmarkEnd w:id="0"/>
      <w:bookmarkEnd w:id="1"/>
      <w:bookmarkEnd w:id="2"/>
      <w:bookmarkEnd w:id="3"/>
      <w:bookmarkEnd w:id="4"/>
    </w:p>
    <w:p w14:paraId="21CF3F58">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bookmarkStart w:id="5" w:name="_Toc93308248"/>
      <w:bookmarkStart w:id="6" w:name="_Toc79948067"/>
      <w:bookmarkStart w:id="7" w:name="_Toc24171"/>
      <w:r>
        <w:rPr>
          <w:rFonts w:hint="eastAsia" w:ascii="Times New Roman" w:hAnsi="Times New Roman" w:eastAsia="仿宋_GB2312" w:cs="仿宋_GB2312"/>
          <w:color w:val="auto"/>
          <w:szCs w:val="28"/>
          <w:highlight w:val="none"/>
          <w:lang w:val="en-US" w:eastAsia="zh-CN" w:bidi="ar"/>
        </w:rPr>
        <w:t>2020年1月1日，《中华人民共和国土地管理法》（2019年修正）（以下简称《土地管理法》）正式实施，其中第四十五条采用列举方式明确了为公共利益可以征收土地的六种情形；除军事和外交、基础设施建设、公共事业以及扶贫搬迁、保障性安居工程建设需要用地可依法实施征收外，在土地利用总体规划确定的城镇建设用地范围内成片开发建设需要用地的也可依法实施征收。为了贯彻落实《土地管理法》授权的立法事项，2020年11月5日，自然资源部印发《土地征收成片开发标准（试行）》，对《土地管理法》第四十五条规定的土地开发的“成片征收”标准作出了规定。2023年10月31日，自然资源部对《土地征收成片开发标准（试行）》进行调整，印发了《土地征收成片开发标准》（自然资规〔2023〕7号）（以下简称《标准》），明确成片开发是指在国土空间规划确定的城镇建设用地范围内，由县级以上地方人民政府组织的对一定范围的土地进行的综合性开发建设活动。</w:t>
      </w:r>
    </w:p>
    <w:p w14:paraId="1B2A75E4">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2021年6月，省自然资源厅下发《广东省自然资源厅关于进一步明确建设用地审批有关要求的通知》（粤自然资管制〔2021〕1379号），明确各地级以上市人民政府受省政府委托批准土地征收的，属于《土地管理法》第四十五条第（五）款成片开发建设用地情形的，应按照自然资源部印发《标准》要求编制土地征收成片开发方案。</w:t>
      </w:r>
    </w:p>
    <w:p w14:paraId="1DA10FBE">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2023年9月，《广东省人民政府关于调整一批省级行政职权事项的决定》（粤府〔2023〕68号）明确将60项省级行政职权调整由有关地级以上市和县（市、区）实施，其中包括将博罗县人民政府组织编制的土地征收成片开发方案审查审批委托给博罗县自然资源主管部门审查，县人民政府审批（含调整方案）。</w:t>
      </w:r>
    </w:p>
    <w:p w14:paraId="5BCABAEC">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2024年12月30日，省自然资源厅下发《广东省自然资源厅关于进一步规范土地征收成片开发工作的通知》（粤自然资规字〔2024〕7号），此规定在《广东省自然资源厅关于规范土地征收成片开发工作的通知》（粤自然资发〔2021〕20号）基础上，进一步规范了土地征收成片开发方案编制、审批、调整和监督管理的具体要求。对方案编制影响较大的方面是新编成片开发方案需要区分城镇开发边界内、城镇开发边界外以及国务院和省批准设立的各类开发区三种类型单独组卷编制；城镇开发边界内方案编制次数一年不超过4次，城镇开发边界外和园区内方案不受编制次数限制。</w:t>
      </w:r>
    </w:p>
    <w:p w14:paraId="165426AE">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为贯彻落实国家、省、市关于土地征收成片开发的工作要求，按照市委、市政府的规划发展目标，博罗县积极推进新型工业化，培育壮大新质生产力，全力以赴打造特色鲜明、辐射带动力强、成长空间大的产业集群，以制造业领军发力冲刺千亿级经济强县；同时，全面建设典型镇村和美丽圩镇，通过“一镇一方案”精心打造，彰显地域文化风情，推动圩镇面貌整体提升，持久打造布线有序、整洁美观的城镇面貌。</w:t>
      </w:r>
    </w:p>
    <w:p w14:paraId="64179C90">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综上所述，博罗县根据粤自然资规字〔2024〕7号文关于土地征收成片开发的最新政策要求，结合国民经济和社会发展规划、国民经济和社会发展年度计划、国土空间总体规划，以保障被征地农民合法权益、保障重点项目落地，促进土地资源节约集约高效利用，促进产业发展，提高当地居民生活水平为原则，编制了城镇开发边界内《惠州市博罗县2025年度土地征收成片开发方案（</w:t>
      </w:r>
      <w:r>
        <w:rPr>
          <w:rFonts w:hint="eastAsia" w:ascii="Times New Roman" w:hAnsi="Times New Roman" w:eastAsia="仿宋_GB2312" w:cs="仿宋_GB2312"/>
          <w:color w:val="auto"/>
          <w:szCs w:val="28"/>
          <w:highlight w:val="none"/>
          <w:lang w:val="en-US" w:eastAsia="zh-CN" w:bidi="ar"/>
        </w:rPr>
        <w:t>第五批</w:t>
      </w:r>
      <w:r>
        <w:rPr>
          <w:rFonts w:hint="eastAsia" w:ascii="Times New Roman" w:hAnsi="Times New Roman" w:eastAsia="仿宋_GB2312" w:cs="仿宋_GB2312"/>
          <w:color w:val="auto"/>
          <w:szCs w:val="28"/>
          <w:highlight w:val="none"/>
          <w:lang w:val="en-US" w:eastAsia="zh-CN" w:bidi="ar"/>
        </w:rPr>
        <w:t>）》，本方案批复后将按本方案实施计划逐步完成土地征收及供应。</w:t>
      </w:r>
    </w:p>
    <w:p w14:paraId="6F0BA099">
      <w:pPr>
        <w:pStyle w:val="2"/>
        <w:ind w:left="0" w:firstLine="0"/>
        <w:rPr>
          <w:rFonts w:hint="eastAsia" w:ascii="Times New Roman" w:hAnsi="Times New Roman" w:eastAsia="仿宋_GB2312" w:cs="仿宋_GB2312"/>
          <w:b/>
          <w:bCs w:val="0"/>
          <w:color w:val="auto"/>
          <w:sz w:val="36"/>
          <w:szCs w:val="48"/>
          <w:highlight w:val="none"/>
        </w:rPr>
      </w:pPr>
      <w:bookmarkStart w:id="8" w:name="_Toc130412813"/>
      <w:r>
        <w:rPr>
          <w:rFonts w:hint="eastAsia" w:ascii="Times New Roman" w:hAnsi="Times New Roman" w:eastAsia="仿宋_GB2312" w:cs="仿宋_GB2312"/>
          <w:b/>
          <w:bCs w:val="0"/>
          <w:color w:val="auto"/>
          <w:sz w:val="36"/>
          <w:szCs w:val="48"/>
          <w:highlight w:val="none"/>
        </w:rPr>
        <w:t>二、编制原则及依据</w:t>
      </w:r>
      <w:bookmarkEnd w:id="5"/>
      <w:bookmarkEnd w:id="6"/>
      <w:bookmarkEnd w:id="7"/>
      <w:bookmarkEnd w:id="8"/>
    </w:p>
    <w:p w14:paraId="127127B4">
      <w:pPr>
        <w:pStyle w:val="3"/>
        <w:widowControl/>
        <w:spacing w:before="0" w:after="0" w:line="360" w:lineRule="auto"/>
        <w:ind w:firstLine="321" w:firstLineChars="100"/>
        <w:rPr>
          <w:rFonts w:hint="eastAsia" w:ascii="Times New Roman" w:hAnsi="Times New Roman" w:eastAsia="仿宋_GB2312" w:cs="仿宋_GB2312"/>
          <w:color w:val="auto"/>
          <w:highlight w:val="none"/>
        </w:rPr>
      </w:pPr>
      <w:bookmarkStart w:id="9" w:name="_Toc25385"/>
      <w:bookmarkStart w:id="10" w:name="_Toc22889"/>
      <w:bookmarkStart w:id="11" w:name="_Toc81174775"/>
      <w:bookmarkStart w:id="12" w:name="_Toc69918889"/>
      <w:bookmarkStart w:id="13" w:name="_Toc69918850"/>
      <w:bookmarkStart w:id="14" w:name="_Toc130412814"/>
      <w:bookmarkStart w:id="15" w:name="_Toc77577485"/>
      <w:bookmarkStart w:id="16" w:name="_Toc17515"/>
      <w:bookmarkStart w:id="17" w:name="_Toc93308250"/>
      <w:r>
        <w:rPr>
          <w:rFonts w:hint="eastAsia" w:ascii="Times New Roman" w:hAnsi="Times New Roman" w:eastAsia="仿宋_GB2312" w:cs="仿宋_GB2312"/>
          <w:color w:val="auto"/>
          <w:highlight w:val="none"/>
        </w:rPr>
        <w:t>（一）编制原则</w:t>
      </w:r>
      <w:bookmarkEnd w:id="9"/>
      <w:bookmarkEnd w:id="10"/>
      <w:bookmarkEnd w:id="11"/>
      <w:bookmarkEnd w:id="12"/>
      <w:bookmarkEnd w:id="13"/>
      <w:bookmarkEnd w:id="14"/>
      <w:bookmarkEnd w:id="15"/>
      <w:bookmarkEnd w:id="16"/>
    </w:p>
    <w:p w14:paraId="628AEE83">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本方案以“依法依规、保护优先、维护公共利益、促进集约节约</w:t>
      </w:r>
      <w:r>
        <w:rPr>
          <w:rFonts w:hint="eastAsia" w:ascii="Times New Roman" w:hAnsi="Times New Roman" w:eastAsia="仿宋_GB2312" w:cs="仿宋_GB2312"/>
          <w:color w:val="auto"/>
          <w:szCs w:val="28"/>
          <w:highlight w:val="none"/>
          <w:lang w:val="en-US" w:eastAsia="zh-CN" w:bidi="ar"/>
        </w:rPr>
        <w:t>、确保开发必要</w:t>
      </w:r>
      <w:r>
        <w:rPr>
          <w:rFonts w:hint="eastAsia" w:ascii="Times New Roman" w:hAnsi="Times New Roman" w:eastAsia="仿宋_GB2312" w:cs="仿宋_GB2312"/>
          <w:color w:val="auto"/>
          <w:szCs w:val="28"/>
          <w:highlight w:val="none"/>
          <w:lang w:val="en-US" w:eastAsia="zh-CN" w:bidi="ar"/>
        </w:rPr>
        <w:t>”为基本原则，坚持新发展理念，以人民为中心，注重保护耕地，注重维护被征地农民合法权益，注重节约集约用地，注重生态环境保护，促进当地经济社会可持续发展。</w:t>
      </w:r>
    </w:p>
    <w:p w14:paraId="6B5A5981">
      <w:pPr>
        <w:pStyle w:val="4"/>
        <w:widowControl/>
        <w:spacing w:before="0" w:after="0" w:line="360" w:lineRule="auto"/>
        <w:ind w:left="560" w:leftChars="200" w:firstLine="0" w:firstLineChars="0"/>
        <w:rPr>
          <w:rFonts w:hint="eastAsia" w:ascii="Times New Roman" w:hAnsi="Times New Roman" w:eastAsia="仿宋_GB2312" w:cs="仿宋_GB2312"/>
          <w:color w:val="auto"/>
          <w:sz w:val="28"/>
        </w:rPr>
      </w:pPr>
      <w:bookmarkStart w:id="18" w:name="_Toc4020"/>
      <w:bookmarkStart w:id="19" w:name="_Toc10780_WPSOffice_Level3"/>
      <w:bookmarkStart w:id="20" w:name="_Toc69918890"/>
      <w:r>
        <w:rPr>
          <w:rFonts w:hint="eastAsia" w:ascii="Times New Roman" w:hAnsi="Times New Roman" w:eastAsia="仿宋_GB2312" w:cs="仿宋_GB2312"/>
          <w:color w:val="auto"/>
          <w:sz w:val="28"/>
        </w:rPr>
        <w:t>1.依法依规原则</w:t>
      </w:r>
      <w:bookmarkEnd w:id="18"/>
      <w:bookmarkEnd w:id="19"/>
      <w:bookmarkEnd w:id="20"/>
    </w:p>
    <w:p w14:paraId="4C1EF069">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土地征收成片开发应遵循相关法律、法规和政策文件的规定，符合国民经济和社会发展规划、国民经济和社会发展年度计划、国土空间规划，符合国家产业政策和供地政策等要求。</w:t>
      </w:r>
    </w:p>
    <w:p w14:paraId="3F9002B4">
      <w:pPr>
        <w:pStyle w:val="4"/>
        <w:widowControl/>
        <w:spacing w:before="0" w:after="0" w:line="360" w:lineRule="auto"/>
        <w:ind w:left="560" w:leftChars="200" w:firstLine="0" w:firstLineChars="0"/>
        <w:rPr>
          <w:rFonts w:hint="eastAsia" w:ascii="Times New Roman" w:hAnsi="Times New Roman" w:eastAsia="仿宋_GB2312" w:cs="仿宋_GB2312"/>
          <w:color w:val="auto"/>
          <w:sz w:val="28"/>
          <w:szCs w:val="28"/>
        </w:rPr>
      </w:pPr>
      <w:bookmarkStart w:id="21" w:name="_Toc1508_WPSOffice_Level3"/>
      <w:bookmarkStart w:id="22" w:name="_Toc6077"/>
      <w:bookmarkStart w:id="23" w:name="_Toc69918891"/>
      <w:r>
        <w:rPr>
          <w:rFonts w:hint="eastAsia" w:ascii="Times New Roman" w:hAnsi="Times New Roman" w:eastAsia="仿宋_GB2312" w:cs="仿宋_GB2312"/>
          <w:color w:val="auto"/>
          <w:sz w:val="28"/>
          <w:szCs w:val="28"/>
        </w:rPr>
        <w:t>2.保护优先原则</w:t>
      </w:r>
      <w:bookmarkEnd w:id="21"/>
      <w:bookmarkEnd w:id="22"/>
    </w:p>
    <w:p w14:paraId="0229A1E8">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土地征收成片开发应落实最严格的耕地保护制度，尽量避让优质、稳定的耕地，不占用永久基本农田；深入贯彻新发展理念，落实生态环境保护的基本要求，避让各类自然保护区、饮用水源保护地、生态保护红线及其他重要的生态环境保护功能区。</w:t>
      </w:r>
    </w:p>
    <w:p w14:paraId="1B45040B">
      <w:pPr>
        <w:pStyle w:val="4"/>
        <w:widowControl/>
        <w:spacing w:before="0" w:after="0" w:line="360" w:lineRule="auto"/>
        <w:ind w:left="560" w:leftChars="200" w:firstLine="0" w:firstLineChars="0"/>
        <w:rPr>
          <w:rFonts w:hint="eastAsia" w:ascii="Times New Roman" w:hAnsi="Times New Roman" w:eastAsia="仿宋_GB2312" w:cs="仿宋_GB2312"/>
          <w:color w:val="auto"/>
          <w:sz w:val="28"/>
        </w:rPr>
      </w:pPr>
      <w:bookmarkStart w:id="24" w:name="_Toc27990_WPSOffice_Level3"/>
      <w:bookmarkStart w:id="25" w:name="_Toc31378"/>
      <w:r>
        <w:rPr>
          <w:rFonts w:hint="eastAsia" w:ascii="Times New Roman" w:hAnsi="Times New Roman" w:eastAsia="仿宋_GB2312" w:cs="仿宋_GB2312"/>
          <w:color w:val="auto"/>
          <w:sz w:val="28"/>
        </w:rPr>
        <w:t>3.维护公共利益原则</w:t>
      </w:r>
      <w:bookmarkEnd w:id="23"/>
      <w:bookmarkEnd w:id="24"/>
      <w:bookmarkEnd w:id="25"/>
    </w:p>
    <w:p w14:paraId="491FC6C0">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土地征收成片开发应坚持以人民为中心，维护被征地农民的合法权益，兼顾片区群众的长远利益，广泛征求农村集体经济组织和农民的意见；维护公共利益，合理确定土地征收成片开发范围以及基础设施、公共服务设施和其他公益性用地比例，满足片区群众长远的使用需求。</w:t>
      </w:r>
    </w:p>
    <w:p w14:paraId="0969B798">
      <w:pPr>
        <w:pStyle w:val="4"/>
        <w:widowControl/>
        <w:spacing w:before="0" w:after="0" w:line="360" w:lineRule="auto"/>
        <w:ind w:left="560" w:leftChars="200" w:firstLine="0" w:firstLineChars="0"/>
        <w:rPr>
          <w:rFonts w:hint="eastAsia" w:ascii="Times New Roman" w:hAnsi="Times New Roman" w:eastAsia="仿宋_GB2312" w:cs="仿宋_GB2312"/>
          <w:color w:val="auto"/>
          <w:sz w:val="28"/>
        </w:rPr>
      </w:pPr>
      <w:bookmarkStart w:id="26" w:name="_Toc11832"/>
      <w:bookmarkStart w:id="27" w:name="_Toc69918893"/>
      <w:bookmarkStart w:id="28" w:name="_Toc32337_WPSOffice_Level3"/>
      <w:r>
        <w:rPr>
          <w:rFonts w:hint="eastAsia" w:ascii="Times New Roman" w:hAnsi="Times New Roman" w:eastAsia="仿宋_GB2312" w:cs="仿宋_GB2312"/>
          <w:color w:val="auto"/>
          <w:sz w:val="28"/>
        </w:rPr>
        <w:t>4.促进集约节约原则</w:t>
      </w:r>
      <w:bookmarkEnd w:id="26"/>
      <w:bookmarkEnd w:id="27"/>
      <w:bookmarkEnd w:id="28"/>
    </w:p>
    <w:p w14:paraId="38C479EE">
      <w:pPr>
        <w:ind w:firstLine="560"/>
        <w:jc w:val="both"/>
        <w:rPr>
          <w:rFonts w:hint="eastAsia" w:ascii="Times New Roman" w:hAnsi="Times New Roman" w:eastAsia="仿宋_GB2312" w:cs="仿宋_GB2312"/>
          <w:color w:val="auto"/>
        </w:rPr>
      </w:pPr>
      <w:r>
        <w:rPr>
          <w:rFonts w:hint="eastAsia" w:ascii="Times New Roman" w:hAnsi="Times New Roman" w:eastAsia="仿宋_GB2312" w:cs="仿宋_GB2312"/>
          <w:color w:val="auto"/>
          <w:szCs w:val="28"/>
          <w:highlight w:val="none"/>
          <w:lang w:val="en-US" w:eastAsia="zh-CN" w:bidi="ar"/>
        </w:rPr>
        <w:t>土地征收成片开发应坚持节约集约用地，依据当地社会经济发展状况、实际用地需求、土地综合开发相关政策，合理确定土地征收成片开发建设总规模、开发用途和用地面积；提高用地空间布局的合理性与科学性，优化资源配置，提高土地利用效率</w:t>
      </w:r>
      <w:r>
        <w:rPr>
          <w:rFonts w:hint="eastAsia" w:ascii="Times New Roman" w:hAnsi="Times New Roman" w:eastAsia="仿宋_GB2312" w:cs="仿宋_GB2312"/>
          <w:color w:val="auto"/>
        </w:rPr>
        <w:t>。</w:t>
      </w:r>
    </w:p>
    <w:p w14:paraId="19693DC2">
      <w:pPr>
        <w:pStyle w:val="4"/>
        <w:keepNext/>
        <w:keepLines/>
        <w:pageBreakBefore w:val="0"/>
        <w:widowControl/>
        <w:kinsoku/>
        <w:wordWrap/>
        <w:overflowPunct/>
        <w:topLinePunct w:val="0"/>
        <w:autoSpaceDE/>
        <w:autoSpaceDN/>
        <w:bidi w:val="0"/>
        <w:adjustRightInd/>
        <w:snapToGrid/>
        <w:spacing w:before="0" w:after="0" w:line="360" w:lineRule="auto"/>
        <w:ind w:left="0" w:leftChars="0" w:firstLine="562" w:firstLineChars="200"/>
        <w:textAlignment w:val="auto"/>
        <w:rPr>
          <w:rFonts w:hint="eastAsia" w:ascii="Times New Roman" w:hAnsi="Times New Roman" w:eastAsia="仿宋_GB2312" w:cs="仿宋_GB2312"/>
          <w:color w:val="auto"/>
          <w:sz w:val="28"/>
          <w:highlight w:val="none"/>
          <w:lang w:val="en-US" w:eastAsia="zh-CN"/>
        </w:rPr>
      </w:pPr>
      <w:r>
        <w:rPr>
          <w:rFonts w:hint="eastAsia" w:ascii="Times New Roman" w:hAnsi="Times New Roman" w:eastAsia="仿宋_GB2312" w:cs="仿宋_GB2312"/>
          <w:color w:val="auto"/>
          <w:sz w:val="28"/>
          <w:highlight w:val="none"/>
          <w:lang w:val="en-US" w:eastAsia="zh-CN"/>
        </w:rPr>
        <w:t>5.确保开发必要原则</w:t>
      </w:r>
    </w:p>
    <w:p w14:paraId="0E84CC03">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rPr>
      </w:pPr>
      <w:r>
        <w:rPr>
          <w:rFonts w:hint="eastAsia" w:ascii="Times New Roman" w:hAnsi="Times New Roman" w:eastAsia="仿宋_GB2312" w:cs="仿宋_GB2312"/>
          <w:color w:val="auto"/>
          <w:szCs w:val="28"/>
          <w:highlight w:val="none"/>
          <w:lang w:val="en-US" w:eastAsia="zh-CN" w:bidi="ar"/>
        </w:rPr>
        <w:t>土地征收成片开发应坚持新发展理念，根据市场需求和产业发展需要，立足长远、因地制宜，按规划有计划地进行成片开发，着重解决实际问题，确保开发必要和经济社会可持续发展。</w:t>
      </w:r>
    </w:p>
    <w:p w14:paraId="4C962F1D">
      <w:pPr>
        <w:pStyle w:val="3"/>
        <w:widowControl/>
        <w:spacing w:before="0" w:after="0" w:line="360" w:lineRule="auto"/>
        <w:ind w:firstLine="321" w:firstLineChars="100"/>
        <w:rPr>
          <w:rFonts w:hint="eastAsia" w:ascii="Times New Roman" w:hAnsi="Times New Roman" w:eastAsia="仿宋_GB2312" w:cs="仿宋_GB2312"/>
          <w:color w:val="auto"/>
          <w:highlight w:val="none"/>
        </w:rPr>
      </w:pPr>
      <w:bookmarkStart w:id="29" w:name="_Toc130412815"/>
      <w:bookmarkStart w:id="30" w:name="_Toc8466"/>
      <w:r>
        <w:rPr>
          <w:rFonts w:hint="eastAsia" w:ascii="Times New Roman" w:hAnsi="Times New Roman" w:eastAsia="仿宋_GB2312" w:cs="仿宋_GB2312"/>
          <w:color w:val="auto"/>
          <w:highlight w:val="none"/>
        </w:rPr>
        <w:t>（二）编制依据</w:t>
      </w:r>
      <w:bookmarkEnd w:id="17"/>
      <w:bookmarkEnd w:id="29"/>
      <w:bookmarkEnd w:id="30"/>
    </w:p>
    <w:p w14:paraId="4DBD52FB">
      <w:pPr>
        <w:pStyle w:val="4"/>
        <w:widowControl/>
        <w:spacing w:before="0" w:after="0" w:line="360" w:lineRule="auto"/>
        <w:ind w:left="560" w:leftChars="200" w:firstLine="0" w:firstLineChars="0"/>
        <w:rPr>
          <w:rFonts w:hint="eastAsia" w:ascii="Times New Roman" w:hAnsi="Times New Roman" w:eastAsia="仿宋_GB2312" w:cs="仿宋_GB2312"/>
          <w:color w:val="auto"/>
          <w:sz w:val="28"/>
        </w:rPr>
      </w:pPr>
      <w:r>
        <w:rPr>
          <w:rFonts w:hint="eastAsia" w:ascii="Times New Roman" w:hAnsi="Times New Roman" w:eastAsia="仿宋_GB2312" w:cs="仿宋_GB2312"/>
          <w:color w:val="auto"/>
          <w:sz w:val="28"/>
        </w:rPr>
        <w:t>1．法律法规</w:t>
      </w:r>
    </w:p>
    <w:p w14:paraId="6176BE15">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default"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（1）《中华人民共和国土地管理法》（2019年8月26日第十三届全国人民代表大会常务委员会第十二次会议第三次修正）；</w:t>
      </w:r>
    </w:p>
    <w:p w14:paraId="534EC732">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default"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（2）《中华人民共和国城乡规划法》（2019年4月23日第十三届全国人民代表大会常务委员会第十次会议第二次修正）；</w:t>
      </w:r>
    </w:p>
    <w:p w14:paraId="284CC419">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default"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（3）</w:t>
      </w:r>
      <w:r>
        <w:rPr>
          <w:rFonts w:hint="default" w:ascii="Times New Roman" w:hAnsi="Times New Roman" w:eastAsia="仿宋_GB2312" w:cs="仿宋_GB2312"/>
          <w:color w:val="auto"/>
          <w:szCs w:val="28"/>
          <w:highlight w:val="none"/>
          <w:lang w:val="en-US" w:eastAsia="zh-CN" w:bidi="ar"/>
        </w:rPr>
        <w:t>《中华人民共和国环境保护法》（2014年4月24日第十二届全国人民代表大会常务委员会第八次会议修订）；</w:t>
      </w:r>
    </w:p>
    <w:p w14:paraId="0FC7B57F">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default"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（4）</w:t>
      </w:r>
      <w:r>
        <w:rPr>
          <w:rFonts w:hint="default" w:ascii="Times New Roman" w:hAnsi="Times New Roman" w:eastAsia="仿宋_GB2312" w:cs="仿宋_GB2312"/>
          <w:color w:val="auto"/>
          <w:szCs w:val="28"/>
          <w:highlight w:val="none"/>
          <w:lang w:val="en-US" w:eastAsia="zh-CN" w:bidi="ar"/>
        </w:rPr>
        <w:t>《中华人民共和国土地管理法实施条例》</w:t>
      </w:r>
      <w:r>
        <w:rPr>
          <w:rFonts w:hint="default" w:ascii="Times New Roman" w:hAnsi="Times New Roman" w:eastAsia="仿宋_GB2312" w:cs="仿宋_GB2312"/>
          <w:color w:val="auto"/>
          <w:sz w:val="28"/>
          <w:szCs w:val="28"/>
          <w:highlight w:val="none"/>
          <w:lang w:val="en-US" w:eastAsia="zh-CN"/>
        </w:rPr>
        <w:t>（2021年7月2日中华人民共和国国务院令第743号第三次修订）</w:t>
      </w:r>
      <w:r>
        <w:rPr>
          <w:rFonts w:hint="default" w:ascii="Times New Roman" w:hAnsi="Times New Roman" w:eastAsia="仿宋_GB2312" w:cs="仿宋_GB2312"/>
          <w:color w:val="auto"/>
          <w:szCs w:val="28"/>
          <w:highlight w:val="none"/>
          <w:lang w:val="en-US" w:eastAsia="zh-CN" w:bidi="ar"/>
        </w:rPr>
        <w:t>；</w:t>
      </w:r>
    </w:p>
    <w:p w14:paraId="66773197">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color w:val="auto"/>
        </w:rPr>
      </w:pPr>
      <w:r>
        <w:rPr>
          <w:rFonts w:hint="eastAsia" w:ascii="Times New Roman" w:hAnsi="Times New Roman" w:eastAsia="仿宋_GB2312" w:cs="仿宋_GB2312"/>
          <w:color w:val="auto"/>
          <w:szCs w:val="28"/>
          <w:highlight w:val="none"/>
          <w:lang w:val="en-US" w:eastAsia="zh-CN" w:bidi="ar"/>
        </w:rPr>
        <w:t>（5）</w:t>
      </w:r>
      <w:r>
        <w:rPr>
          <w:rFonts w:hint="default" w:ascii="Times New Roman" w:hAnsi="Times New Roman" w:eastAsia="仿宋_GB2312" w:cs="仿宋_GB2312"/>
          <w:color w:val="auto"/>
          <w:szCs w:val="28"/>
          <w:highlight w:val="none"/>
          <w:lang w:val="en-US" w:eastAsia="zh-CN" w:bidi="ar"/>
        </w:rPr>
        <w:t>《广东省土地管理条例》</w:t>
      </w:r>
      <w:r>
        <w:rPr>
          <w:rFonts w:hint="eastAsia" w:ascii="Times New Roman" w:hAnsi="Times New Roman" w:eastAsia="仿宋_GB2312" w:cs="仿宋_GB2312"/>
          <w:color w:val="auto"/>
          <w:sz w:val="28"/>
          <w:szCs w:val="28"/>
          <w:highlight w:val="none"/>
          <w:lang w:val="en-US" w:eastAsia="zh-CN"/>
        </w:rPr>
        <w:t>（2022年6月1日广东省第十三届人民代表大会常务委员会第四十三次会议通过）</w:t>
      </w:r>
      <w:r>
        <w:rPr>
          <w:rFonts w:hint="eastAsia" w:ascii="Times New Roman" w:hAnsi="Times New Roman" w:eastAsia="仿宋_GB2312" w:cs="仿宋_GB2312"/>
          <w:color w:val="auto"/>
          <w:szCs w:val="28"/>
          <w:highlight w:val="none"/>
          <w:lang w:val="en-US" w:eastAsia="zh-CN" w:bidi="ar"/>
        </w:rPr>
        <w:t>。</w:t>
      </w:r>
    </w:p>
    <w:p w14:paraId="410E1DAB">
      <w:pPr>
        <w:pStyle w:val="4"/>
        <w:widowControl/>
        <w:spacing w:before="0" w:after="0" w:line="360" w:lineRule="auto"/>
        <w:ind w:left="560" w:leftChars="200" w:firstLine="0" w:firstLineChars="0"/>
        <w:rPr>
          <w:rFonts w:hint="eastAsia" w:ascii="Times New Roman" w:hAnsi="Times New Roman" w:eastAsia="仿宋_GB2312" w:cs="仿宋_GB2312"/>
          <w:color w:val="auto"/>
          <w:sz w:val="28"/>
        </w:rPr>
      </w:pPr>
      <w:r>
        <w:rPr>
          <w:rFonts w:hint="eastAsia" w:ascii="Times New Roman" w:hAnsi="Times New Roman" w:eastAsia="仿宋_GB2312" w:cs="仿宋_GB2312"/>
          <w:color w:val="auto"/>
          <w:sz w:val="28"/>
        </w:rPr>
        <w:t>2．政策文件</w:t>
      </w:r>
    </w:p>
    <w:p w14:paraId="0647FD26">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（1）《自然资源部关于印发〈土地征收成片开发标准〉的通知》（自然资规〔2023〕7号）；</w:t>
      </w:r>
    </w:p>
    <w:p w14:paraId="5095E125">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（2）《自然资源部关于印发〈国土空间调查、规划、用途管制用地用海分类指南〉的通知》（自然资发〔2023〕234号）；</w:t>
      </w:r>
    </w:p>
    <w:p w14:paraId="32D5509D">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（3）《广东省国土资源厅转发自然资源部办公厅关于在用地审查报批中按管理新方式落实耕地占补平衡的通知》（粤国土资规保发〔2018〕86号）；</w:t>
      </w:r>
    </w:p>
    <w:p w14:paraId="2FA3136F">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（4）《广东省自然资源厅关于做好用地报批涉及可调整地类落实占补平衡工作的通知》（粤自然资耕保〔2020〕1137号）；</w:t>
      </w:r>
    </w:p>
    <w:p w14:paraId="38C01E93">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（5）《广东省自然资源厅关于明确推进国土空间规划工作有关问题的通知》（粤自然资规划〔2020〕194号）；</w:t>
      </w:r>
    </w:p>
    <w:p w14:paraId="48548EAE">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（6）《广东省自然资源厅关于进一步明确建设用地审批有关要求的通知》（粤自然资管制〔2021〕1379号）；</w:t>
      </w:r>
    </w:p>
    <w:p w14:paraId="6EAF74E0">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（7）《广东省自然资源厅办公室关于开展土地征收成片开发方案会审的通知》（粤自然资办函〔2021〕163号）；</w:t>
      </w:r>
    </w:p>
    <w:p w14:paraId="4D3970F0">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（8）《广东省自然资源厅关于印发广东省委托土地征收成片开发方案审批权实施方案的通知》（粤自然资发〔2022〕12号）；</w:t>
      </w:r>
    </w:p>
    <w:p w14:paraId="080E18A0">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（9）《广东省自然资源厅关于印发土地征收成片开发方案审查要点和模板的通知》（粤自然资管制〔2022〕2745号）；</w:t>
      </w:r>
    </w:p>
    <w:p w14:paraId="5680AE20">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default"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（10）《广东省人民政府关于调整一批省级行政职权事项的决定》（粤府〔2023〕68号）；</w:t>
      </w:r>
    </w:p>
    <w:p w14:paraId="39517C16">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（11）《广东省自然资源厅关于省级自然资源行政职权调整实施有关事项的通知》（粤自然资发〔2023〕12号）；</w:t>
      </w:r>
    </w:p>
    <w:p w14:paraId="33C5C9A8">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（12）《广东省自然资源厅关于进一步规范土地征收成片开发工作的通知》（粤自然资规字〔2024〕7号）；</w:t>
      </w:r>
    </w:p>
    <w:p w14:paraId="1D6A878C">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（13）《广东省自然资源厅关于2023年度国土变更调查成果使用事项的通知》（粤自然资调查〔2024〕1814号）；</w:t>
      </w:r>
    </w:p>
    <w:p w14:paraId="764EA5B3">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（14）《惠州市人民政府办公室关于印发惠州市征地留用地安置管理办法的通知》（惠府〔</w:t>
      </w:r>
      <w:r>
        <w:rPr>
          <w:rFonts w:hint="default" w:ascii="Times New Roman" w:hAnsi="Times New Roman" w:eastAsia="仿宋_GB2312" w:cs="仿宋_GB2312"/>
          <w:color w:val="auto"/>
          <w:szCs w:val="28"/>
          <w:highlight w:val="none"/>
          <w:lang w:val="en-US" w:eastAsia="zh-CN" w:bidi="ar"/>
        </w:rPr>
        <w:t>2023</w:t>
      </w:r>
      <w:r>
        <w:rPr>
          <w:rFonts w:hint="eastAsia" w:ascii="Times New Roman" w:hAnsi="Times New Roman" w:eastAsia="仿宋_GB2312" w:cs="仿宋_GB2312"/>
          <w:color w:val="auto"/>
          <w:szCs w:val="28"/>
          <w:highlight w:val="none"/>
          <w:lang w:val="en-US" w:eastAsia="zh-CN" w:bidi="ar"/>
        </w:rPr>
        <w:t>〕</w:t>
      </w:r>
      <w:r>
        <w:rPr>
          <w:rFonts w:hint="default" w:ascii="Times New Roman" w:hAnsi="Times New Roman" w:eastAsia="仿宋_GB2312" w:cs="仿宋_GB2312"/>
          <w:color w:val="auto"/>
          <w:szCs w:val="28"/>
          <w:highlight w:val="none"/>
          <w:lang w:val="en-US" w:eastAsia="zh-CN" w:bidi="ar"/>
        </w:rPr>
        <w:t>8</w:t>
      </w:r>
      <w:r>
        <w:rPr>
          <w:rFonts w:hint="eastAsia" w:ascii="Times New Roman" w:hAnsi="Times New Roman" w:eastAsia="仿宋_GB2312" w:cs="仿宋_GB2312"/>
          <w:color w:val="auto"/>
          <w:szCs w:val="28"/>
          <w:highlight w:val="none"/>
          <w:lang w:val="en-US" w:eastAsia="zh-CN" w:bidi="ar"/>
        </w:rPr>
        <w:t>号）；</w:t>
      </w:r>
    </w:p>
    <w:p w14:paraId="2F146936">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（15）《惠州市人民政府关于公布实施惠州市征收农用地区片综合地价的公告》</w:t>
      </w:r>
      <w:r>
        <w:rPr>
          <w:rFonts w:hint="default" w:ascii="Times New Roman" w:hAnsi="Times New Roman" w:eastAsia="仿宋_GB2312" w:cs="仿宋_GB2312"/>
          <w:color w:val="auto"/>
          <w:szCs w:val="28"/>
          <w:highlight w:val="none"/>
          <w:lang w:val="en-US" w:eastAsia="zh-CN" w:bidi="ar"/>
        </w:rPr>
        <w:t>（惠</w:t>
      </w:r>
      <w:r>
        <w:rPr>
          <w:rFonts w:hint="eastAsia" w:ascii="Times New Roman" w:hAnsi="Times New Roman" w:eastAsia="仿宋_GB2312" w:cs="仿宋_GB2312"/>
          <w:color w:val="auto"/>
          <w:szCs w:val="28"/>
          <w:highlight w:val="none"/>
          <w:lang w:val="en-US" w:eastAsia="zh-CN" w:bidi="ar"/>
        </w:rPr>
        <w:t>府公</w:t>
      </w:r>
      <w:r>
        <w:rPr>
          <w:rFonts w:hint="default" w:ascii="Times New Roman" w:hAnsi="Times New Roman" w:eastAsia="仿宋_GB2312" w:cs="仿宋_GB2312"/>
          <w:color w:val="auto"/>
          <w:szCs w:val="28"/>
          <w:highlight w:val="none"/>
          <w:lang w:val="en-US" w:eastAsia="zh-CN" w:bidi="ar"/>
        </w:rPr>
        <w:t>〔202</w:t>
      </w:r>
      <w:r>
        <w:rPr>
          <w:rFonts w:hint="eastAsia" w:ascii="Times New Roman" w:hAnsi="Times New Roman" w:eastAsia="仿宋_GB2312" w:cs="仿宋_GB2312"/>
          <w:color w:val="auto"/>
          <w:szCs w:val="28"/>
          <w:highlight w:val="none"/>
          <w:lang w:val="en-US" w:eastAsia="zh-CN" w:bidi="ar"/>
        </w:rPr>
        <w:t>4</w:t>
      </w:r>
      <w:r>
        <w:rPr>
          <w:rFonts w:hint="default" w:ascii="Times New Roman" w:hAnsi="Times New Roman" w:eastAsia="仿宋_GB2312" w:cs="仿宋_GB2312"/>
          <w:color w:val="auto"/>
          <w:szCs w:val="28"/>
          <w:highlight w:val="none"/>
          <w:lang w:val="en-US" w:eastAsia="zh-CN" w:bidi="ar"/>
        </w:rPr>
        <w:t>〕</w:t>
      </w:r>
      <w:r>
        <w:rPr>
          <w:rFonts w:hint="eastAsia" w:ascii="Times New Roman" w:hAnsi="Times New Roman" w:eastAsia="仿宋_GB2312" w:cs="仿宋_GB2312"/>
          <w:color w:val="auto"/>
          <w:szCs w:val="28"/>
          <w:highlight w:val="none"/>
          <w:lang w:val="en-US" w:eastAsia="zh-CN" w:bidi="ar"/>
        </w:rPr>
        <w:t>1</w:t>
      </w:r>
      <w:r>
        <w:rPr>
          <w:rFonts w:hint="default" w:ascii="Times New Roman" w:hAnsi="Times New Roman" w:eastAsia="仿宋_GB2312" w:cs="仿宋_GB2312"/>
          <w:color w:val="auto"/>
          <w:szCs w:val="28"/>
          <w:highlight w:val="none"/>
          <w:lang w:val="en-US" w:eastAsia="zh-CN" w:bidi="ar"/>
        </w:rPr>
        <w:t>号）</w:t>
      </w:r>
      <w:r>
        <w:rPr>
          <w:rFonts w:hint="eastAsia" w:ascii="Times New Roman" w:hAnsi="Times New Roman" w:eastAsia="仿宋_GB2312" w:cs="仿宋_GB2312"/>
          <w:color w:val="auto"/>
          <w:szCs w:val="28"/>
          <w:highlight w:val="none"/>
          <w:lang w:val="en-US" w:eastAsia="zh-CN" w:bidi="ar"/>
        </w:rPr>
        <w:t>；</w:t>
      </w:r>
    </w:p>
    <w:p w14:paraId="425C4151">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（16）《惠州市人民政府关于印发惠州市集体土地征收与补偿办法的通知》（惠府〔</w:t>
      </w:r>
      <w:r>
        <w:rPr>
          <w:rFonts w:hint="default" w:ascii="Times New Roman" w:hAnsi="Times New Roman" w:eastAsia="仿宋_GB2312" w:cs="仿宋_GB2312"/>
          <w:color w:val="auto"/>
          <w:szCs w:val="28"/>
          <w:highlight w:val="none"/>
          <w:lang w:val="en-US" w:eastAsia="zh-CN" w:bidi="ar"/>
        </w:rPr>
        <w:t>202</w:t>
      </w:r>
      <w:r>
        <w:rPr>
          <w:rFonts w:hint="eastAsia" w:ascii="Times New Roman" w:hAnsi="Times New Roman" w:eastAsia="仿宋_GB2312" w:cs="仿宋_GB2312"/>
          <w:color w:val="auto"/>
          <w:szCs w:val="28"/>
          <w:highlight w:val="none"/>
          <w:lang w:val="en-US" w:eastAsia="zh-CN" w:bidi="ar"/>
        </w:rPr>
        <w:t>5〕6号）；</w:t>
      </w:r>
    </w:p>
    <w:p w14:paraId="15F1484A">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（17）</w:t>
      </w:r>
      <w:r>
        <w:rPr>
          <w:rFonts w:hint="default" w:ascii="Times New Roman" w:hAnsi="Times New Roman" w:eastAsia="仿宋_GB2312" w:cs="仿宋_GB2312"/>
          <w:color w:val="auto"/>
          <w:szCs w:val="28"/>
          <w:highlight w:val="none"/>
          <w:lang w:val="en-US" w:eastAsia="zh-CN" w:bidi="ar"/>
        </w:rPr>
        <w:t>《关于印发惠州市自然资源局</w:t>
      </w:r>
      <w:r>
        <w:rPr>
          <w:rFonts w:hint="eastAsia" w:ascii="Times New Roman" w:hAnsi="Times New Roman" w:eastAsia="仿宋_GB2312" w:cs="仿宋_GB2312"/>
          <w:color w:val="auto"/>
          <w:szCs w:val="28"/>
          <w:highlight w:val="none"/>
          <w:lang w:val="en-US" w:eastAsia="zh-CN" w:bidi="ar"/>
        </w:rPr>
        <w:t>〈</w:t>
      </w:r>
      <w:r>
        <w:rPr>
          <w:rFonts w:hint="default" w:ascii="Times New Roman" w:hAnsi="Times New Roman" w:eastAsia="仿宋_GB2312" w:cs="仿宋_GB2312"/>
          <w:color w:val="auto"/>
          <w:szCs w:val="28"/>
          <w:highlight w:val="none"/>
          <w:lang w:val="en-US" w:eastAsia="zh-CN" w:bidi="ar"/>
        </w:rPr>
        <w:t>惠州市征地社会稳定风险评估工作指南（试行）</w:t>
      </w:r>
      <w:r>
        <w:rPr>
          <w:rFonts w:hint="eastAsia" w:ascii="Times New Roman" w:hAnsi="Times New Roman" w:eastAsia="仿宋_GB2312" w:cs="仿宋_GB2312"/>
          <w:color w:val="auto"/>
          <w:szCs w:val="28"/>
          <w:highlight w:val="none"/>
          <w:lang w:val="en-US" w:eastAsia="zh-CN" w:bidi="ar"/>
        </w:rPr>
        <w:t>〉</w:t>
      </w:r>
      <w:r>
        <w:rPr>
          <w:rFonts w:hint="default" w:ascii="Times New Roman" w:hAnsi="Times New Roman" w:eastAsia="仿宋_GB2312" w:cs="仿宋_GB2312"/>
          <w:color w:val="auto"/>
          <w:szCs w:val="28"/>
          <w:highlight w:val="none"/>
          <w:lang w:val="en-US" w:eastAsia="zh-CN" w:bidi="ar"/>
        </w:rPr>
        <w:t>的通知》（惠市自然资函〔2021〕402号）</w:t>
      </w:r>
      <w:r>
        <w:rPr>
          <w:rFonts w:hint="eastAsia" w:ascii="Times New Roman" w:hAnsi="Times New Roman" w:eastAsia="仿宋_GB2312" w:cs="仿宋_GB2312"/>
          <w:color w:val="auto"/>
          <w:szCs w:val="28"/>
          <w:highlight w:val="none"/>
          <w:lang w:val="en-US" w:eastAsia="zh-CN" w:bidi="ar"/>
        </w:rPr>
        <w:t>；</w:t>
      </w:r>
    </w:p>
    <w:p w14:paraId="2EBAF4BD">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（18）</w:t>
      </w:r>
      <w:r>
        <w:rPr>
          <w:rFonts w:hint="default" w:ascii="Times New Roman" w:hAnsi="Times New Roman" w:eastAsia="仿宋_GB2312" w:cs="仿宋_GB2312"/>
          <w:color w:val="auto"/>
          <w:szCs w:val="28"/>
          <w:highlight w:val="none"/>
          <w:lang w:val="en-US" w:eastAsia="zh-CN" w:bidi="ar"/>
        </w:rPr>
        <w:t>其他相关政策文件</w:t>
      </w:r>
      <w:r>
        <w:rPr>
          <w:rFonts w:hint="eastAsia" w:ascii="Times New Roman" w:hAnsi="Times New Roman" w:eastAsia="仿宋_GB2312" w:cs="仿宋_GB2312"/>
          <w:color w:val="auto"/>
          <w:szCs w:val="28"/>
          <w:highlight w:val="none"/>
          <w:lang w:val="en-US" w:eastAsia="zh-CN" w:bidi="ar"/>
        </w:rPr>
        <w:t>。</w:t>
      </w:r>
    </w:p>
    <w:p w14:paraId="4E40117B">
      <w:pPr>
        <w:pStyle w:val="4"/>
        <w:widowControl/>
        <w:spacing w:before="0" w:after="0" w:line="360" w:lineRule="auto"/>
        <w:ind w:left="560" w:leftChars="200" w:firstLine="0" w:firstLineChars="0"/>
        <w:rPr>
          <w:rFonts w:hint="eastAsia" w:ascii="Times New Roman" w:hAnsi="Times New Roman" w:eastAsia="仿宋_GB2312" w:cs="仿宋_GB2312"/>
          <w:color w:val="auto"/>
          <w:sz w:val="28"/>
        </w:rPr>
      </w:pPr>
      <w:r>
        <w:rPr>
          <w:rFonts w:hint="eastAsia" w:ascii="Times New Roman" w:hAnsi="Times New Roman" w:eastAsia="仿宋_GB2312" w:cs="仿宋_GB2312"/>
          <w:color w:val="auto"/>
          <w:sz w:val="28"/>
        </w:rPr>
        <w:t>3．相关规划与基础资料</w:t>
      </w:r>
    </w:p>
    <w:p w14:paraId="7CE51CB8">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bookmarkStart w:id="31" w:name="_Toc93308251"/>
      <w:bookmarkStart w:id="32" w:name="_Toc20503"/>
      <w:r>
        <w:rPr>
          <w:rFonts w:hint="eastAsia" w:ascii="Times New Roman" w:hAnsi="Times New Roman" w:eastAsia="仿宋_GB2312" w:cs="仿宋_GB2312"/>
          <w:color w:val="auto"/>
          <w:szCs w:val="28"/>
          <w:highlight w:val="none"/>
          <w:lang w:val="en-US" w:eastAsia="zh-CN" w:bidi="ar"/>
        </w:rPr>
        <w:t>（1）《惠州市国民经济和社会发展第十四个五年规划和2035年远景目标纲要》；</w:t>
      </w:r>
    </w:p>
    <w:p w14:paraId="01BC8F56">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（2）《惠州市生态环境保护“十四五”规划》；</w:t>
      </w:r>
    </w:p>
    <w:p w14:paraId="3846FC60">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（3）《博罗县国民经济和社会发展第十四个五年规划和2035年远景目标纲要》；</w:t>
      </w:r>
    </w:p>
    <w:p w14:paraId="26640BEB">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（4）</w:t>
      </w:r>
      <w:r>
        <w:rPr>
          <w:rFonts w:hint="default" w:ascii="Times New Roman" w:hAnsi="Times New Roman" w:eastAsia="仿宋_GB2312" w:cs="仿宋_GB2312"/>
          <w:color w:val="auto"/>
          <w:szCs w:val="28"/>
          <w:highlight w:val="none"/>
          <w:lang w:val="en-US" w:eastAsia="zh-CN" w:bidi="ar"/>
        </w:rPr>
        <w:t>《博罗县2024年国民经济和社会发展计划执行情况与2025年计划草案的报告》</w:t>
      </w:r>
      <w:r>
        <w:rPr>
          <w:rFonts w:hint="eastAsia" w:ascii="Times New Roman" w:hAnsi="Times New Roman" w:eastAsia="仿宋_GB2312" w:cs="仿宋_GB2312"/>
          <w:color w:val="auto"/>
          <w:szCs w:val="28"/>
          <w:highlight w:val="none"/>
          <w:lang w:val="en-US" w:eastAsia="zh-CN" w:bidi="ar"/>
        </w:rPr>
        <w:t>；</w:t>
      </w:r>
    </w:p>
    <w:p w14:paraId="0F75D656">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（5）《2025年博罗县政府工作报告》；</w:t>
      </w:r>
    </w:p>
    <w:p w14:paraId="31A197C3">
      <w:pPr>
        <w:keepNext w:val="0"/>
        <w:keepLines w:val="0"/>
        <w:pageBreakBefore w:val="0"/>
        <w:numPr>
          <w:ilvl w:val="-1"/>
          <w:numId w:val="0"/>
        </w:numPr>
        <w:kinsoku/>
        <w:wordWrap/>
        <w:overflowPunct/>
        <w:topLinePunct w:val="0"/>
        <w:autoSpaceDE/>
        <w:autoSpaceDN/>
        <w:bidi w:val="0"/>
        <w:adjustRightInd/>
        <w:snapToGrid/>
        <w:spacing w:before="0" w:after="0"/>
        <w:ind w:left="0" w:leftChars="0" w:firstLine="560" w:firstLineChars="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（6）《中共中央办公厅、国务院办公厅关于加强生态环境分区管控的意见》；</w:t>
      </w:r>
    </w:p>
    <w:p w14:paraId="54D6912B">
      <w:pPr>
        <w:keepNext w:val="0"/>
        <w:keepLines w:val="0"/>
        <w:pageBreakBefore w:val="0"/>
        <w:numPr>
          <w:ilvl w:val="-1"/>
          <w:numId w:val="0"/>
        </w:numPr>
        <w:kinsoku/>
        <w:wordWrap/>
        <w:overflowPunct/>
        <w:topLinePunct w:val="0"/>
        <w:autoSpaceDE/>
        <w:autoSpaceDN/>
        <w:bidi w:val="0"/>
        <w:adjustRightInd/>
        <w:snapToGrid/>
        <w:spacing w:before="0" w:after="0"/>
        <w:ind w:left="0" w:leftChars="0" w:firstLine="560" w:firstLineChars="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（7）《中共广东省委办公厅 广东省人民政府办公厅关于加强生态环境分区管控的实施意见》；</w:t>
      </w:r>
    </w:p>
    <w:p w14:paraId="395F3FF2">
      <w:pPr>
        <w:keepNext w:val="0"/>
        <w:keepLines w:val="0"/>
        <w:pageBreakBefore w:val="0"/>
        <w:numPr>
          <w:ilvl w:val="-1"/>
          <w:numId w:val="0"/>
        </w:numPr>
        <w:kinsoku/>
        <w:wordWrap/>
        <w:overflowPunct/>
        <w:topLinePunct w:val="0"/>
        <w:autoSpaceDE/>
        <w:autoSpaceDN/>
        <w:bidi w:val="0"/>
        <w:adjustRightInd/>
        <w:snapToGrid/>
        <w:spacing w:before="0" w:after="0"/>
        <w:ind w:left="0" w:leftChars="0" w:firstLine="560" w:firstLineChars="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（8）《广东省人民政府关于印发广东省“三线一单”生态环境分区管控方案的通知》（粤府〔</w:t>
      </w:r>
      <w:r>
        <w:rPr>
          <w:rFonts w:hint="default" w:ascii="Times New Roman" w:hAnsi="Times New Roman" w:eastAsia="仿宋_GB2312" w:cs="仿宋_GB2312"/>
          <w:color w:val="auto"/>
          <w:szCs w:val="28"/>
          <w:highlight w:val="none"/>
          <w:lang w:val="en-US" w:eastAsia="zh-CN" w:bidi="ar"/>
        </w:rPr>
        <w:t>202</w:t>
      </w:r>
      <w:r>
        <w:rPr>
          <w:rFonts w:hint="eastAsia" w:ascii="Times New Roman" w:hAnsi="Times New Roman" w:eastAsia="仿宋_GB2312" w:cs="仿宋_GB2312"/>
          <w:color w:val="auto"/>
          <w:szCs w:val="28"/>
          <w:highlight w:val="none"/>
          <w:lang w:val="en-US" w:eastAsia="zh-CN" w:bidi="ar"/>
        </w:rPr>
        <w:t>0〕71号）；</w:t>
      </w:r>
    </w:p>
    <w:p w14:paraId="287D6175">
      <w:pPr>
        <w:keepNext w:val="0"/>
        <w:keepLines w:val="0"/>
        <w:pageBreakBefore w:val="0"/>
        <w:numPr>
          <w:ilvl w:val="-1"/>
          <w:numId w:val="0"/>
        </w:numPr>
        <w:kinsoku/>
        <w:wordWrap/>
        <w:overflowPunct/>
        <w:topLinePunct w:val="0"/>
        <w:autoSpaceDE/>
        <w:autoSpaceDN/>
        <w:bidi w:val="0"/>
        <w:adjustRightInd/>
        <w:snapToGrid/>
        <w:spacing w:before="0" w:after="0"/>
        <w:ind w:left="0" w:leftChars="0" w:firstLine="560" w:firstLineChars="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（9）《惠州市生态环境局关于印发惠州市“三线一单”生态环境分区管控方案2023年度动态更新成果的通知》；</w:t>
      </w:r>
    </w:p>
    <w:p w14:paraId="5E3B357B">
      <w:pPr>
        <w:keepNext w:val="0"/>
        <w:keepLines w:val="0"/>
        <w:pageBreakBefore w:val="0"/>
        <w:numPr>
          <w:ilvl w:val="-1"/>
          <w:numId w:val="0"/>
        </w:numPr>
        <w:kinsoku/>
        <w:wordWrap/>
        <w:overflowPunct/>
        <w:topLinePunct w:val="0"/>
        <w:autoSpaceDE/>
        <w:autoSpaceDN/>
        <w:bidi w:val="0"/>
        <w:adjustRightInd/>
        <w:snapToGrid/>
        <w:spacing w:before="0" w:after="0"/>
        <w:ind w:left="0" w:leftChars="0" w:firstLine="560" w:firstLineChars="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（10）《惠州市人民政府关于印发惠州市“三线一单”生态环境分区管控方案的通知》（惠府〔</w:t>
      </w:r>
      <w:r>
        <w:rPr>
          <w:rFonts w:hint="default" w:ascii="Times New Roman" w:hAnsi="Times New Roman" w:eastAsia="仿宋_GB2312" w:cs="仿宋_GB2312"/>
          <w:color w:val="auto"/>
          <w:szCs w:val="28"/>
          <w:highlight w:val="none"/>
          <w:lang w:val="en-US" w:eastAsia="zh-CN" w:bidi="ar"/>
        </w:rPr>
        <w:t>202</w:t>
      </w:r>
      <w:r>
        <w:rPr>
          <w:rFonts w:hint="eastAsia" w:ascii="Times New Roman" w:hAnsi="Times New Roman" w:eastAsia="仿宋_GB2312" w:cs="仿宋_GB2312"/>
          <w:color w:val="auto"/>
          <w:szCs w:val="28"/>
          <w:highlight w:val="none"/>
          <w:lang w:val="en-US" w:eastAsia="zh-CN" w:bidi="ar"/>
        </w:rPr>
        <w:t>1〕23号）；</w:t>
      </w:r>
    </w:p>
    <w:p w14:paraId="1D09143F">
      <w:pPr>
        <w:keepNext w:val="0"/>
        <w:keepLines w:val="0"/>
        <w:pageBreakBefore w:val="0"/>
        <w:numPr>
          <w:ilvl w:val="-1"/>
          <w:numId w:val="0"/>
        </w:numPr>
        <w:kinsoku/>
        <w:wordWrap/>
        <w:overflowPunct/>
        <w:topLinePunct w:val="0"/>
        <w:autoSpaceDE/>
        <w:autoSpaceDN/>
        <w:bidi w:val="0"/>
        <w:adjustRightInd/>
        <w:snapToGrid/>
        <w:spacing w:before="0" w:after="0"/>
        <w:ind w:left="0" w:leftChars="0" w:firstLine="560" w:firstLineChars="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（11）《惠州市国土空间总体规划（2021-2035年）》（粤府函〔2023〕193号）；</w:t>
      </w:r>
    </w:p>
    <w:p w14:paraId="41079C95">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（12）《惠州市自然保护地规划（2022-2035年）》（惠市林〔2023〕123号）；</w:t>
      </w:r>
    </w:p>
    <w:p w14:paraId="5E9EFB7B">
      <w:pPr>
        <w:keepNext w:val="0"/>
        <w:keepLines w:val="0"/>
        <w:pageBreakBefore w:val="0"/>
        <w:numPr>
          <w:ilvl w:val="-1"/>
          <w:numId w:val="0"/>
        </w:numPr>
        <w:kinsoku/>
        <w:wordWrap/>
        <w:overflowPunct/>
        <w:topLinePunct w:val="0"/>
        <w:autoSpaceDE/>
        <w:autoSpaceDN/>
        <w:bidi w:val="0"/>
        <w:adjustRightInd/>
        <w:snapToGrid/>
        <w:spacing w:before="0" w:after="0"/>
        <w:ind w:left="0" w:leftChars="0" w:firstLine="560" w:firstLineChars="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（13）《博罗县国土空间总体规划（2021-2035年）》（粤府函〔</w:t>
      </w:r>
      <w:r>
        <w:rPr>
          <w:rFonts w:hint="default" w:ascii="Times New Roman" w:hAnsi="Times New Roman" w:eastAsia="仿宋_GB2312" w:cs="仿宋_GB2312"/>
          <w:color w:val="auto"/>
          <w:szCs w:val="28"/>
          <w:highlight w:val="none"/>
          <w:lang w:val="en-US" w:eastAsia="zh-CN" w:bidi="ar"/>
        </w:rPr>
        <w:t>202</w:t>
      </w:r>
      <w:r>
        <w:rPr>
          <w:rFonts w:hint="eastAsia" w:ascii="Times New Roman" w:hAnsi="Times New Roman" w:eastAsia="仿宋_GB2312" w:cs="仿宋_GB2312"/>
          <w:color w:val="auto"/>
          <w:szCs w:val="28"/>
          <w:highlight w:val="none"/>
          <w:lang w:val="en-US" w:eastAsia="zh-CN" w:bidi="ar"/>
        </w:rPr>
        <w:t>3〕269号）；</w:t>
      </w:r>
    </w:p>
    <w:p w14:paraId="53825B8B">
      <w:pPr>
        <w:keepNext w:val="0"/>
        <w:keepLines w:val="0"/>
        <w:pageBreakBefore w:val="0"/>
        <w:numPr>
          <w:ilvl w:val="-1"/>
          <w:numId w:val="0"/>
        </w:numPr>
        <w:kinsoku/>
        <w:wordWrap/>
        <w:overflowPunct/>
        <w:topLinePunct w:val="0"/>
        <w:autoSpaceDE/>
        <w:autoSpaceDN/>
        <w:bidi w:val="0"/>
        <w:adjustRightInd/>
        <w:snapToGrid/>
        <w:spacing w:before="0" w:after="0"/>
        <w:ind w:left="0" w:leftChars="0" w:firstLine="560" w:firstLineChars="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（14）博罗县“三区三线”划定成果（自然资源部下发封库版矢量数据）；</w:t>
      </w:r>
    </w:p>
    <w:p w14:paraId="01E8D478">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（15）博罗县永久基本农田核实处置后数据（部下发）；</w:t>
      </w:r>
    </w:p>
    <w:p w14:paraId="2BB5FBC3">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（16）博罗县各片区控制性详细规划；</w:t>
      </w:r>
    </w:p>
    <w:p w14:paraId="67671C68">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（17）博罗县</w:t>
      </w:r>
      <w:r>
        <w:rPr>
          <w:rFonts w:hint="eastAsia" w:ascii="Times New Roman" w:hAnsi="Times New Roman" w:eastAsia="仿宋_GB2312" w:cs="仿宋_GB2312"/>
          <w:color w:val="auto"/>
          <w:szCs w:val="28"/>
          <w:highlight w:val="none"/>
          <w:lang w:val="en-US" w:eastAsia="zh-CN" w:bidi="ar"/>
        </w:rPr>
        <w:t>2024</w:t>
      </w:r>
      <w:r>
        <w:rPr>
          <w:rFonts w:hint="eastAsia" w:ascii="Times New Roman" w:hAnsi="Times New Roman" w:eastAsia="仿宋_GB2312" w:cs="仿宋_GB2312"/>
          <w:color w:val="auto"/>
          <w:szCs w:val="28"/>
          <w:highlight w:val="none"/>
          <w:lang w:val="en-US" w:eastAsia="zh-CN" w:bidi="ar"/>
        </w:rPr>
        <w:t>年度国土变更调查数据成果；</w:t>
      </w:r>
    </w:p>
    <w:p w14:paraId="2F8CF50E">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（18）博罗县农村集体土地所有权确权登记发证数据成果（2024年12月版）；</w:t>
      </w:r>
    </w:p>
    <w:p w14:paraId="6AB22564">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（19）其他相关基础资料。</w:t>
      </w:r>
    </w:p>
    <w:bookmarkEnd w:id="31"/>
    <w:bookmarkEnd w:id="32"/>
    <w:p w14:paraId="5F42055C">
      <w:pPr>
        <w:pStyle w:val="2"/>
        <w:ind w:left="0" w:firstLine="0"/>
        <w:rPr>
          <w:rFonts w:hint="eastAsia" w:ascii="Times New Roman" w:hAnsi="Times New Roman" w:eastAsia="仿宋_GB2312" w:cs="仿宋_GB2312"/>
          <w:b/>
          <w:bCs w:val="0"/>
          <w:color w:val="auto"/>
          <w:sz w:val="36"/>
          <w:szCs w:val="48"/>
          <w:highlight w:val="none"/>
        </w:rPr>
      </w:pPr>
      <w:r>
        <w:rPr>
          <w:rFonts w:hint="eastAsia" w:ascii="Times New Roman" w:hAnsi="Times New Roman" w:eastAsia="仿宋_GB2312" w:cs="仿宋_GB2312"/>
          <w:b/>
          <w:bCs w:val="0"/>
          <w:color w:val="auto"/>
          <w:sz w:val="36"/>
          <w:szCs w:val="48"/>
          <w:highlight w:val="none"/>
          <w:lang w:val="en-US" w:eastAsia="zh-CN"/>
        </w:rPr>
        <w:t>三</w:t>
      </w:r>
      <w:r>
        <w:rPr>
          <w:rFonts w:hint="eastAsia" w:ascii="Times New Roman" w:hAnsi="Times New Roman" w:eastAsia="仿宋_GB2312" w:cs="仿宋_GB2312"/>
          <w:b/>
          <w:bCs w:val="0"/>
          <w:color w:val="auto"/>
          <w:sz w:val="36"/>
          <w:szCs w:val="48"/>
          <w:highlight w:val="none"/>
        </w:rPr>
        <w:t>、</w:t>
      </w:r>
      <w:r>
        <w:rPr>
          <w:rFonts w:hint="eastAsia" w:ascii="Times New Roman" w:hAnsi="Times New Roman" w:eastAsia="仿宋_GB2312" w:cs="仿宋_GB2312"/>
          <w:b/>
          <w:bCs w:val="0"/>
          <w:color w:val="auto"/>
          <w:sz w:val="36"/>
          <w:szCs w:val="48"/>
          <w:highlight w:val="none"/>
          <w:lang w:val="en-US" w:eastAsia="zh-CN"/>
        </w:rPr>
        <w:t>基本情况</w:t>
      </w:r>
    </w:p>
    <w:p w14:paraId="5A7EF04E">
      <w:pPr>
        <w:pStyle w:val="3"/>
        <w:widowControl/>
        <w:spacing w:before="0" w:after="0" w:line="360" w:lineRule="auto"/>
        <w:ind w:firstLine="321" w:firstLineChars="100"/>
        <w:rPr>
          <w:rFonts w:hint="eastAsia" w:ascii="Times New Roman" w:hAnsi="Times New Roman" w:eastAsia="仿宋_GB2312" w:cs="仿宋_GB2312"/>
          <w:color w:val="auto"/>
          <w:highlight w:val="none"/>
        </w:rPr>
      </w:pPr>
      <w:bookmarkStart w:id="33" w:name="_Toc130412819"/>
      <w:bookmarkStart w:id="34" w:name="_Toc93308254"/>
      <w:bookmarkStart w:id="35" w:name="_Toc2815"/>
      <w:r>
        <w:rPr>
          <w:rFonts w:hint="eastAsia" w:ascii="Times New Roman" w:hAnsi="Times New Roman" w:eastAsia="仿宋_GB2312" w:cs="仿宋_GB2312"/>
          <w:color w:val="auto"/>
          <w:highlight w:val="none"/>
        </w:rPr>
        <w:t>（</w:t>
      </w:r>
      <w:r>
        <w:rPr>
          <w:rFonts w:hint="eastAsia" w:ascii="Times New Roman" w:hAnsi="Times New Roman" w:eastAsia="仿宋_GB2312" w:cs="仿宋_GB2312"/>
          <w:color w:val="auto"/>
          <w:highlight w:val="none"/>
          <w:lang w:val="en-US" w:eastAsia="zh-CN"/>
        </w:rPr>
        <w:t>一</w:t>
      </w:r>
      <w:r>
        <w:rPr>
          <w:rFonts w:hint="eastAsia" w:ascii="Times New Roman" w:hAnsi="Times New Roman" w:eastAsia="仿宋_GB2312" w:cs="仿宋_GB2312"/>
          <w:color w:val="auto"/>
          <w:highlight w:val="none"/>
        </w:rPr>
        <w:t>）</w:t>
      </w:r>
      <w:r>
        <w:rPr>
          <w:rFonts w:hint="eastAsia" w:ascii="Times New Roman" w:hAnsi="Times New Roman" w:eastAsia="仿宋_GB2312" w:cs="仿宋_GB2312"/>
          <w:color w:val="auto"/>
          <w:highlight w:val="none"/>
          <w:lang w:val="en-US" w:eastAsia="zh-CN"/>
        </w:rPr>
        <w:t>区域位置</w:t>
      </w:r>
      <w:bookmarkEnd w:id="33"/>
      <w:bookmarkEnd w:id="34"/>
      <w:bookmarkEnd w:id="35"/>
    </w:p>
    <w:p w14:paraId="7404B0B6">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根据《广东省自然资源厅关于进一步规范土地征收成片开发工作的通知》（粤自然资规字〔2024〕7号）最新要求，城镇开发边界内外方案需分开编制，本方案为城镇开发边界内单独组卷方案，土地征收成片开发范围位于惠州市博罗县</w:t>
      </w:r>
      <w:r>
        <w:rPr>
          <w:rFonts w:hint="eastAsia" w:ascii="Times New Roman" w:hAnsi="Times New Roman" w:eastAsia="仿宋_GB2312" w:cs="仿宋_GB2312"/>
          <w:color w:val="auto"/>
          <w:szCs w:val="28"/>
          <w:highlight w:val="none"/>
          <w:lang w:val="en-US" w:eastAsia="zh-CN" w:bidi="ar"/>
        </w:rPr>
        <w:t>龙华镇</w:t>
      </w:r>
      <w:r>
        <w:rPr>
          <w:rFonts w:hint="eastAsia" w:ascii="Times New Roman" w:hAnsi="Times New Roman" w:eastAsia="仿宋_GB2312" w:cs="仿宋_GB2312"/>
          <w:color w:val="auto"/>
          <w:szCs w:val="28"/>
          <w:highlight w:val="none"/>
          <w:lang w:val="en-US" w:eastAsia="zh-CN" w:bidi="ar"/>
        </w:rPr>
        <w:t>，成片开发范围总面积为15.7284</w:t>
      </w:r>
      <w:r>
        <w:rPr>
          <w:rFonts w:hint="eastAsia" w:ascii="Times New Roman" w:hAnsi="Times New Roman" w:eastAsia="仿宋_GB2312" w:cs="仿宋_GB2312"/>
          <w:color w:val="auto"/>
          <w:szCs w:val="28"/>
          <w:highlight w:val="none"/>
          <w:lang w:val="en-US" w:eastAsia="zh-CN" w:bidi="ar"/>
        </w:rPr>
        <w:t>公顷</w:t>
      </w:r>
      <w:r>
        <w:rPr>
          <w:rFonts w:hint="eastAsia" w:ascii="Times New Roman" w:hAnsi="Times New Roman" w:eastAsia="仿宋_GB2312" w:cs="仿宋_GB2312"/>
          <w:color w:val="auto"/>
          <w:szCs w:val="28"/>
          <w:highlight w:val="none"/>
          <w:lang w:val="en-US" w:eastAsia="zh-CN" w:bidi="ar"/>
        </w:rPr>
        <w:t>。概况详见下表：</w:t>
      </w:r>
    </w:p>
    <w:p w14:paraId="4F32BE8E">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仿宋_GB2312" w:cs="仿宋_GB2312"/>
          <w:color w:val="auto"/>
          <w:sz w:val="21"/>
          <w:szCs w:val="24"/>
          <w:highlight w:val="none"/>
          <w:lang w:eastAsia="zh-CN"/>
        </w:rPr>
      </w:pPr>
      <w:r>
        <w:rPr>
          <w:rFonts w:hint="eastAsia" w:ascii="Times New Roman" w:hAnsi="Times New Roman" w:eastAsia="仿宋_GB2312" w:cs="仿宋_GB2312"/>
          <w:color w:val="auto"/>
          <w:sz w:val="21"/>
          <w:szCs w:val="24"/>
          <w:highlight w:val="none"/>
        </w:rPr>
        <w:t>表</w:t>
      </w:r>
      <w:r>
        <w:rPr>
          <w:rFonts w:hint="eastAsia" w:ascii="Times New Roman" w:hAnsi="Times New Roman" w:eastAsia="仿宋_GB2312" w:cs="仿宋_GB2312"/>
          <w:color w:val="auto"/>
          <w:sz w:val="21"/>
          <w:szCs w:val="24"/>
          <w:highlight w:val="none"/>
        </w:rPr>
        <w:fldChar w:fldCharType="begin"/>
      </w:r>
      <w:r>
        <w:rPr>
          <w:rFonts w:hint="eastAsia" w:ascii="Times New Roman" w:hAnsi="Times New Roman" w:eastAsia="仿宋_GB2312" w:cs="仿宋_GB2312"/>
          <w:color w:val="auto"/>
          <w:sz w:val="21"/>
          <w:szCs w:val="24"/>
          <w:highlight w:val="none"/>
        </w:rPr>
        <w:instrText xml:space="preserve"> SEQ 表 \* ARABIC </w:instrText>
      </w:r>
      <w:r>
        <w:rPr>
          <w:rFonts w:hint="eastAsia" w:ascii="Times New Roman" w:hAnsi="Times New Roman" w:eastAsia="仿宋_GB2312" w:cs="仿宋_GB2312"/>
          <w:color w:val="auto"/>
          <w:sz w:val="21"/>
          <w:szCs w:val="24"/>
          <w:highlight w:val="none"/>
        </w:rPr>
        <w:fldChar w:fldCharType="separate"/>
      </w:r>
      <w:r>
        <w:rPr>
          <w:rFonts w:hint="eastAsia" w:ascii="Times New Roman" w:hAnsi="Times New Roman" w:eastAsia="仿宋_GB2312" w:cs="仿宋_GB2312"/>
          <w:color w:val="auto"/>
          <w:sz w:val="21"/>
          <w:szCs w:val="24"/>
          <w:highlight w:val="none"/>
        </w:rPr>
        <w:t>1</w:t>
      </w:r>
      <w:r>
        <w:rPr>
          <w:rFonts w:hint="eastAsia" w:ascii="Times New Roman" w:hAnsi="Times New Roman" w:eastAsia="仿宋_GB2312" w:cs="仿宋_GB2312"/>
          <w:color w:val="auto"/>
          <w:sz w:val="21"/>
          <w:szCs w:val="24"/>
          <w:highlight w:val="none"/>
        </w:rPr>
        <w:fldChar w:fldCharType="end"/>
      </w:r>
      <w:r>
        <w:rPr>
          <w:rFonts w:hint="eastAsia" w:ascii="Times New Roman" w:hAnsi="Times New Roman" w:eastAsia="仿宋_GB2312" w:cs="仿宋_GB2312"/>
          <w:color w:val="auto"/>
          <w:sz w:val="21"/>
          <w:szCs w:val="24"/>
          <w:highlight w:val="none"/>
          <w:lang w:eastAsia="zh-CN"/>
        </w:rPr>
        <w:t xml:space="preserve"> </w:t>
      </w:r>
      <w:r>
        <w:rPr>
          <w:rFonts w:hint="eastAsia" w:ascii="Times New Roman" w:hAnsi="Times New Roman" w:eastAsia="仿宋_GB2312" w:cs="仿宋_GB2312"/>
          <w:color w:val="auto"/>
          <w:szCs w:val="28"/>
          <w:highlight w:val="none"/>
          <w:lang w:val="en-US" w:eastAsia="zh-CN" w:bidi="ar"/>
        </w:rPr>
        <w:t>成片开发范围</w:t>
      </w:r>
      <w:r>
        <w:rPr>
          <w:rFonts w:hint="eastAsia" w:ascii="Times New Roman" w:hAnsi="Times New Roman" w:eastAsia="仿宋_GB2312" w:cs="仿宋_GB2312"/>
          <w:color w:val="auto"/>
          <w:sz w:val="21"/>
          <w:szCs w:val="24"/>
          <w:highlight w:val="none"/>
          <w:lang w:eastAsia="zh-CN"/>
        </w:rPr>
        <w:t>概况表</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06"/>
        <w:gridCol w:w="1591"/>
        <w:gridCol w:w="4825"/>
      </w:tblGrid>
      <w:tr w14:paraId="032FF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1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66045">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highlight w:val="none"/>
                <w:lang w:val="en-US" w:eastAsia="zh-CN"/>
              </w:rPr>
            </w:pPr>
            <w:r>
              <w:rPr>
                <w:rFonts w:hint="eastAsia" w:ascii="Times New Roman" w:hAnsi="Times New Roman" w:eastAsia="仿宋_GB2312" w:cs="仿宋_GB2312"/>
                <w:b/>
                <w:bCs/>
                <w:color w:val="auto"/>
                <w:kern w:val="0"/>
                <w:sz w:val="21"/>
                <w:szCs w:val="21"/>
                <w:highlight w:val="none"/>
                <w:lang w:val="en-US" w:eastAsia="zh-CN"/>
              </w:rPr>
              <w:t>片区</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5EC27">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highlight w:val="none"/>
                <w:lang w:val="en-US" w:eastAsia="zh-CN"/>
              </w:rPr>
            </w:pPr>
            <w:r>
              <w:rPr>
                <w:rFonts w:hint="eastAsia" w:ascii="Times New Roman" w:hAnsi="Times New Roman" w:eastAsia="仿宋_GB2312" w:cs="仿宋_GB2312"/>
                <w:b/>
                <w:bCs/>
                <w:color w:val="auto"/>
                <w:kern w:val="0"/>
                <w:sz w:val="21"/>
                <w:szCs w:val="21"/>
                <w:highlight w:val="none"/>
                <w:lang w:val="en-US" w:eastAsia="zh-CN"/>
              </w:rPr>
              <w:t>面积（公顷）</w:t>
            </w:r>
          </w:p>
        </w:tc>
        <w:tc>
          <w:tcPr>
            <w:tcW w:w="2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B4E9E">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highlight w:val="none"/>
                <w:lang w:val="en-US" w:eastAsia="zh-CN"/>
              </w:rPr>
            </w:pPr>
            <w:r>
              <w:rPr>
                <w:rFonts w:hint="eastAsia" w:ascii="Times New Roman" w:hAnsi="Times New Roman" w:eastAsia="仿宋_GB2312" w:cs="仿宋_GB2312"/>
                <w:b/>
                <w:bCs/>
                <w:color w:val="auto"/>
                <w:kern w:val="0"/>
                <w:sz w:val="21"/>
                <w:szCs w:val="21"/>
                <w:highlight w:val="none"/>
                <w:lang w:val="en-US" w:eastAsia="zh-CN"/>
              </w:rPr>
              <w:t>位置</w:t>
            </w:r>
          </w:p>
        </w:tc>
      </w:tr>
      <w:tr w14:paraId="3BAE1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AE18">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龙华片区</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ACE97">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15.7284</w:t>
            </w:r>
          </w:p>
        </w:tc>
        <w:tc>
          <w:tcPr>
            <w:tcW w:w="28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784CA">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竹园村、柳村村、北堤村</w:t>
            </w:r>
          </w:p>
        </w:tc>
      </w:tr>
      <w:tr w14:paraId="4F9A2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DF74">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color w:val="auto"/>
                <w:kern w:val="0"/>
                <w:sz w:val="21"/>
                <w:szCs w:val="21"/>
                <w:highlight w:val="none"/>
                <w:lang w:val="en-US" w:eastAsia="zh-CN"/>
              </w:rPr>
              <w:t>合计</w:t>
            </w:r>
          </w:p>
        </w:tc>
        <w:tc>
          <w:tcPr>
            <w:tcW w:w="9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C4DE3">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highlight w:val="none"/>
                <w:lang w:val="en-US"/>
              </w:rPr>
            </w:pPr>
            <w:r>
              <w:rPr>
                <w:rFonts w:hint="eastAsia" w:ascii="Times New Roman" w:hAnsi="Times New Roman" w:eastAsia="仿宋_GB2312" w:cs="仿宋_GB2312"/>
                <w:color w:val="auto"/>
                <w:kern w:val="0"/>
                <w:sz w:val="21"/>
                <w:szCs w:val="21"/>
                <w:highlight w:val="none"/>
                <w:lang w:val="en-US" w:eastAsia="zh-CN"/>
              </w:rPr>
              <w:t>15.7284</w:t>
            </w:r>
          </w:p>
        </w:tc>
        <w:tc>
          <w:tcPr>
            <w:tcW w:w="28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D13D5">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highlight w:val="none"/>
              </w:rPr>
            </w:pPr>
            <w:r>
              <w:rPr>
                <w:rFonts w:hint="eastAsia" w:ascii="Times New Roman" w:hAnsi="Times New Roman" w:eastAsia="仿宋_GB2312" w:cs="仿宋_GB2312"/>
                <w:color w:val="auto"/>
                <w:kern w:val="0"/>
                <w:sz w:val="21"/>
                <w:szCs w:val="21"/>
                <w:highlight w:val="none"/>
                <w:lang w:val="en-US" w:eastAsia="zh-CN"/>
              </w:rPr>
              <w:t>——</w:t>
            </w:r>
          </w:p>
        </w:tc>
      </w:tr>
    </w:tbl>
    <w:p w14:paraId="2162BF4B">
      <w:pPr>
        <w:keepNext w:val="0"/>
        <w:keepLines w:val="0"/>
        <w:pageBreakBefore w:val="0"/>
        <w:widowControl w:val="0"/>
        <w:kinsoku/>
        <w:wordWrap/>
        <w:overflowPunct/>
        <w:topLinePunct w:val="0"/>
        <w:autoSpaceDE/>
        <w:autoSpaceDN/>
        <w:bidi w:val="0"/>
        <w:adjustRightInd/>
        <w:snapToGrid/>
        <w:spacing w:before="0" w:after="0"/>
        <w:ind w:firstLine="560"/>
        <w:jc w:val="both"/>
        <w:textAlignment w:val="auto"/>
        <w:rPr>
          <w:rFonts w:hint="eastAsia" w:ascii="Times New Roman" w:hAnsi="Times New Roman" w:eastAsia="仿宋_GB2312" w:cs="仿宋_GB2312"/>
          <w:color w:val="auto"/>
          <w:sz w:val="24"/>
          <w:szCs w:val="21"/>
          <w:lang w:val="en-US" w:eastAsia="zh-CN"/>
        </w:rPr>
      </w:pPr>
    </w:p>
    <w:p w14:paraId="06922C22">
      <w:pPr>
        <w:pStyle w:val="3"/>
        <w:widowControl/>
        <w:spacing w:before="0" w:after="0" w:line="360" w:lineRule="auto"/>
        <w:ind w:firstLine="321" w:firstLineChars="100"/>
        <w:rPr>
          <w:rFonts w:hint="eastAsia" w:ascii="Times New Roman" w:hAnsi="Times New Roman" w:eastAsia="仿宋_GB2312" w:cs="仿宋_GB2312"/>
          <w:color w:val="auto"/>
          <w:highlight w:val="none"/>
          <w:lang w:val="en-US" w:eastAsia="zh-CN"/>
        </w:rPr>
      </w:pPr>
      <w:bookmarkStart w:id="36" w:name="_Toc93308255"/>
      <w:bookmarkStart w:id="37" w:name="_Toc130412820"/>
      <w:bookmarkStart w:id="38" w:name="_Toc3756"/>
      <w:r>
        <w:rPr>
          <w:rFonts w:hint="eastAsia" w:ascii="Times New Roman" w:hAnsi="Times New Roman" w:eastAsia="仿宋_GB2312" w:cs="仿宋_GB2312"/>
          <w:color w:val="auto"/>
          <w:highlight w:val="none"/>
        </w:rPr>
        <w:t>（</w:t>
      </w:r>
      <w:r>
        <w:rPr>
          <w:rFonts w:hint="eastAsia" w:ascii="Times New Roman" w:hAnsi="Times New Roman" w:eastAsia="仿宋_GB2312" w:cs="仿宋_GB2312"/>
          <w:color w:val="auto"/>
          <w:highlight w:val="none"/>
          <w:lang w:val="en-US" w:eastAsia="zh-CN"/>
        </w:rPr>
        <w:t>二</w:t>
      </w:r>
      <w:r>
        <w:rPr>
          <w:rFonts w:hint="eastAsia" w:ascii="Times New Roman" w:hAnsi="Times New Roman" w:eastAsia="仿宋_GB2312" w:cs="仿宋_GB2312"/>
          <w:color w:val="auto"/>
          <w:highlight w:val="none"/>
        </w:rPr>
        <w:t>）土地</w:t>
      </w:r>
      <w:bookmarkEnd w:id="36"/>
      <w:bookmarkEnd w:id="37"/>
      <w:bookmarkEnd w:id="38"/>
      <w:r>
        <w:rPr>
          <w:rFonts w:hint="eastAsia" w:ascii="Times New Roman" w:hAnsi="Times New Roman" w:eastAsia="仿宋_GB2312" w:cs="仿宋_GB2312"/>
          <w:color w:val="auto"/>
          <w:highlight w:val="none"/>
          <w:lang w:val="en-US" w:eastAsia="zh-CN"/>
        </w:rPr>
        <w:t>利用现状</w:t>
      </w:r>
    </w:p>
    <w:p w14:paraId="4F6CA020">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 w:val="21"/>
          <w:szCs w:val="24"/>
          <w:highlight w:val="none"/>
        </w:rPr>
      </w:pPr>
      <w:r>
        <w:rPr>
          <w:rFonts w:hint="eastAsia" w:ascii="Times New Roman" w:hAnsi="Times New Roman" w:eastAsia="仿宋_GB2312" w:cs="仿宋_GB2312"/>
          <w:color w:val="auto"/>
          <w:szCs w:val="28"/>
          <w:highlight w:val="none"/>
          <w:lang w:val="en-US" w:eastAsia="zh-CN" w:bidi="ar"/>
        </w:rPr>
        <w:t>根据</w:t>
      </w:r>
      <w:r>
        <w:rPr>
          <w:rFonts w:hint="eastAsia" w:ascii="Times New Roman" w:hAnsi="Times New Roman" w:eastAsia="仿宋_GB2312" w:cs="仿宋_GB2312"/>
          <w:color w:val="auto"/>
          <w:szCs w:val="28"/>
          <w:highlight w:val="none"/>
          <w:lang w:val="en-US" w:eastAsia="zh-CN" w:bidi="ar"/>
        </w:rPr>
        <w:t>2024</w:t>
      </w:r>
      <w:r>
        <w:rPr>
          <w:rFonts w:hint="eastAsia" w:ascii="Times New Roman" w:hAnsi="Times New Roman" w:eastAsia="仿宋_GB2312" w:cs="仿宋_GB2312"/>
          <w:color w:val="auto"/>
          <w:szCs w:val="28"/>
          <w:highlight w:val="none"/>
          <w:lang w:val="en-US" w:eastAsia="zh-CN" w:bidi="ar"/>
        </w:rPr>
        <w:t>年</w:t>
      </w:r>
      <w:r>
        <w:rPr>
          <w:rFonts w:hint="eastAsia" w:ascii="Times New Roman" w:hAnsi="Times New Roman" w:eastAsia="仿宋_GB2312" w:cs="仿宋_GB2312"/>
          <w:color w:val="auto"/>
          <w:szCs w:val="28"/>
          <w:highlight w:val="none"/>
          <w:lang w:val="en-US" w:eastAsia="zh-CN" w:bidi="ar"/>
        </w:rPr>
        <w:t>度</w:t>
      </w:r>
      <w:r>
        <w:rPr>
          <w:rFonts w:hint="eastAsia" w:ascii="Times New Roman" w:hAnsi="Times New Roman" w:eastAsia="仿宋_GB2312" w:cs="仿宋_GB2312"/>
          <w:color w:val="auto"/>
          <w:szCs w:val="28"/>
          <w:highlight w:val="none"/>
          <w:lang w:val="en-US" w:eastAsia="zh-CN" w:bidi="ar"/>
        </w:rPr>
        <w:t>国土变更调查数据显示，本次土地征收成片开发范围内以农用地与建设用地为主，其中：农用地10.3168公顷，占比65.59%；建设用地5.4116公顷，占比34.41%</w:t>
      </w:r>
      <w:r>
        <w:rPr>
          <w:rFonts w:hint="eastAsia" w:ascii="Times New Roman" w:hAnsi="Times New Roman" w:eastAsia="仿宋_GB2312" w:cs="仿宋_GB2312"/>
          <w:color w:val="auto"/>
          <w:szCs w:val="28"/>
          <w:highlight w:val="none"/>
          <w:lang w:val="en-US" w:eastAsia="zh-CN" w:bidi="ar"/>
        </w:rPr>
        <w:t>；未利</w:t>
      </w:r>
      <w:r>
        <w:rPr>
          <w:rFonts w:hint="eastAsia" w:ascii="Times New Roman" w:hAnsi="Times New Roman" w:eastAsia="仿宋_GB2312" w:cs="仿宋_GB2312"/>
          <w:color w:val="auto"/>
          <w:szCs w:val="28"/>
          <w:highlight w:val="none"/>
          <w:lang w:val="en-US" w:eastAsia="zh-CN" w:bidi="ar"/>
        </w:rPr>
        <w:t>用地</w:t>
      </w:r>
      <w:r>
        <w:rPr>
          <w:rFonts w:hint="eastAsia" w:ascii="Times New Roman" w:hAnsi="Times New Roman" w:eastAsia="仿宋_GB2312" w:cs="仿宋_GB2312"/>
          <w:color w:val="auto"/>
          <w:szCs w:val="28"/>
          <w:highlight w:val="none"/>
          <w:lang w:val="en-US" w:eastAsia="zh-CN" w:bidi="ar"/>
        </w:rPr>
        <w:t>0</w:t>
      </w:r>
      <w:r>
        <w:rPr>
          <w:rFonts w:hint="eastAsia" w:ascii="Times New Roman" w:hAnsi="Times New Roman" w:eastAsia="仿宋_GB2312" w:cs="仿宋_GB2312"/>
          <w:color w:val="auto"/>
          <w:szCs w:val="28"/>
          <w:highlight w:val="none"/>
          <w:lang w:val="en-US" w:eastAsia="zh-CN" w:bidi="ar"/>
        </w:rPr>
        <w:t>公顷，占比</w:t>
      </w:r>
      <w:r>
        <w:rPr>
          <w:rFonts w:hint="eastAsia" w:ascii="Times New Roman" w:hAnsi="Times New Roman" w:eastAsia="仿宋_GB2312" w:cs="仿宋_GB2312"/>
          <w:color w:val="auto"/>
          <w:szCs w:val="28"/>
          <w:highlight w:val="none"/>
          <w:lang w:val="en-US" w:eastAsia="zh-CN" w:bidi="ar"/>
        </w:rPr>
        <w:t>0%</w:t>
      </w:r>
      <w:r>
        <w:rPr>
          <w:rFonts w:hint="eastAsia" w:ascii="Times New Roman" w:hAnsi="Times New Roman" w:eastAsia="仿宋_GB2312" w:cs="仿宋_GB2312"/>
          <w:color w:val="auto"/>
          <w:szCs w:val="28"/>
          <w:highlight w:val="none"/>
          <w:lang w:val="en-US" w:eastAsia="zh-CN" w:bidi="ar"/>
        </w:rPr>
        <w:t>。详见下表：</w:t>
      </w:r>
    </w:p>
    <w:p w14:paraId="0F30FCE2">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仿宋_GB2312" w:cs="仿宋_GB2312"/>
          <w:color w:val="auto"/>
          <w:sz w:val="21"/>
          <w:szCs w:val="24"/>
          <w:highlight w:val="none"/>
          <w:lang w:eastAsia="zh-CN"/>
        </w:rPr>
      </w:pPr>
      <w:r>
        <w:rPr>
          <w:rFonts w:hint="eastAsia" w:ascii="Times New Roman" w:hAnsi="Times New Roman" w:eastAsia="仿宋_GB2312" w:cs="仿宋_GB2312"/>
          <w:color w:val="auto"/>
          <w:sz w:val="21"/>
          <w:szCs w:val="24"/>
          <w:highlight w:val="none"/>
        </w:rPr>
        <w:t>表</w:t>
      </w:r>
      <w:r>
        <w:rPr>
          <w:rFonts w:hint="eastAsia" w:ascii="Times New Roman" w:hAnsi="Times New Roman" w:eastAsia="仿宋_GB2312" w:cs="仿宋_GB2312"/>
          <w:color w:val="auto"/>
          <w:sz w:val="21"/>
          <w:szCs w:val="24"/>
          <w:highlight w:val="none"/>
        </w:rPr>
        <w:fldChar w:fldCharType="begin"/>
      </w:r>
      <w:r>
        <w:rPr>
          <w:rFonts w:hint="eastAsia" w:ascii="Times New Roman" w:hAnsi="Times New Roman" w:eastAsia="仿宋_GB2312" w:cs="仿宋_GB2312"/>
          <w:color w:val="auto"/>
          <w:sz w:val="21"/>
          <w:szCs w:val="24"/>
          <w:highlight w:val="none"/>
        </w:rPr>
        <w:instrText xml:space="preserve"> SEQ 表 \* ARABIC </w:instrText>
      </w:r>
      <w:r>
        <w:rPr>
          <w:rFonts w:hint="eastAsia" w:ascii="Times New Roman" w:hAnsi="Times New Roman" w:eastAsia="仿宋_GB2312" w:cs="仿宋_GB2312"/>
          <w:color w:val="auto"/>
          <w:sz w:val="21"/>
          <w:szCs w:val="24"/>
          <w:highlight w:val="none"/>
        </w:rPr>
        <w:fldChar w:fldCharType="separate"/>
      </w:r>
      <w:r>
        <w:rPr>
          <w:rFonts w:hint="eastAsia" w:ascii="Times New Roman" w:hAnsi="Times New Roman" w:eastAsia="仿宋_GB2312" w:cs="仿宋_GB2312"/>
          <w:color w:val="auto"/>
          <w:sz w:val="21"/>
          <w:szCs w:val="24"/>
          <w:highlight w:val="none"/>
        </w:rPr>
        <w:t>2</w:t>
      </w:r>
      <w:r>
        <w:rPr>
          <w:rFonts w:hint="eastAsia" w:ascii="Times New Roman" w:hAnsi="Times New Roman" w:eastAsia="仿宋_GB2312" w:cs="仿宋_GB2312"/>
          <w:color w:val="auto"/>
          <w:sz w:val="21"/>
          <w:szCs w:val="24"/>
          <w:highlight w:val="none"/>
        </w:rPr>
        <w:fldChar w:fldCharType="end"/>
      </w:r>
      <w:r>
        <w:rPr>
          <w:rFonts w:hint="eastAsia" w:ascii="Times New Roman" w:hAnsi="Times New Roman" w:eastAsia="仿宋_GB2312" w:cs="仿宋_GB2312"/>
          <w:color w:val="auto"/>
          <w:sz w:val="21"/>
          <w:szCs w:val="24"/>
          <w:highlight w:val="none"/>
          <w:lang w:eastAsia="zh-CN"/>
        </w:rPr>
        <w:t xml:space="preserve"> 成片开发范围内土地利用现状汇总表</w:t>
      </w:r>
    </w:p>
    <w:tbl>
      <w:tblPr>
        <w:tblStyle w:val="1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44"/>
        <w:gridCol w:w="1313"/>
        <w:gridCol w:w="1546"/>
        <w:gridCol w:w="2075"/>
        <w:gridCol w:w="2042"/>
      </w:tblGrid>
      <w:tr w14:paraId="19CB6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2EA95">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b/>
                <w:bCs/>
                <w:i w:val="0"/>
                <w:iCs w:val="0"/>
                <w:color w:val="000000"/>
                <w:sz w:val="21"/>
                <w:szCs w:val="21"/>
                <w:u w:val="none"/>
              </w:rPr>
            </w:pPr>
            <w:r>
              <w:rPr>
                <w:rFonts w:hint="eastAsia" w:ascii="Times New Roman" w:hAnsi="Times New Roman" w:eastAsia="仿宋_GB2312" w:cs="仿宋_GB2312"/>
                <w:b/>
                <w:bCs/>
                <w:i w:val="0"/>
                <w:iCs w:val="0"/>
                <w:color w:val="000000"/>
                <w:kern w:val="0"/>
                <w:sz w:val="21"/>
                <w:szCs w:val="21"/>
                <w:u w:val="none"/>
                <w:lang w:val="en-US" w:eastAsia="zh-CN" w:bidi="ar"/>
              </w:rPr>
              <w:t>地类</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364CF">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b/>
                <w:bCs/>
                <w:i w:val="0"/>
                <w:iCs w:val="0"/>
                <w:color w:val="000000"/>
                <w:sz w:val="21"/>
                <w:szCs w:val="21"/>
                <w:u w:val="none"/>
              </w:rPr>
            </w:pPr>
            <w:r>
              <w:rPr>
                <w:rFonts w:hint="eastAsia" w:ascii="Times New Roman" w:hAnsi="Times New Roman" w:eastAsia="仿宋_GB2312" w:cs="仿宋_GB2312"/>
                <w:b/>
                <w:bCs/>
                <w:i w:val="0"/>
                <w:iCs w:val="0"/>
                <w:color w:val="000000"/>
                <w:kern w:val="0"/>
                <w:sz w:val="21"/>
                <w:szCs w:val="21"/>
                <w:u w:val="none"/>
                <w:lang w:val="en-US" w:eastAsia="zh-CN" w:bidi="ar"/>
              </w:rPr>
              <w:t>面积（公顷）</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FAD7">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b/>
                <w:bCs/>
                <w:i w:val="0"/>
                <w:iCs w:val="0"/>
                <w:color w:val="000000"/>
                <w:sz w:val="21"/>
                <w:szCs w:val="21"/>
                <w:u w:val="none"/>
              </w:rPr>
            </w:pPr>
            <w:r>
              <w:rPr>
                <w:rFonts w:hint="eastAsia" w:ascii="Times New Roman" w:hAnsi="Times New Roman" w:eastAsia="仿宋_GB2312" w:cs="仿宋_GB2312"/>
                <w:b/>
                <w:bCs/>
                <w:i w:val="0"/>
                <w:iCs w:val="0"/>
                <w:color w:val="000000"/>
                <w:kern w:val="0"/>
                <w:sz w:val="21"/>
                <w:szCs w:val="21"/>
                <w:u w:val="none"/>
                <w:lang w:val="en-US" w:eastAsia="zh-CN" w:bidi="ar"/>
              </w:rPr>
              <w:t>占总用地比例</w:t>
            </w:r>
          </w:p>
        </w:tc>
      </w:tr>
      <w:tr w14:paraId="3A9F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09B4">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农用地</w:t>
            </w:r>
          </w:p>
        </w:tc>
        <w:tc>
          <w:tcPr>
            <w:tcW w:w="7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C894A">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耕地</w:t>
            </w:r>
          </w:p>
        </w:tc>
        <w:tc>
          <w:tcPr>
            <w:tcW w:w="9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38461">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水田</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AE8BA">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3.2358</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F03F8">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20.57%</w:t>
            </w:r>
          </w:p>
        </w:tc>
      </w:tr>
      <w:tr w14:paraId="47368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CC0BA">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7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15440">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8A3E">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水浇地</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C3BD7">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0.0405</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D4FB6">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0.26%</w:t>
            </w:r>
          </w:p>
        </w:tc>
      </w:tr>
      <w:tr w14:paraId="30536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12B31">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7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5C0DE">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57D6A">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旱地</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42A87">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0.0000</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237F9">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0.00%</w:t>
            </w:r>
          </w:p>
        </w:tc>
      </w:tr>
      <w:tr w14:paraId="361A9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BF3F7">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7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EEE07">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9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2B18">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小计</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6077">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3.2763</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D8EC6">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20.83%</w:t>
            </w:r>
          </w:p>
        </w:tc>
      </w:tr>
      <w:tr w14:paraId="199A2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FB362">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1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FC008">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园地</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7324">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6.4901</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F6E1">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41.26%</w:t>
            </w:r>
          </w:p>
        </w:tc>
      </w:tr>
      <w:tr w14:paraId="58252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029E9">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1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C2F36">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林地</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65243">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0.3988</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3AE13">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2.54%</w:t>
            </w:r>
          </w:p>
        </w:tc>
      </w:tr>
      <w:tr w14:paraId="6A17D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FC7FE">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1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60A25">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草地</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58374">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0.0195</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84051">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0.12%</w:t>
            </w:r>
          </w:p>
        </w:tc>
      </w:tr>
      <w:tr w14:paraId="36150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BF47">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1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F7E40">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其他农用地</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F1F0">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0.1321</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E446D">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0.84%</w:t>
            </w:r>
          </w:p>
        </w:tc>
      </w:tr>
      <w:tr w14:paraId="6EEF1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9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B1CC1">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rPr>
                <w:rFonts w:hint="eastAsia" w:ascii="Times New Roman" w:hAnsi="Times New Roman" w:eastAsia="仿宋_GB2312" w:cs="仿宋_GB2312"/>
                <w:i w:val="0"/>
                <w:iCs w:val="0"/>
                <w:color w:val="000000"/>
                <w:sz w:val="21"/>
                <w:szCs w:val="21"/>
                <w:u w:val="none"/>
              </w:rPr>
            </w:pPr>
          </w:p>
        </w:tc>
        <w:tc>
          <w:tcPr>
            <w:tcW w:w="168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22253">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小计</w:t>
            </w:r>
          </w:p>
        </w:tc>
        <w:tc>
          <w:tcPr>
            <w:tcW w:w="2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7BD9">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10.3168</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90B0">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65.59%</w:t>
            </w:r>
          </w:p>
        </w:tc>
      </w:tr>
      <w:tr w14:paraId="44CEE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9932">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center"/>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建设用地</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80E2">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5.4116</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3163">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34.41%</w:t>
            </w:r>
          </w:p>
        </w:tc>
      </w:tr>
      <w:tr w14:paraId="59D3C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26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54B3D">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未利用地</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2C83D">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0.0000</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D6E9">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0.00%</w:t>
            </w:r>
          </w:p>
        </w:tc>
      </w:tr>
      <w:tr w14:paraId="347B7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2601"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18EC">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sz w:val="21"/>
                <w:szCs w:val="21"/>
                <w:u w:val="none"/>
              </w:rPr>
            </w:pPr>
            <w:r>
              <w:rPr>
                <w:rFonts w:hint="eastAsia" w:ascii="Times New Roman" w:hAnsi="Times New Roman" w:eastAsia="仿宋_GB2312" w:cs="仿宋_GB2312"/>
                <w:i w:val="0"/>
                <w:iCs w:val="0"/>
                <w:color w:val="000000"/>
                <w:kern w:val="0"/>
                <w:sz w:val="21"/>
                <w:szCs w:val="21"/>
                <w:u w:val="none"/>
                <w:lang w:val="en-US" w:eastAsia="zh-CN" w:bidi="ar"/>
              </w:rPr>
              <w:t>合计</w:t>
            </w:r>
          </w:p>
        </w:tc>
        <w:tc>
          <w:tcPr>
            <w:tcW w:w="12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4F81">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15.7284</w:t>
            </w:r>
          </w:p>
        </w:tc>
        <w:tc>
          <w:tcPr>
            <w:tcW w:w="11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0EC38">
            <w:pPr>
              <w:keepNext w:val="0"/>
              <w:keepLines w:val="0"/>
              <w:pageBreakBefore w:val="0"/>
              <w:widowControl/>
              <w:suppressLineNumbers w:val="0"/>
              <w:kinsoku/>
              <w:wordWrap/>
              <w:overflowPunct/>
              <w:topLinePunct w:val="0"/>
              <w:autoSpaceDE/>
              <w:autoSpaceDN/>
              <w:bidi w:val="0"/>
              <w:adjustRightInd/>
              <w:snapToGrid w:val="0"/>
              <w:spacing w:before="0" w:after="0" w:line="240" w:lineRule="auto"/>
              <w:ind w:firstLine="0" w:firstLineChars="0"/>
              <w:jc w:val="center"/>
              <w:textAlignment w:val="bottom"/>
              <w:rPr>
                <w:rFonts w:hint="eastAsia" w:ascii="Times New Roman" w:hAnsi="Times New Roman" w:eastAsia="仿宋_GB2312" w:cs="仿宋_GB2312"/>
                <w:i w:val="0"/>
                <w:iCs w:val="0"/>
                <w:color w:val="000000"/>
                <w:kern w:val="0"/>
                <w:sz w:val="21"/>
                <w:szCs w:val="21"/>
                <w:u w:val="none"/>
                <w:lang w:val="en-US" w:eastAsia="zh-CN" w:bidi="ar"/>
              </w:rPr>
            </w:pPr>
            <w:r>
              <w:rPr>
                <w:rFonts w:hint="eastAsia" w:ascii="Times New Roman" w:hAnsi="Times New Roman" w:eastAsia="仿宋_GB2312" w:cs="仿宋_GB2312"/>
                <w:i w:val="0"/>
                <w:iCs w:val="0"/>
                <w:color w:val="000000"/>
                <w:kern w:val="0"/>
                <w:sz w:val="21"/>
                <w:szCs w:val="21"/>
                <w:u w:val="none"/>
                <w:lang w:val="en-US" w:eastAsia="zh-CN" w:bidi="ar"/>
              </w:rPr>
              <w:t>100.00%</w:t>
            </w:r>
          </w:p>
        </w:tc>
      </w:tr>
    </w:tbl>
    <w:p w14:paraId="17016777">
      <w:pPr>
        <w:ind w:firstLine="560"/>
        <w:jc w:val="both"/>
        <w:rPr>
          <w:rFonts w:hint="eastAsia" w:ascii="Times New Roman" w:hAnsi="Times New Roman" w:eastAsia="仿宋_GB2312" w:cs="仿宋_GB2312"/>
          <w:color w:val="auto"/>
          <w:lang w:val="en-US" w:eastAsia="zh-CN"/>
        </w:rPr>
      </w:pPr>
    </w:p>
    <w:p w14:paraId="5E651B36">
      <w:pPr>
        <w:pStyle w:val="2"/>
        <w:ind w:left="0" w:firstLine="0"/>
        <w:rPr>
          <w:rFonts w:hint="eastAsia" w:ascii="Times New Roman" w:hAnsi="Times New Roman" w:eastAsia="仿宋_GB2312" w:cs="仿宋_GB2312"/>
          <w:b/>
          <w:bCs w:val="0"/>
          <w:color w:val="auto"/>
          <w:sz w:val="36"/>
          <w:szCs w:val="48"/>
          <w:highlight w:val="none"/>
          <w:lang w:val="en-US" w:eastAsia="zh-CN"/>
        </w:rPr>
      </w:pPr>
      <w:bookmarkStart w:id="39" w:name="_Toc18359"/>
      <w:bookmarkStart w:id="40" w:name="_Toc93308256"/>
      <w:bookmarkStart w:id="41" w:name="_Toc130412821"/>
      <w:bookmarkStart w:id="42" w:name="_Toc80086080"/>
      <w:r>
        <w:rPr>
          <w:rFonts w:hint="eastAsia" w:ascii="Times New Roman" w:hAnsi="Times New Roman" w:eastAsia="仿宋_GB2312" w:cs="仿宋_GB2312"/>
          <w:b/>
          <w:bCs w:val="0"/>
          <w:color w:val="auto"/>
          <w:sz w:val="36"/>
          <w:szCs w:val="48"/>
          <w:highlight w:val="none"/>
          <w:lang w:val="en-US" w:eastAsia="zh-CN"/>
        </w:rPr>
        <w:t>四</w:t>
      </w:r>
      <w:r>
        <w:rPr>
          <w:rFonts w:hint="eastAsia" w:ascii="Times New Roman" w:hAnsi="Times New Roman" w:eastAsia="仿宋_GB2312" w:cs="仿宋_GB2312"/>
          <w:b/>
          <w:bCs w:val="0"/>
          <w:color w:val="auto"/>
          <w:sz w:val="36"/>
          <w:szCs w:val="48"/>
          <w:highlight w:val="none"/>
        </w:rPr>
        <w:t>、成片开发</w:t>
      </w:r>
      <w:bookmarkEnd w:id="39"/>
      <w:bookmarkEnd w:id="40"/>
      <w:bookmarkEnd w:id="41"/>
      <w:bookmarkEnd w:id="42"/>
      <w:r>
        <w:rPr>
          <w:rFonts w:hint="eastAsia" w:ascii="Times New Roman" w:hAnsi="Times New Roman" w:eastAsia="仿宋_GB2312" w:cs="仿宋_GB2312"/>
          <w:b/>
          <w:bCs w:val="0"/>
          <w:color w:val="auto"/>
          <w:sz w:val="36"/>
          <w:szCs w:val="48"/>
          <w:highlight w:val="none"/>
          <w:lang w:val="en-US" w:eastAsia="zh-CN"/>
        </w:rPr>
        <w:t>条件分析</w:t>
      </w:r>
    </w:p>
    <w:p w14:paraId="78C5ECFB">
      <w:pPr>
        <w:pStyle w:val="3"/>
        <w:widowControl/>
        <w:spacing w:before="0" w:after="0" w:line="360" w:lineRule="auto"/>
        <w:ind w:firstLine="321" w:firstLineChars="100"/>
        <w:rPr>
          <w:rFonts w:hint="eastAsia" w:ascii="Times New Roman" w:hAnsi="Times New Roman" w:eastAsia="仿宋_GB2312" w:cs="仿宋_GB2312"/>
          <w:color w:val="auto"/>
          <w:highlight w:val="none"/>
          <w:lang w:val="en-US" w:eastAsia="zh-CN"/>
        </w:rPr>
      </w:pPr>
      <w:bookmarkStart w:id="43" w:name="_Toc130412822"/>
      <w:bookmarkStart w:id="44" w:name="_Toc93308257"/>
      <w:bookmarkStart w:id="45" w:name="_Toc27604"/>
      <w:bookmarkStart w:id="46" w:name="_Toc80086081"/>
      <w:r>
        <w:rPr>
          <w:rFonts w:hint="eastAsia" w:ascii="Times New Roman" w:hAnsi="Times New Roman" w:eastAsia="仿宋_GB2312" w:cs="仿宋_GB2312"/>
          <w:color w:val="auto"/>
          <w:highlight w:val="none"/>
        </w:rPr>
        <w:t>（一）必要性</w:t>
      </w:r>
      <w:bookmarkEnd w:id="43"/>
      <w:bookmarkEnd w:id="44"/>
      <w:bookmarkEnd w:id="45"/>
      <w:bookmarkEnd w:id="46"/>
      <w:r>
        <w:rPr>
          <w:rFonts w:hint="eastAsia" w:ascii="Times New Roman" w:hAnsi="Times New Roman" w:eastAsia="仿宋_GB2312" w:cs="仿宋_GB2312"/>
          <w:color w:val="auto"/>
          <w:highlight w:val="none"/>
          <w:lang w:val="en-US" w:eastAsia="zh-CN"/>
        </w:rPr>
        <w:t>分析</w:t>
      </w:r>
    </w:p>
    <w:p w14:paraId="32360A37">
      <w:pPr>
        <w:pStyle w:val="4"/>
        <w:widowControl/>
        <w:spacing w:before="0" w:after="0" w:line="360" w:lineRule="auto"/>
        <w:ind w:firstLine="567" w:firstLineChars="0"/>
        <w:rPr>
          <w:rFonts w:hint="eastAsia" w:ascii="Times New Roman" w:hAnsi="Times New Roman" w:eastAsia="仿宋_GB2312" w:cs="仿宋_GB2312"/>
          <w:color w:val="auto"/>
          <w:sz w:val="28"/>
          <w:highlight w:val="none"/>
          <w:lang w:val="en-US" w:eastAsia="zh-CN"/>
        </w:rPr>
      </w:pPr>
      <w:r>
        <w:rPr>
          <w:rFonts w:hint="eastAsia" w:ascii="Times New Roman" w:hAnsi="Times New Roman" w:eastAsia="仿宋_GB2312" w:cs="仿宋_GB2312"/>
          <w:color w:val="auto"/>
          <w:sz w:val="28"/>
          <w:highlight w:val="none"/>
        </w:rPr>
        <w:t>1．着力推动产业集聚集群发展，加快</w:t>
      </w:r>
      <w:r>
        <w:rPr>
          <w:rFonts w:hint="eastAsia" w:ascii="Times New Roman" w:hAnsi="Times New Roman" w:eastAsia="仿宋_GB2312" w:cs="仿宋_GB2312"/>
          <w:color w:val="auto"/>
          <w:sz w:val="28"/>
          <w:highlight w:val="none"/>
          <w:lang w:val="en-US" w:eastAsia="zh-CN"/>
        </w:rPr>
        <w:t>构建县域现代化产业体系</w:t>
      </w:r>
    </w:p>
    <w:p w14:paraId="0BE8F434">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作为全国百强县和广东县域经济的“排头兵”，博罗县大力实施“百县千镇万村高质量发展工程”，坚持实体经济为本、制造业当家，</w:t>
      </w:r>
      <w:r>
        <w:rPr>
          <w:rFonts w:hint="eastAsia" w:ascii="Times New Roman" w:hAnsi="Times New Roman" w:eastAsia="仿宋_GB2312" w:cs="仿宋_GB2312"/>
          <w:color w:val="auto"/>
          <w:szCs w:val="28"/>
          <w:highlight w:val="none"/>
          <w:lang w:val="en-US" w:eastAsia="zh-CN" w:bidi="ar"/>
        </w:rPr>
        <w:t>重点培育新兴产业，</w:t>
      </w:r>
      <w:r>
        <w:rPr>
          <w:rFonts w:hint="eastAsia" w:ascii="Times New Roman" w:hAnsi="Times New Roman" w:eastAsia="仿宋_GB2312" w:cs="仿宋_GB2312"/>
          <w:color w:val="auto"/>
          <w:szCs w:val="28"/>
          <w:highlight w:val="none"/>
          <w:lang w:val="en-US" w:eastAsia="zh-CN" w:bidi="ar"/>
        </w:rPr>
        <w:t>加速构建现代化产业体系，推动县域经济实力持续跃升。</w:t>
      </w:r>
    </w:p>
    <w:p w14:paraId="0740B977">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本次土地征收成片</w:t>
      </w:r>
      <w:r>
        <w:rPr>
          <w:rFonts w:hint="eastAsia" w:ascii="Times New Roman" w:hAnsi="Times New Roman" w:eastAsia="仿宋_GB2312" w:cs="仿宋_GB2312"/>
          <w:color w:val="auto"/>
          <w:szCs w:val="28"/>
          <w:highlight w:val="none"/>
          <w:lang w:val="en-US" w:eastAsia="zh-CN" w:bidi="ar"/>
        </w:rPr>
        <w:t>开发范围位于博罗县龙华镇，拟征收土地主要用于工业项目，拟依托现有链主企业如台铃、小刀等，对产业链就地进行延链补链强链，解决电动车上下游企业落地难题，实现企业生产要素的高效供应，推动电动车产业集群发展，形成一个以新能源（含新型储能）为主导的现代化产业体系。</w:t>
      </w:r>
    </w:p>
    <w:p w14:paraId="095684F9">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本次土地征收成片开发一方面保障了产业用地，另一方面完善</w:t>
      </w:r>
      <w:r>
        <w:rPr>
          <w:rFonts w:hint="eastAsia" w:ascii="Times New Roman" w:hAnsi="Times New Roman" w:eastAsia="仿宋_GB2312" w:cs="仿宋_GB2312"/>
          <w:color w:val="auto"/>
          <w:szCs w:val="28"/>
          <w:highlight w:val="none"/>
          <w:lang w:val="en-US" w:eastAsia="zh-CN" w:bidi="ar"/>
        </w:rPr>
        <w:t>了地区公共配套设施</w:t>
      </w:r>
      <w:r>
        <w:rPr>
          <w:rFonts w:hint="eastAsia" w:ascii="Times New Roman" w:hAnsi="Times New Roman" w:eastAsia="仿宋_GB2312" w:cs="仿宋_GB2312"/>
          <w:color w:val="auto"/>
          <w:szCs w:val="28"/>
          <w:highlight w:val="none"/>
          <w:lang w:val="en-US" w:eastAsia="zh-CN" w:bidi="ar"/>
        </w:rPr>
        <w:t>的建设，夯实了</w:t>
      </w:r>
      <w:r>
        <w:rPr>
          <w:rFonts w:hint="eastAsia" w:ascii="Times New Roman" w:hAnsi="Times New Roman" w:eastAsia="仿宋_GB2312" w:cs="仿宋_GB2312"/>
          <w:color w:val="auto"/>
          <w:szCs w:val="28"/>
          <w:highlight w:val="none"/>
          <w:lang w:val="en-US" w:eastAsia="zh-CN" w:bidi="ar"/>
        </w:rPr>
        <w:t>地区</w:t>
      </w:r>
      <w:r>
        <w:rPr>
          <w:rFonts w:hint="eastAsia" w:ascii="Times New Roman" w:hAnsi="Times New Roman" w:eastAsia="仿宋_GB2312" w:cs="仿宋_GB2312"/>
          <w:color w:val="auto"/>
          <w:szCs w:val="28"/>
          <w:highlight w:val="none"/>
          <w:lang w:val="en-US" w:eastAsia="zh-CN" w:bidi="ar"/>
        </w:rPr>
        <w:t>发展要素基础，助推</w:t>
      </w:r>
      <w:r>
        <w:rPr>
          <w:rFonts w:hint="eastAsia" w:ascii="Times New Roman" w:hAnsi="Times New Roman" w:eastAsia="仿宋_GB2312" w:cs="仿宋_GB2312"/>
          <w:color w:val="auto"/>
          <w:szCs w:val="28"/>
          <w:highlight w:val="none"/>
          <w:lang w:val="en-US" w:eastAsia="zh-CN" w:bidi="ar"/>
        </w:rPr>
        <w:t>博罗县</w:t>
      </w:r>
      <w:r>
        <w:rPr>
          <w:rFonts w:hint="eastAsia" w:ascii="Times New Roman" w:hAnsi="Times New Roman" w:eastAsia="仿宋_GB2312" w:cs="仿宋_GB2312"/>
          <w:color w:val="auto"/>
          <w:szCs w:val="28"/>
          <w:highlight w:val="none"/>
          <w:lang w:val="en-US" w:eastAsia="zh-CN" w:bidi="ar"/>
        </w:rPr>
        <w:t>构建更有竞争力的现代产业新体系，促进博罗产城融合高质量发展。</w:t>
      </w:r>
    </w:p>
    <w:p w14:paraId="7E255832">
      <w:pPr>
        <w:pStyle w:val="4"/>
        <w:widowControl/>
        <w:spacing w:before="0" w:after="0" w:line="360" w:lineRule="auto"/>
        <w:ind w:firstLine="567" w:firstLineChars="0"/>
        <w:rPr>
          <w:rFonts w:hint="eastAsia" w:ascii="Times New Roman" w:hAnsi="Times New Roman" w:eastAsia="仿宋_GB2312" w:cs="仿宋_GB2312"/>
          <w:color w:val="auto"/>
          <w:sz w:val="28"/>
          <w:highlight w:val="none"/>
        </w:rPr>
      </w:pPr>
      <w:r>
        <w:rPr>
          <w:rFonts w:hint="eastAsia" w:ascii="Times New Roman" w:hAnsi="Times New Roman" w:eastAsia="仿宋_GB2312" w:cs="仿宋_GB2312"/>
          <w:color w:val="auto"/>
          <w:sz w:val="28"/>
          <w:highlight w:val="none"/>
          <w:lang w:val="en-US" w:eastAsia="zh-CN"/>
        </w:rPr>
        <w:t>2</w:t>
      </w:r>
      <w:r>
        <w:rPr>
          <w:rFonts w:hint="eastAsia" w:ascii="Times New Roman" w:hAnsi="Times New Roman" w:eastAsia="仿宋_GB2312" w:cs="仿宋_GB2312"/>
          <w:color w:val="auto"/>
          <w:sz w:val="28"/>
          <w:highlight w:val="none"/>
        </w:rPr>
        <w:t>．</w:t>
      </w:r>
      <w:r>
        <w:rPr>
          <w:rFonts w:hint="eastAsia" w:ascii="Times New Roman" w:hAnsi="Times New Roman" w:eastAsia="仿宋_GB2312" w:cs="仿宋_GB2312"/>
          <w:b/>
          <w:bCs/>
          <w:color w:val="auto"/>
          <w:sz w:val="30"/>
          <w:szCs w:val="30"/>
          <w:highlight w:val="none"/>
          <w:lang w:val="en-US" w:eastAsia="zh-CN"/>
        </w:rPr>
        <w:t>突出集聚集约和高强度集中连片开发，提高土地节约集约利用水平</w:t>
      </w:r>
    </w:p>
    <w:p w14:paraId="7F7B3F81">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bookmarkStart w:id="47" w:name="_Toc93308258"/>
      <w:bookmarkStart w:id="48" w:name="_Toc32622"/>
      <w:r>
        <w:rPr>
          <w:rFonts w:hint="eastAsia" w:ascii="Times New Roman" w:hAnsi="Times New Roman" w:eastAsia="仿宋_GB2312" w:cs="仿宋_GB2312"/>
          <w:color w:val="auto"/>
          <w:szCs w:val="28"/>
          <w:highlight w:val="none"/>
          <w:lang w:val="en-US" w:eastAsia="zh-CN" w:bidi="ar"/>
        </w:rPr>
        <w:t>按照高质量发展的要求，开发建设要树立新的发展观念，由传统的零散、单个、低效的土地开发模式向整体、集中、成片的开发方式转变，按照征收一片、建设一片、开发一片的总要求，以系统性、完整性、连成片为原则，以保障公共利益需求为核心，提高集约高效发展，完善城市功能。</w:t>
      </w:r>
    </w:p>
    <w:p w14:paraId="737D447C">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本次拟实施土地征收成片开发建设的项目主要分布在已初具产业规模的镇（街）内，规划建设项目与原有已批建设用地连片统筹开发利用，将有效提高镇（街）工业园区承载能力</w:t>
      </w:r>
      <w:r>
        <w:rPr>
          <w:rFonts w:hint="eastAsia" w:ascii="Times New Roman" w:hAnsi="Times New Roman" w:eastAsia="仿宋_GB2312" w:cs="仿宋_GB2312"/>
          <w:color w:val="auto"/>
          <w:szCs w:val="28"/>
          <w:highlight w:val="none"/>
          <w:lang w:val="en-US" w:eastAsia="zh-CN" w:bidi="ar"/>
        </w:rPr>
        <w:t>；</w:t>
      </w:r>
      <w:r>
        <w:rPr>
          <w:rFonts w:hint="eastAsia" w:ascii="Times New Roman" w:hAnsi="Times New Roman" w:eastAsia="仿宋_GB2312" w:cs="仿宋_GB2312"/>
          <w:color w:val="auto"/>
          <w:szCs w:val="28"/>
          <w:highlight w:val="none"/>
          <w:lang w:val="en-US" w:eastAsia="zh-CN" w:bidi="ar"/>
        </w:rPr>
        <w:t>完善区域</w:t>
      </w:r>
      <w:r>
        <w:rPr>
          <w:rFonts w:hint="eastAsia" w:ascii="Times New Roman" w:hAnsi="Times New Roman" w:eastAsia="仿宋_GB2312" w:cs="仿宋_GB2312"/>
          <w:color w:val="auto"/>
          <w:szCs w:val="28"/>
          <w:highlight w:val="none"/>
          <w:lang w:val="en-US" w:eastAsia="zh-CN" w:bidi="ar"/>
        </w:rPr>
        <w:t>公共配套</w:t>
      </w:r>
      <w:r>
        <w:rPr>
          <w:rFonts w:hint="eastAsia" w:ascii="Times New Roman" w:hAnsi="Times New Roman" w:eastAsia="仿宋_GB2312" w:cs="仿宋_GB2312"/>
          <w:color w:val="auto"/>
          <w:szCs w:val="28"/>
          <w:highlight w:val="none"/>
          <w:lang w:val="en-US" w:eastAsia="zh-CN" w:bidi="ar"/>
        </w:rPr>
        <w:t>建设，</w:t>
      </w:r>
      <w:r>
        <w:rPr>
          <w:rFonts w:hint="eastAsia" w:ascii="Times New Roman" w:hAnsi="Times New Roman" w:eastAsia="仿宋_GB2312" w:cs="仿宋_GB2312"/>
          <w:color w:val="auto"/>
          <w:szCs w:val="28"/>
          <w:highlight w:val="none"/>
          <w:lang w:val="en-US" w:eastAsia="zh-CN" w:bidi="ar"/>
        </w:rPr>
        <w:t>将</w:t>
      </w:r>
      <w:r>
        <w:rPr>
          <w:rFonts w:hint="eastAsia" w:ascii="Times New Roman" w:hAnsi="Times New Roman" w:eastAsia="仿宋_GB2312" w:cs="仿宋_GB2312"/>
          <w:color w:val="auto"/>
          <w:szCs w:val="28"/>
          <w:highlight w:val="none"/>
          <w:lang w:val="en-US" w:eastAsia="zh-CN" w:bidi="ar"/>
        </w:rPr>
        <w:t>有利于整合区域土地资源，优化</w:t>
      </w:r>
      <w:r>
        <w:rPr>
          <w:rFonts w:hint="eastAsia" w:ascii="Times New Roman" w:hAnsi="Times New Roman" w:eastAsia="仿宋_GB2312" w:cs="仿宋_GB2312"/>
          <w:color w:val="auto"/>
          <w:szCs w:val="28"/>
          <w:highlight w:val="none"/>
          <w:lang w:val="en-US" w:eastAsia="zh-CN" w:bidi="ar"/>
        </w:rPr>
        <w:t>区域</w:t>
      </w:r>
      <w:r>
        <w:rPr>
          <w:rFonts w:hint="eastAsia" w:ascii="Times New Roman" w:hAnsi="Times New Roman" w:eastAsia="仿宋_GB2312" w:cs="仿宋_GB2312"/>
          <w:color w:val="auto"/>
          <w:szCs w:val="28"/>
          <w:highlight w:val="none"/>
          <w:lang w:val="en-US" w:eastAsia="zh-CN" w:bidi="ar"/>
        </w:rPr>
        <w:t>土地利用结构，加快补齐区域发展短板。</w:t>
      </w:r>
    </w:p>
    <w:p w14:paraId="357156C5">
      <w:pPr>
        <w:pStyle w:val="3"/>
        <w:widowControl/>
        <w:spacing w:before="0" w:after="0" w:line="360" w:lineRule="auto"/>
        <w:ind w:firstLine="321" w:firstLineChars="100"/>
        <w:rPr>
          <w:rFonts w:hint="eastAsia" w:ascii="Times New Roman" w:hAnsi="Times New Roman" w:eastAsia="仿宋_GB2312" w:cs="仿宋_GB2312"/>
          <w:color w:val="auto"/>
          <w:highlight w:val="none"/>
          <w:lang w:val="en-US" w:eastAsia="zh-CN"/>
        </w:rPr>
      </w:pPr>
      <w:bookmarkStart w:id="49" w:name="_Toc130412823"/>
      <w:r>
        <w:rPr>
          <w:rFonts w:hint="eastAsia" w:ascii="Times New Roman" w:hAnsi="Times New Roman" w:eastAsia="仿宋_GB2312" w:cs="仿宋_GB2312"/>
          <w:color w:val="auto"/>
          <w:highlight w:val="none"/>
        </w:rPr>
        <w:t>（二）</w:t>
      </w:r>
      <w:bookmarkEnd w:id="47"/>
      <w:bookmarkEnd w:id="48"/>
      <w:bookmarkEnd w:id="49"/>
      <w:r>
        <w:rPr>
          <w:rFonts w:hint="eastAsia" w:ascii="Times New Roman" w:hAnsi="Times New Roman" w:eastAsia="仿宋_GB2312" w:cs="仿宋_GB2312"/>
          <w:color w:val="auto"/>
          <w:highlight w:val="none"/>
          <w:lang w:val="en-US" w:eastAsia="zh-CN"/>
        </w:rPr>
        <w:t>合规性分析</w:t>
      </w:r>
    </w:p>
    <w:p w14:paraId="7B67D692">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1</w:t>
      </w:r>
      <w:r>
        <w:rPr>
          <w:rFonts w:hint="eastAsia" w:ascii="Times New Roman" w:hAnsi="Times New Roman" w:eastAsia="仿宋_GB2312" w:cs="仿宋_GB2312"/>
          <w:color w:val="auto"/>
          <w:szCs w:val="28"/>
          <w:highlight w:val="none"/>
          <w:lang w:val="en-US" w:eastAsia="zh-CN" w:bidi="ar"/>
        </w:rPr>
        <w:t>．土地征收成片开发范围包含</w:t>
      </w:r>
      <w:r>
        <w:rPr>
          <w:rFonts w:hint="eastAsia" w:ascii="Times New Roman" w:hAnsi="Times New Roman" w:eastAsia="仿宋_GB2312" w:cs="仿宋_GB2312"/>
          <w:color w:val="auto"/>
          <w:szCs w:val="28"/>
          <w:highlight w:val="none"/>
          <w:lang w:val="en-US" w:eastAsia="zh-CN" w:bidi="ar"/>
        </w:rPr>
        <w:t>6个地块</w:t>
      </w:r>
      <w:r>
        <w:rPr>
          <w:rFonts w:hint="eastAsia" w:ascii="Times New Roman" w:hAnsi="Times New Roman" w:eastAsia="仿宋_GB2312" w:cs="仿宋_GB2312"/>
          <w:color w:val="auto"/>
          <w:szCs w:val="28"/>
          <w:highlight w:val="none"/>
          <w:lang w:val="en-US" w:eastAsia="zh-CN" w:bidi="ar"/>
        </w:rPr>
        <w:t>，共计15.7284</w:t>
      </w:r>
      <w:r>
        <w:rPr>
          <w:rFonts w:hint="eastAsia" w:ascii="Times New Roman" w:hAnsi="Times New Roman" w:eastAsia="仿宋_GB2312" w:cs="仿宋_GB2312"/>
          <w:color w:val="auto"/>
          <w:szCs w:val="28"/>
          <w:highlight w:val="none"/>
          <w:lang w:val="en-US" w:eastAsia="zh-CN" w:bidi="ar"/>
        </w:rPr>
        <w:t>公顷</w:t>
      </w:r>
      <w:r>
        <w:rPr>
          <w:rFonts w:hint="eastAsia" w:ascii="Times New Roman" w:hAnsi="Times New Roman" w:eastAsia="仿宋_GB2312" w:cs="仿宋_GB2312"/>
          <w:color w:val="auto"/>
          <w:szCs w:val="28"/>
          <w:highlight w:val="none"/>
          <w:lang w:val="en-US" w:eastAsia="zh-CN" w:bidi="ar"/>
        </w:rPr>
        <w:t>，经核查《博罗县国土空间总体规划（2021-2035年）》（启用版数据库成果），本次土地征收成片开发范围均位于国土空间总体规划的城镇建设用地范围内，拟征地范围主要用途为工业用地，不违反国土空间总体规划的强制性内容。</w:t>
      </w:r>
    </w:p>
    <w:p w14:paraId="1B5951A1">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2．成片开发方案中，成片开发范围公益性用地占比高于30%，符合基础设施、公共服务设施以及其他公益性用地比例不低于30%的要求。</w:t>
      </w:r>
    </w:p>
    <w:p w14:paraId="1407E662">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3．成片开发方案中，拟征收地块面积占比67.05%，符合拟征收地块面积不小于土地征收成片开发范围面积60%的要求。</w:t>
      </w:r>
    </w:p>
    <w:p w14:paraId="06572A8D">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4．成片开发方案中，成片开发范围均不涉及占用永久基本农田和生态保护红线，符合成片开发方案上报审查的要求。</w:t>
      </w:r>
    </w:p>
    <w:p w14:paraId="1B4E042D">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5．博罗县不存在已批准实施的土地征收成片开发连续两年未完成年度土地征收实施计划情况，本次土地征收成片开发范围与已批准实施的土地征收成片开发范围不存在重叠，符合成片开发方案上报审查的要求。</w:t>
      </w:r>
    </w:p>
    <w:p w14:paraId="7A425616">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综上所述，博罗县不存在《广东省自然资源厅关于进一步规范土地征收成片开发工作的通知》（粤自然资规字〔2024〕7号）等相关文件规定的不得批准土地征收成片开发方案情形，本次方案编制符合政策要求。</w:t>
      </w:r>
    </w:p>
    <w:p w14:paraId="6990CF91">
      <w:pPr>
        <w:pStyle w:val="2"/>
        <w:ind w:left="0" w:firstLine="0"/>
        <w:rPr>
          <w:rFonts w:hint="eastAsia" w:ascii="Times New Roman" w:hAnsi="Times New Roman" w:eastAsia="仿宋_GB2312" w:cs="仿宋_GB2312"/>
          <w:b/>
          <w:bCs w:val="0"/>
          <w:color w:val="auto"/>
          <w:sz w:val="36"/>
          <w:szCs w:val="48"/>
          <w:highlight w:val="none"/>
        </w:rPr>
      </w:pPr>
      <w:bookmarkStart w:id="50" w:name="_Toc15293"/>
      <w:bookmarkStart w:id="51" w:name="_Toc130412824"/>
      <w:bookmarkStart w:id="52" w:name="_Toc93308259"/>
      <w:r>
        <w:rPr>
          <w:rFonts w:hint="eastAsia" w:ascii="Times New Roman" w:hAnsi="Times New Roman" w:eastAsia="仿宋_GB2312" w:cs="仿宋_GB2312"/>
          <w:b/>
          <w:bCs w:val="0"/>
          <w:color w:val="auto"/>
          <w:sz w:val="36"/>
          <w:szCs w:val="48"/>
          <w:highlight w:val="none"/>
          <w:lang w:val="en-US" w:eastAsia="zh-CN"/>
        </w:rPr>
        <w:t>五</w:t>
      </w:r>
      <w:r>
        <w:rPr>
          <w:rFonts w:hint="eastAsia" w:ascii="Times New Roman" w:hAnsi="Times New Roman" w:eastAsia="仿宋_GB2312" w:cs="仿宋_GB2312"/>
          <w:b/>
          <w:bCs w:val="0"/>
          <w:color w:val="auto"/>
          <w:sz w:val="36"/>
          <w:szCs w:val="48"/>
          <w:highlight w:val="none"/>
        </w:rPr>
        <w:t>、土地</w:t>
      </w:r>
      <w:r>
        <w:rPr>
          <w:rFonts w:hint="eastAsia" w:ascii="Times New Roman" w:hAnsi="Times New Roman" w:eastAsia="仿宋_GB2312" w:cs="仿宋_GB2312"/>
          <w:b/>
          <w:bCs w:val="0"/>
          <w:color w:val="auto"/>
          <w:sz w:val="36"/>
          <w:szCs w:val="48"/>
          <w:highlight w:val="none"/>
          <w:lang w:val="en-US" w:eastAsia="zh-CN"/>
        </w:rPr>
        <w:t>用途与实现功能</w:t>
      </w:r>
      <w:bookmarkEnd w:id="50"/>
      <w:bookmarkEnd w:id="51"/>
      <w:bookmarkEnd w:id="52"/>
    </w:p>
    <w:p w14:paraId="17B62397">
      <w:pPr>
        <w:pStyle w:val="3"/>
        <w:widowControl/>
        <w:spacing w:before="0" w:after="0" w:line="360" w:lineRule="auto"/>
        <w:ind w:firstLine="321" w:firstLineChars="100"/>
        <w:rPr>
          <w:rFonts w:hint="eastAsia" w:ascii="Times New Roman" w:hAnsi="Times New Roman" w:eastAsia="仿宋_GB2312" w:cs="仿宋_GB2312"/>
          <w:color w:val="auto"/>
          <w:highlight w:val="none"/>
        </w:rPr>
      </w:pPr>
      <w:bookmarkStart w:id="53" w:name="_Toc31914"/>
      <w:bookmarkStart w:id="54" w:name="_Toc93308260"/>
      <w:bookmarkStart w:id="55" w:name="_Toc130412825"/>
      <w:bookmarkStart w:id="56" w:name="_Toc79948077"/>
      <w:bookmarkStart w:id="57" w:name="_Toc69918874"/>
      <w:bookmarkStart w:id="58" w:name="_Toc69918968"/>
      <w:bookmarkStart w:id="59" w:name="_Toc79948079"/>
      <w:r>
        <w:rPr>
          <w:rFonts w:hint="eastAsia" w:ascii="Times New Roman" w:hAnsi="Times New Roman" w:eastAsia="仿宋_GB2312" w:cs="仿宋_GB2312"/>
          <w:color w:val="auto"/>
          <w:highlight w:val="none"/>
        </w:rPr>
        <w:t>（一）</w:t>
      </w:r>
      <w:bookmarkEnd w:id="53"/>
      <w:bookmarkEnd w:id="54"/>
      <w:bookmarkEnd w:id="55"/>
      <w:bookmarkEnd w:id="56"/>
      <w:bookmarkEnd w:id="57"/>
      <w:bookmarkEnd w:id="58"/>
      <w:r>
        <w:rPr>
          <w:rFonts w:hint="eastAsia" w:ascii="Times New Roman" w:hAnsi="Times New Roman" w:eastAsia="仿宋_GB2312" w:cs="仿宋_GB2312"/>
          <w:color w:val="auto"/>
          <w:highlight w:val="none"/>
          <w:lang w:val="en-US" w:eastAsia="zh-CN"/>
        </w:rPr>
        <w:t>主要用途和实现功能</w:t>
      </w:r>
    </w:p>
    <w:p w14:paraId="09160A91">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主要用途：本次成片开发范围</w:t>
      </w:r>
      <w:r>
        <w:rPr>
          <w:rFonts w:hint="eastAsia" w:ascii="Times New Roman" w:hAnsi="Times New Roman" w:eastAsia="仿宋_GB2312" w:cs="仿宋_GB2312"/>
          <w:color w:val="auto"/>
          <w:szCs w:val="28"/>
          <w:highlight w:val="none"/>
          <w:lang w:val="en-US" w:eastAsia="zh-CN" w:bidi="ar"/>
        </w:rPr>
        <w:t>含6个地块</w:t>
      </w:r>
      <w:r>
        <w:rPr>
          <w:rFonts w:hint="eastAsia" w:ascii="Times New Roman" w:hAnsi="Times New Roman" w:eastAsia="仿宋_GB2312" w:cs="仿宋_GB2312"/>
          <w:color w:val="auto"/>
          <w:szCs w:val="28"/>
          <w:highlight w:val="none"/>
          <w:lang w:val="en-US" w:eastAsia="zh-CN" w:bidi="ar"/>
        </w:rPr>
        <w:t>，</w:t>
      </w:r>
      <w:r>
        <w:rPr>
          <w:rFonts w:hint="eastAsia" w:ascii="Times New Roman" w:hAnsi="Times New Roman" w:eastAsia="仿宋_GB2312" w:cs="仿宋_GB2312"/>
          <w:color w:val="auto"/>
          <w:szCs w:val="28"/>
          <w:highlight w:val="none"/>
          <w:lang w:val="en-US" w:eastAsia="zh-CN" w:bidi="ar"/>
        </w:rPr>
        <w:t>土地规划用途主要为工业用地和公共管理与公共服务用地。</w:t>
      </w:r>
      <w:r>
        <w:rPr>
          <w:rFonts w:hint="eastAsia" w:ascii="Times New Roman" w:hAnsi="Times New Roman" w:eastAsia="仿宋_GB2312" w:cs="仿宋_GB2312"/>
          <w:color w:val="auto"/>
          <w:szCs w:val="28"/>
          <w:highlight w:val="none"/>
          <w:lang w:val="en-US" w:eastAsia="zh-CN" w:bidi="ar"/>
        </w:rPr>
        <w:t>成片开发范围的最终用途以法定规划实际批复用地性质为准。</w:t>
      </w:r>
    </w:p>
    <w:p w14:paraId="3E6BB8BD">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实现</w:t>
      </w:r>
      <w:r>
        <w:rPr>
          <w:rFonts w:hint="eastAsia" w:ascii="Times New Roman" w:hAnsi="Times New Roman" w:eastAsia="仿宋_GB2312" w:cs="仿宋_GB2312"/>
          <w:color w:val="auto"/>
          <w:szCs w:val="28"/>
          <w:highlight w:val="none"/>
          <w:lang w:val="en-US" w:eastAsia="zh-CN" w:bidi="ar"/>
        </w:rPr>
        <w:t>功能：</w:t>
      </w:r>
      <w:r>
        <w:rPr>
          <w:rFonts w:hint="eastAsia" w:ascii="Times New Roman" w:hAnsi="Times New Roman" w:eastAsia="仿宋_GB2312" w:cs="仿宋_GB2312"/>
          <w:color w:val="auto"/>
          <w:szCs w:val="28"/>
          <w:highlight w:val="none"/>
          <w:lang w:val="en-US" w:eastAsia="zh-CN" w:bidi="ar"/>
        </w:rPr>
        <w:t>成片开发范围以工业用地为主，用于保障地区产业用地，推动电动车产业平台发展，</w:t>
      </w:r>
      <w:r>
        <w:rPr>
          <w:rFonts w:hint="eastAsia" w:ascii="Times New Roman" w:hAnsi="Times New Roman" w:eastAsia="仿宋_GB2312" w:cs="仿宋_GB2312"/>
          <w:color w:val="auto"/>
          <w:szCs w:val="28"/>
          <w:highlight w:val="none"/>
          <w:lang w:val="en-US" w:eastAsia="zh-CN" w:bidi="ar"/>
        </w:rPr>
        <w:t>实现</w:t>
      </w:r>
      <w:r>
        <w:rPr>
          <w:rFonts w:hint="eastAsia" w:ascii="Times New Roman" w:hAnsi="Times New Roman" w:eastAsia="仿宋_GB2312" w:cs="仿宋_GB2312"/>
          <w:color w:val="auto"/>
          <w:szCs w:val="28"/>
          <w:highlight w:val="none"/>
          <w:lang w:val="en-US" w:eastAsia="zh-CN" w:bidi="ar"/>
        </w:rPr>
        <w:t>地区</w:t>
      </w:r>
      <w:r>
        <w:rPr>
          <w:rFonts w:hint="eastAsia" w:ascii="Times New Roman" w:hAnsi="Times New Roman" w:eastAsia="仿宋_GB2312" w:cs="仿宋_GB2312"/>
          <w:color w:val="auto"/>
          <w:szCs w:val="28"/>
          <w:highlight w:val="none"/>
          <w:lang w:val="en-US" w:eastAsia="zh-CN" w:bidi="ar"/>
        </w:rPr>
        <w:t>产业高质量发展</w:t>
      </w:r>
      <w:r>
        <w:rPr>
          <w:rFonts w:hint="eastAsia" w:ascii="Times New Roman" w:hAnsi="Times New Roman" w:eastAsia="仿宋_GB2312" w:cs="仿宋_GB2312"/>
          <w:color w:val="auto"/>
          <w:szCs w:val="28"/>
          <w:highlight w:val="none"/>
          <w:lang w:val="en-US" w:eastAsia="zh-CN" w:bidi="ar"/>
        </w:rPr>
        <w:t>；</w:t>
      </w:r>
      <w:r>
        <w:rPr>
          <w:rFonts w:hint="eastAsia" w:ascii="Times New Roman" w:hAnsi="Times New Roman" w:eastAsia="仿宋_GB2312" w:cs="仿宋_GB2312"/>
          <w:color w:val="auto"/>
          <w:szCs w:val="28"/>
          <w:highlight w:val="none"/>
          <w:lang w:val="en-US" w:eastAsia="zh-CN" w:bidi="ar"/>
        </w:rPr>
        <w:t>同时以完善原有规划功能为主要目标，保障教育文化设施</w:t>
      </w:r>
      <w:r>
        <w:rPr>
          <w:rFonts w:hint="eastAsia" w:ascii="Times New Roman" w:hAnsi="Times New Roman" w:eastAsia="仿宋_GB2312" w:cs="仿宋_GB2312"/>
          <w:color w:val="auto"/>
          <w:szCs w:val="28"/>
          <w:highlight w:val="none"/>
          <w:lang w:val="en-US" w:eastAsia="zh-CN" w:bidi="ar"/>
        </w:rPr>
        <w:t>配套</w:t>
      </w:r>
      <w:r>
        <w:rPr>
          <w:rFonts w:hint="eastAsia" w:ascii="Times New Roman" w:hAnsi="Times New Roman" w:eastAsia="仿宋_GB2312" w:cs="仿宋_GB2312"/>
          <w:color w:val="auto"/>
          <w:szCs w:val="28"/>
          <w:highlight w:val="none"/>
          <w:lang w:val="en-US" w:eastAsia="zh-CN" w:bidi="ar"/>
        </w:rPr>
        <w:t>，提升土地的成片连片开发水平，助力博罗县抢占“融湾”先机。</w:t>
      </w:r>
    </w:p>
    <w:p w14:paraId="3F42EF6A">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仿宋_GB2312" w:cs="仿宋_GB2312"/>
          <w:color w:val="auto"/>
          <w:sz w:val="21"/>
          <w:szCs w:val="24"/>
          <w:highlight w:val="none"/>
          <w:lang w:eastAsia="zh-CN"/>
        </w:rPr>
      </w:pPr>
      <w:r>
        <w:rPr>
          <w:rFonts w:hint="eastAsia" w:ascii="Times New Roman" w:hAnsi="Times New Roman" w:eastAsia="仿宋_GB2312" w:cs="仿宋_GB2312"/>
          <w:color w:val="auto"/>
          <w:sz w:val="21"/>
          <w:szCs w:val="24"/>
          <w:highlight w:val="none"/>
        </w:rPr>
        <w:t>表</w:t>
      </w:r>
      <w:r>
        <w:rPr>
          <w:rFonts w:hint="eastAsia" w:ascii="Times New Roman" w:hAnsi="Times New Roman" w:eastAsia="仿宋_GB2312" w:cs="仿宋_GB2312"/>
          <w:color w:val="auto"/>
          <w:sz w:val="21"/>
          <w:szCs w:val="24"/>
          <w:highlight w:val="none"/>
        </w:rPr>
        <w:fldChar w:fldCharType="begin"/>
      </w:r>
      <w:r>
        <w:rPr>
          <w:rFonts w:hint="eastAsia" w:ascii="Times New Roman" w:hAnsi="Times New Roman" w:eastAsia="仿宋_GB2312" w:cs="仿宋_GB2312"/>
          <w:color w:val="auto"/>
          <w:sz w:val="21"/>
          <w:szCs w:val="24"/>
          <w:highlight w:val="none"/>
        </w:rPr>
        <w:instrText xml:space="preserve"> SEQ 表 \* ARABIC </w:instrText>
      </w:r>
      <w:r>
        <w:rPr>
          <w:rFonts w:hint="eastAsia" w:ascii="Times New Roman" w:hAnsi="Times New Roman" w:eastAsia="仿宋_GB2312" w:cs="仿宋_GB2312"/>
          <w:color w:val="auto"/>
          <w:sz w:val="21"/>
          <w:szCs w:val="24"/>
          <w:highlight w:val="none"/>
        </w:rPr>
        <w:fldChar w:fldCharType="separate"/>
      </w:r>
      <w:r>
        <w:rPr>
          <w:rFonts w:hint="eastAsia" w:ascii="Times New Roman" w:hAnsi="Times New Roman" w:eastAsia="仿宋_GB2312" w:cs="仿宋_GB2312"/>
          <w:color w:val="auto"/>
          <w:sz w:val="21"/>
          <w:szCs w:val="24"/>
          <w:highlight w:val="none"/>
        </w:rPr>
        <w:t>3</w:t>
      </w:r>
      <w:r>
        <w:rPr>
          <w:rFonts w:hint="eastAsia" w:ascii="Times New Roman" w:hAnsi="Times New Roman" w:eastAsia="仿宋_GB2312" w:cs="仿宋_GB2312"/>
          <w:color w:val="auto"/>
          <w:sz w:val="21"/>
          <w:szCs w:val="24"/>
          <w:highlight w:val="none"/>
        </w:rPr>
        <w:fldChar w:fldCharType="end"/>
      </w:r>
      <w:r>
        <w:rPr>
          <w:rFonts w:hint="eastAsia" w:ascii="Times New Roman" w:hAnsi="Times New Roman" w:eastAsia="仿宋_GB2312" w:cs="仿宋_GB2312"/>
          <w:color w:val="auto"/>
          <w:sz w:val="21"/>
          <w:szCs w:val="24"/>
          <w:highlight w:val="none"/>
          <w:lang w:eastAsia="zh-CN"/>
        </w:rPr>
        <w:t xml:space="preserve"> </w:t>
      </w:r>
      <w:r>
        <w:rPr>
          <w:rFonts w:hint="eastAsia" w:ascii="Times New Roman" w:hAnsi="Times New Roman" w:eastAsia="仿宋_GB2312" w:cs="仿宋_GB2312"/>
          <w:color w:val="auto"/>
          <w:sz w:val="21"/>
          <w:szCs w:val="24"/>
          <w:highlight w:val="none"/>
          <w:lang w:val="en-US" w:eastAsia="zh-CN"/>
        </w:rPr>
        <w:t>成片开发</w:t>
      </w:r>
      <w:r>
        <w:rPr>
          <w:rFonts w:hint="eastAsia" w:ascii="Times New Roman" w:hAnsi="Times New Roman" w:eastAsia="仿宋_GB2312" w:cs="仿宋_GB2312"/>
          <w:color w:val="auto"/>
          <w:sz w:val="21"/>
          <w:szCs w:val="24"/>
          <w:highlight w:val="none"/>
          <w:lang w:eastAsia="zh-CN"/>
        </w:rPr>
        <w:t>主要用途和实现功能表</w:t>
      </w:r>
    </w:p>
    <w:tbl>
      <w:tblPr>
        <w:tblStyle w:val="18"/>
        <w:tblW w:w="5052" w:type="pct"/>
        <w:tblInd w:w="-8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89"/>
        <w:gridCol w:w="1833"/>
        <w:gridCol w:w="2586"/>
        <w:gridCol w:w="2003"/>
      </w:tblGrid>
      <w:tr w14:paraId="3478F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D5E5">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highlight w:val="none"/>
                <w:lang w:val="en-US" w:eastAsia="zh-CN"/>
              </w:rPr>
              <w:t>片区</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BFBEE">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lang w:val="en-US" w:eastAsia="zh-CN"/>
              </w:rPr>
              <w:t>总面积（公顷）</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2E2E">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lang w:val="en-US" w:eastAsia="zh-CN"/>
              </w:rPr>
              <w:t>主要土地用途</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38FF">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lang w:val="en-US" w:eastAsia="zh-CN"/>
              </w:rPr>
              <w:t>主要实现功能</w:t>
            </w:r>
          </w:p>
        </w:tc>
      </w:tr>
      <w:tr w14:paraId="39739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 w:hRule="atLeast"/>
        </w:trPr>
        <w:tc>
          <w:tcPr>
            <w:tcW w:w="21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6A35C">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eastAsia"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highlight w:val="none"/>
                <w:lang w:val="en-US" w:eastAsia="zh-CN"/>
              </w:rPr>
              <w:t>龙华片区</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00901">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15.7284</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9145D">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工业用地、公共管理与公共服务用地</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F1BB1">
            <w:pPr>
              <w:keepNext w:val="0"/>
              <w:keepLines w:val="0"/>
              <w:pageBreakBefore w:val="0"/>
              <w:widowControl/>
              <w:kinsoku/>
              <w:wordWrap/>
              <w:overflowPunct/>
              <w:topLinePunct w:val="0"/>
              <w:autoSpaceDE/>
              <w:autoSpaceDN/>
              <w:bidi w:val="0"/>
              <w:adjustRightInd/>
              <w:snapToGrid w:val="0"/>
              <w:spacing w:before="0" w:after="0" w:line="240" w:lineRule="auto"/>
              <w:ind w:firstLine="0" w:firstLineChars="0"/>
              <w:jc w:val="center"/>
              <w:textAlignment w:val="auto"/>
              <w:rPr>
                <w:rFonts w:hint="default"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工业项目、教育项目</w:t>
            </w:r>
          </w:p>
        </w:tc>
      </w:tr>
      <w:tr w14:paraId="491FD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46AAF">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合计</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1DBC4">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15.7284</w:t>
            </w:r>
          </w:p>
        </w:tc>
        <w:tc>
          <w:tcPr>
            <w:tcW w:w="15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F4405">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717E4">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w:t>
            </w:r>
          </w:p>
        </w:tc>
      </w:tr>
    </w:tbl>
    <w:p w14:paraId="2FCDA8AB">
      <w:pPr>
        <w:keepNext w:val="0"/>
        <w:keepLines w:val="0"/>
        <w:pageBreakBefore w:val="0"/>
        <w:widowControl w:val="0"/>
        <w:kinsoku/>
        <w:wordWrap/>
        <w:overflowPunct/>
        <w:topLinePunct w:val="0"/>
        <w:autoSpaceDE/>
        <w:autoSpaceDN/>
        <w:bidi w:val="0"/>
        <w:adjustRightInd/>
        <w:snapToGrid/>
        <w:spacing w:before="0" w:after="0"/>
        <w:textAlignment w:val="auto"/>
        <w:rPr>
          <w:rFonts w:hint="eastAsia" w:ascii="Times New Roman" w:hAnsi="Times New Roman"/>
          <w:color w:val="auto"/>
        </w:rPr>
      </w:pPr>
    </w:p>
    <w:p w14:paraId="7DACCDB1">
      <w:pPr>
        <w:pStyle w:val="3"/>
        <w:widowControl/>
        <w:spacing w:before="0" w:after="0" w:line="360" w:lineRule="auto"/>
        <w:ind w:firstLine="321" w:firstLineChars="100"/>
        <w:rPr>
          <w:rFonts w:hint="eastAsia" w:ascii="Times New Roman" w:hAnsi="Times New Roman" w:eastAsia="仿宋_GB2312" w:cs="仿宋_GB2312"/>
          <w:color w:val="auto"/>
          <w:highlight w:val="none"/>
          <w:lang w:val="en-US"/>
        </w:rPr>
      </w:pPr>
      <w:r>
        <w:rPr>
          <w:rFonts w:hint="eastAsia" w:ascii="Times New Roman" w:hAnsi="Times New Roman" w:eastAsia="仿宋_GB2312" w:cs="仿宋_GB2312"/>
          <w:color w:val="auto"/>
          <w:highlight w:val="none"/>
        </w:rPr>
        <w:t>（</w:t>
      </w:r>
      <w:r>
        <w:rPr>
          <w:rFonts w:hint="eastAsia" w:ascii="Times New Roman" w:hAnsi="Times New Roman" w:eastAsia="仿宋_GB2312" w:cs="仿宋_GB2312"/>
          <w:color w:val="auto"/>
          <w:highlight w:val="none"/>
          <w:lang w:val="en-US" w:eastAsia="zh-CN"/>
        </w:rPr>
        <w:t>二</w:t>
      </w:r>
      <w:r>
        <w:rPr>
          <w:rFonts w:hint="eastAsia" w:ascii="Times New Roman" w:hAnsi="Times New Roman" w:eastAsia="仿宋_GB2312" w:cs="仿宋_GB2312"/>
          <w:color w:val="auto"/>
          <w:highlight w:val="none"/>
        </w:rPr>
        <w:t>）</w:t>
      </w:r>
      <w:r>
        <w:rPr>
          <w:rFonts w:hint="eastAsia" w:ascii="Times New Roman" w:hAnsi="Times New Roman" w:eastAsia="仿宋_GB2312" w:cs="仿宋_GB2312"/>
          <w:color w:val="auto"/>
          <w:highlight w:val="none"/>
          <w:lang w:val="en-US" w:eastAsia="zh-CN"/>
        </w:rPr>
        <w:t>拟征收地块面积情况</w:t>
      </w:r>
    </w:p>
    <w:p w14:paraId="11D49B0C">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 w:val="21"/>
          <w:szCs w:val="24"/>
          <w:highlight w:val="none"/>
        </w:rPr>
      </w:pPr>
      <w:r>
        <w:rPr>
          <w:rFonts w:hint="eastAsia" w:ascii="Times New Roman" w:hAnsi="Times New Roman" w:eastAsia="仿宋_GB2312" w:cs="仿宋_GB2312"/>
          <w:color w:val="auto"/>
          <w:szCs w:val="28"/>
          <w:highlight w:val="none"/>
          <w:lang w:val="en-US" w:eastAsia="zh-CN" w:bidi="ar"/>
        </w:rPr>
        <w:t>本方案土地征收成片开发范围总面积为</w:t>
      </w:r>
      <w:r>
        <w:rPr>
          <w:rFonts w:hint="eastAsia" w:ascii="Times New Roman" w:hAnsi="Times New Roman" w:eastAsia="仿宋_GB2312" w:cs="仿宋_GB2312"/>
          <w:color w:val="auto"/>
          <w:szCs w:val="28"/>
          <w:highlight w:val="none"/>
          <w:lang w:val="en-US" w:eastAsia="zh-CN" w:bidi="ar"/>
        </w:rPr>
        <w:t>15.7284公顷</w:t>
      </w:r>
      <w:r>
        <w:rPr>
          <w:rFonts w:hint="eastAsia" w:ascii="Times New Roman" w:hAnsi="Times New Roman" w:eastAsia="仿宋_GB2312" w:cs="仿宋_GB2312"/>
          <w:color w:val="auto"/>
          <w:szCs w:val="28"/>
          <w:highlight w:val="none"/>
          <w:lang w:val="en-US" w:eastAsia="zh-CN" w:bidi="ar"/>
        </w:rPr>
        <w:t>，拟实施征地地块面积为10.5463</w:t>
      </w:r>
      <w:r>
        <w:rPr>
          <w:rFonts w:hint="eastAsia" w:ascii="Times New Roman" w:hAnsi="Times New Roman" w:eastAsia="仿宋_GB2312" w:cs="仿宋_GB2312"/>
          <w:color w:val="auto"/>
          <w:szCs w:val="28"/>
          <w:highlight w:val="none"/>
          <w:lang w:val="en-US" w:eastAsia="zh-CN" w:bidi="ar"/>
        </w:rPr>
        <w:t>公顷</w:t>
      </w:r>
      <w:r>
        <w:rPr>
          <w:rFonts w:hint="eastAsia" w:ascii="Times New Roman" w:hAnsi="Times New Roman" w:eastAsia="仿宋_GB2312" w:cs="仿宋_GB2312"/>
          <w:color w:val="auto"/>
          <w:szCs w:val="28"/>
          <w:highlight w:val="none"/>
          <w:lang w:val="en-US" w:eastAsia="zh-CN" w:bidi="ar"/>
        </w:rPr>
        <w:t>，占土地征收成片开发范围的67.05%，符合拟征收地块面积不小于土地征收成片开发范围面积的60%的要求。</w:t>
      </w:r>
    </w:p>
    <w:p w14:paraId="38DAE83E">
      <w:pPr>
        <w:rPr>
          <w:rFonts w:hint="eastAsia" w:ascii="Times New Roman" w:hAnsi="Times New Roman" w:eastAsia="仿宋_GB2312" w:cs="仿宋_GB2312"/>
          <w:color w:val="auto"/>
          <w:sz w:val="21"/>
          <w:szCs w:val="24"/>
          <w:highlight w:val="none"/>
        </w:rPr>
      </w:pPr>
      <w:r>
        <w:rPr>
          <w:rFonts w:hint="eastAsia" w:ascii="Times New Roman" w:hAnsi="Times New Roman" w:eastAsia="仿宋_GB2312" w:cs="仿宋_GB2312"/>
          <w:color w:val="auto"/>
          <w:sz w:val="21"/>
          <w:szCs w:val="24"/>
          <w:highlight w:val="none"/>
        </w:rPr>
        <w:br w:type="page"/>
      </w:r>
    </w:p>
    <w:p w14:paraId="211F253E">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仿宋_GB2312" w:cs="仿宋_GB2312"/>
          <w:color w:val="auto"/>
          <w:sz w:val="21"/>
          <w:szCs w:val="24"/>
          <w:highlight w:val="none"/>
          <w:lang w:eastAsia="zh-CN"/>
        </w:rPr>
      </w:pPr>
      <w:r>
        <w:rPr>
          <w:rFonts w:hint="eastAsia" w:ascii="Times New Roman" w:hAnsi="Times New Roman" w:eastAsia="仿宋_GB2312" w:cs="仿宋_GB2312"/>
          <w:color w:val="auto"/>
          <w:sz w:val="21"/>
          <w:szCs w:val="24"/>
          <w:highlight w:val="none"/>
        </w:rPr>
        <w:t>表</w:t>
      </w:r>
      <w:r>
        <w:rPr>
          <w:rFonts w:hint="eastAsia" w:ascii="Times New Roman" w:hAnsi="Times New Roman" w:eastAsia="仿宋_GB2312" w:cs="仿宋_GB2312"/>
          <w:color w:val="auto"/>
          <w:sz w:val="21"/>
          <w:szCs w:val="24"/>
          <w:highlight w:val="none"/>
        </w:rPr>
        <w:fldChar w:fldCharType="begin"/>
      </w:r>
      <w:r>
        <w:rPr>
          <w:rFonts w:hint="eastAsia" w:ascii="Times New Roman" w:hAnsi="Times New Roman" w:eastAsia="仿宋_GB2312" w:cs="仿宋_GB2312"/>
          <w:color w:val="auto"/>
          <w:sz w:val="21"/>
          <w:szCs w:val="24"/>
          <w:highlight w:val="none"/>
        </w:rPr>
        <w:instrText xml:space="preserve"> SEQ 表 \* ARABIC </w:instrText>
      </w:r>
      <w:r>
        <w:rPr>
          <w:rFonts w:hint="eastAsia" w:ascii="Times New Roman" w:hAnsi="Times New Roman" w:eastAsia="仿宋_GB2312" w:cs="仿宋_GB2312"/>
          <w:color w:val="auto"/>
          <w:sz w:val="21"/>
          <w:szCs w:val="24"/>
          <w:highlight w:val="none"/>
        </w:rPr>
        <w:fldChar w:fldCharType="separate"/>
      </w:r>
      <w:r>
        <w:rPr>
          <w:rFonts w:hint="eastAsia" w:ascii="Times New Roman" w:hAnsi="Times New Roman" w:eastAsia="仿宋_GB2312" w:cs="仿宋_GB2312"/>
          <w:color w:val="auto"/>
          <w:sz w:val="21"/>
          <w:szCs w:val="24"/>
          <w:highlight w:val="none"/>
        </w:rPr>
        <w:t>4</w:t>
      </w:r>
      <w:r>
        <w:rPr>
          <w:rFonts w:hint="eastAsia" w:ascii="Times New Roman" w:hAnsi="Times New Roman" w:eastAsia="仿宋_GB2312" w:cs="仿宋_GB2312"/>
          <w:color w:val="auto"/>
          <w:sz w:val="21"/>
          <w:szCs w:val="24"/>
          <w:highlight w:val="none"/>
        </w:rPr>
        <w:fldChar w:fldCharType="end"/>
      </w:r>
      <w:r>
        <w:rPr>
          <w:rFonts w:hint="eastAsia" w:ascii="Times New Roman" w:hAnsi="Times New Roman" w:eastAsia="仿宋_GB2312" w:cs="仿宋_GB2312"/>
          <w:color w:val="auto"/>
          <w:sz w:val="21"/>
          <w:szCs w:val="24"/>
          <w:highlight w:val="none"/>
          <w:lang w:eastAsia="zh-CN"/>
        </w:rPr>
        <w:t xml:space="preserve"> 各成片开发范围内拟征收地块面积及占比情况表</w:t>
      </w:r>
    </w:p>
    <w:tbl>
      <w:tblPr>
        <w:tblStyle w:val="1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498"/>
        <w:gridCol w:w="2139"/>
        <w:gridCol w:w="1992"/>
        <w:gridCol w:w="1893"/>
      </w:tblGrid>
      <w:tr w14:paraId="4156F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2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87C93">
            <w:pPr>
              <w:widowControl/>
              <w:spacing w:before="0" w:after="0" w:line="240" w:lineRule="auto"/>
              <w:ind w:firstLine="0" w:firstLineChars="0"/>
              <w:jc w:val="center"/>
              <w:rPr>
                <w:rFonts w:hint="default"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highlight w:val="none"/>
                <w:lang w:val="en-US" w:eastAsia="zh-CN"/>
              </w:rPr>
              <w:t>片区</w:t>
            </w:r>
          </w:p>
        </w:tc>
        <w:tc>
          <w:tcPr>
            <w:tcW w:w="1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DF525">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lang w:val="en-US" w:eastAsia="zh-CN"/>
              </w:rPr>
              <w:t>总面积（公顷）</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9F400">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lang w:val="en-US" w:eastAsia="zh-CN"/>
              </w:rPr>
              <w:t>征地面积（公顷）</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23539">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lang w:val="en-US" w:eastAsia="zh-CN"/>
              </w:rPr>
            </w:pPr>
            <w:r>
              <w:rPr>
                <w:rFonts w:hint="eastAsia" w:ascii="Times New Roman" w:hAnsi="Times New Roman" w:eastAsia="仿宋_GB2312" w:cs="仿宋_GB2312"/>
                <w:b/>
                <w:bCs/>
                <w:color w:val="auto"/>
                <w:kern w:val="0"/>
                <w:sz w:val="21"/>
                <w:szCs w:val="21"/>
                <w:lang w:val="en-US" w:eastAsia="zh-CN"/>
              </w:rPr>
              <w:t>征地比例</w:t>
            </w:r>
          </w:p>
        </w:tc>
      </w:tr>
      <w:tr w14:paraId="75F45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AF901">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highlight w:val="none"/>
                <w:lang w:val="en-US" w:eastAsia="zh-CN"/>
              </w:rPr>
              <w:t>龙华片区</w:t>
            </w:r>
          </w:p>
        </w:tc>
        <w:tc>
          <w:tcPr>
            <w:tcW w:w="12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0222F">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15.7284</w:t>
            </w:r>
          </w:p>
        </w:tc>
        <w:tc>
          <w:tcPr>
            <w:tcW w:w="11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E2B8">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10.5463</w:t>
            </w:r>
          </w:p>
        </w:tc>
        <w:tc>
          <w:tcPr>
            <w:tcW w:w="11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BDF0A2">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67.05%</w:t>
            </w:r>
          </w:p>
        </w:tc>
      </w:tr>
      <w:tr w14:paraId="3CE15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4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3E512">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合计</w:t>
            </w:r>
          </w:p>
        </w:tc>
        <w:tc>
          <w:tcPr>
            <w:tcW w:w="21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B725C">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15.7284</w:t>
            </w:r>
          </w:p>
        </w:tc>
        <w:tc>
          <w:tcPr>
            <w:tcW w:w="1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C5742">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10.5463</w:t>
            </w:r>
          </w:p>
        </w:tc>
        <w:tc>
          <w:tcPr>
            <w:tcW w:w="189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C7DDE73">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lang w:val="en-US" w:eastAsia="zh-CN"/>
              </w:rPr>
            </w:pPr>
            <w:r>
              <w:rPr>
                <w:rFonts w:hint="eastAsia" w:ascii="Times New Roman" w:hAnsi="Times New Roman" w:eastAsia="仿宋_GB2312" w:cs="仿宋_GB2312"/>
                <w:color w:val="auto"/>
                <w:kern w:val="0"/>
                <w:sz w:val="21"/>
                <w:szCs w:val="21"/>
                <w:lang w:val="en-US" w:eastAsia="zh-CN"/>
              </w:rPr>
              <w:t>67.05%</w:t>
            </w:r>
          </w:p>
        </w:tc>
      </w:tr>
    </w:tbl>
    <w:p w14:paraId="23A12700">
      <w:pPr>
        <w:keepNext w:val="0"/>
        <w:keepLines w:val="0"/>
        <w:pageBreakBefore w:val="0"/>
        <w:widowControl w:val="0"/>
        <w:kinsoku/>
        <w:wordWrap/>
        <w:overflowPunct/>
        <w:topLinePunct w:val="0"/>
        <w:autoSpaceDE/>
        <w:autoSpaceDN/>
        <w:bidi w:val="0"/>
        <w:adjustRightInd/>
        <w:snapToGrid/>
        <w:spacing w:before="0" w:after="0"/>
        <w:ind w:left="0" w:leftChars="0" w:firstLine="0" w:firstLineChars="0"/>
        <w:jc w:val="both"/>
        <w:textAlignment w:val="auto"/>
        <w:rPr>
          <w:rFonts w:hint="eastAsia" w:ascii="Times New Roman" w:hAnsi="Times New Roman" w:eastAsia="仿宋_GB2312" w:cs="仿宋_GB2312"/>
          <w:color w:val="auto"/>
          <w:sz w:val="24"/>
          <w:szCs w:val="21"/>
        </w:rPr>
      </w:pPr>
    </w:p>
    <w:p w14:paraId="1A73E93E">
      <w:pPr>
        <w:pStyle w:val="3"/>
        <w:widowControl/>
        <w:spacing w:before="0" w:after="0" w:line="360" w:lineRule="auto"/>
        <w:ind w:firstLine="321" w:firstLineChars="100"/>
        <w:rPr>
          <w:rFonts w:hint="eastAsia" w:ascii="Times New Roman" w:hAnsi="Times New Roman" w:eastAsia="仿宋_GB2312" w:cs="仿宋_GB2312"/>
          <w:color w:val="auto"/>
          <w:highlight w:val="none"/>
          <w:lang w:val="en-US"/>
        </w:rPr>
      </w:pPr>
      <w:r>
        <w:rPr>
          <w:rFonts w:hint="eastAsia" w:ascii="Times New Roman" w:hAnsi="Times New Roman" w:eastAsia="仿宋_GB2312" w:cs="仿宋_GB2312"/>
          <w:color w:val="auto"/>
          <w:highlight w:val="none"/>
        </w:rPr>
        <w:t>（</w:t>
      </w:r>
      <w:r>
        <w:rPr>
          <w:rFonts w:hint="eastAsia" w:ascii="Times New Roman" w:hAnsi="Times New Roman" w:eastAsia="仿宋_GB2312" w:cs="仿宋_GB2312"/>
          <w:color w:val="auto"/>
          <w:highlight w:val="none"/>
          <w:lang w:val="en-US" w:eastAsia="zh-CN"/>
        </w:rPr>
        <w:t>三</w:t>
      </w:r>
      <w:r>
        <w:rPr>
          <w:rFonts w:hint="eastAsia" w:ascii="Times New Roman" w:hAnsi="Times New Roman" w:eastAsia="仿宋_GB2312" w:cs="仿宋_GB2312"/>
          <w:color w:val="auto"/>
          <w:highlight w:val="none"/>
        </w:rPr>
        <w:t>）</w:t>
      </w:r>
      <w:r>
        <w:rPr>
          <w:rFonts w:hint="eastAsia" w:ascii="Times New Roman" w:hAnsi="Times New Roman" w:eastAsia="仿宋_GB2312" w:cs="仿宋_GB2312"/>
          <w:color w:val="auto"/>
          <w:highlight w:val="none"/>
          <w:lang w:val="en-US" w:eastAsia="zh-CN"/>
        </w:rPr>
        <w:t>公益性用地情况</w:t>
      </w:r>
    </w:p>
    <w:p w14:paraId="05E7316B">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成片开发区域内公益性用地</w:t>
      </w:r>
      <w:r>
        <w:rPr>
          <w:rFonts w:hint="eastAsia" w:ascii="Times New Roman" w:hAnsi="Times New Roman" w:eastAsia="仿宋_GB2312" w:cs="仿宋_GB2312"/>
          <w:color w:val="auto"/>
          <w:szCs w:val="28"/>
          <w:highlight w:val="none"/>
          <w:lang w:val="en-US" w:eastAsia="zh-CN" w:bidi="ar"/>
        </w:rPr>
        <w:t>5.1997</w:t>
      </w:r>
      <w:r>
        <w:rPr>
          <w:rFonts w:hint="eastAsia" w:ascii="Times New Roman" w:hAnsi="Times New Roman" w:eastAsia="仿宋_GB2312" w:cs="仿宋_GB2312"/>
          <w:color w:val="auto"/>
          <w:szCs w:val="28"/>
          <w:highlight w:val="none"/>
          <w:lang w:val="en-US" w:eastAsia="zh-CN" w:bidi="ar"/>
        </w:rPr>
        <w:t>公顷，占总用地比例</w:t>
      </w:r>
      <w:r>
        <w:rPr>
          <w:rFonts w:hint="eastAsia" w:ascii="Times New Roman" w:hAnsi="Times New Roman" w:eastAsia="仿宋_GB2312" w:cs="仿宋_GB2312"/>
          <w:color w:val="auto"/>
          <w:szCs w:val="28"/>
          <w:highlight w:val="none"/>
          <w:lang w:val="en-US" w:eastAsia="zh-CN" w:bidi="ar"/>
        </w:rPr>
        <w:t>33.06%</w:t>
      </w:r>
      <w:r>
        <w:rPr>
          <w:rFonts w:hint="eastAsia" w:ascii="Times New Roman" w:hAnsi="Times New Roman" w:eastAsia="仿宋_GB2312" w:cs="仿宋_GB2312"/>
          <w:color w:val="auto"/>
          <w:szCs w:val="28"/>
          <w:highlight w:val="none"/>
          <w:lang w:val="en-US" w:eastAsia="zh-CN" w:bidi="ar"/>
        </w:rPr>
        <w:t>，主要为道路用地、公共管理与公共服务用地等。成片开发范围符合基础设施、公共服务设施以及其他公益性用地比例不低于</w:t>
      </w:r>
      <w:r>
        <w:rPr>
          <w:rFonts w:hint="eastAsia" w:ascii="Times New Roman" w:hAnsi="Times New Roman" w:eastAsia="仿宋_GB2312" w:cs="仿宋_GB2312"/>
          <w:color w:val="auto"/>
          <w:szCs w:val="28"/>
          <w:highlight w:val="none"/>
          <w:lang w:val="en-US" w:eastAsia="zh-CN" w:bidi="ar"/>
        </w:rPr>
        <w:t>30</w:t>
      </w:r>
      <w:r>
        <w:rPr>
          <w:rFonts w:hint="eastAsia" w:ascii="Times New Roman" w:hAnsi="Times New Roman" w:eastAsia="仿宋_GB2312" w:cs="仿宋_GB2312"/>
          <w:color w:val="auto"/>
          <w:szCs w:val="28"/>
          <w:highlight w:val="none"/>
          <w:lang w:val="en-US" w:eastAsia="zh-CN" w:bidi="ar"/>
        </w:rPr>
        <w:t>%的要求。</w:t>
      </w:r>
    </w:p>
    <w:p w14:paraId="31E69B31">
      <w:pPr>
        <w:pStyle w:val="6"/>
        <w:keepNext w:val="0"/>
        <w:keepLines w:val="0"/>
        <w:pageBreakBefore w:val="0"/>
        <w:widowControl w:val="0"/>
        <w:kinsoku/>
        <w:wordWrap/>
        <w:overflowPunct/>
        <w:topLinePunct w:val="0"/>
        <w:autoSpaceDE/>
        <w:autoSpaceDN/>
        <w:bidi w:val="0"/>
        <w:adjustRightInd/>
        <w:snapToGrid/>
        <w:spacing w:before="0" w:after="0" w:line="240" w:lineRule="auto"/>
        <w:ind w:firstLine="0" w:firstLineChars="0"/>
        <w:jc w:val="center"/>
        <w:textAlignment w:val="auto"/>
        <w:rPr>
          <w:rFonts w:hint="eastAsia" w:ascii="Times New Roman" w:hAnsi="Times New Roman" w:eastAsia="仿宋_GB2312" w:cs="仿宋_GB2312"/>
          <w:color w:val="auto"/>
          <w:sz w:val="21"/>
          <w:szCs w:val="24"/>
          <w:highlight w:val="none"/>
          <w:lang w:eastAsia="zh-CN"/>
        </w:rPr>
      </w:pPr>
      <w:r>
        <w:rPr>
          <w:rFonts w:hint="eastAsia" w:ascii="Times New Roman" w:hAnsi="Times New Roman" w:eastAsia="仿宋_GB2312" w:cs="仿宋_GB2312"/>
          <w:color w:val="auto"/>
          <w:sz w:val="21"/>
          <w:szCs w:val="24"/>
          <w:highlight w:val="none"/>
        </w:rPr>
        <w:t>表</w:t>
      </w:r>
      <w:r>
        <w:rPr>
          <w:rFonts w:hint="eastAsia" w:ascii="Times New Roman" w:hAnsi="Times New Roman" w:eastAsia="仿宋_GB2312" w:cs="仿宋_GB2312"/>
          <w:color w:val="auto"/>
          <w:sz w:val="21"/>
          <w:szCs w:val="24"/>
          <w:highlight w:val="none"/>
        </w:rPr>
        <w:fldChar w:fldCharType="begin"/>
      </w:r>
      <w:r>
        <w:rPr>
          <w:rFonts w:hint="eastAsia" w:ascii="Times New Roman" w:hAnsi="Times New Roman" w:eastAsia="仿宋_GB2312" w:cs="仿宋_GB2312"/>
          <w:color w:val="auto"/>
          <w:sz w:val="21"/>
          <w:szCs w:val="24"/>
          <w:highlight w:val="none"/>
        </w:rPr>
        <w:instrText xml:space="preserve"> SEQ 表 \* ARABIC </w:instrText>
      </w:r>
      <w:r>
        <w:rPr>
          <w:rFonts w:hint="eastAsia" w:ascii="Times New Roman" w:hAnsi="Times New Roman" w:eastAsia="仿宋_GB2312" w:cs="仿宋_GB2312"/>
          <w:color w:val="auto"/>
          <w:sz w:val="21"/>
          <w:szCs w:val="24"/>
          <w:highlight w:val="none"/>
        </w:rPr>
        <w:fldChar w:fldCharType="separate"/>
      </w:r>
      <w:r>
        <w:rPr>
          <w:rFonts w:hint="eastAsia" w:ascii="Times New Roman" w:hAnsi="Times New Roman" w:eastAsia="仿宋_GB2312" w:cs="仿宋_GB2312"/>
          <w:color w:val="auto"/>
          <w:sz w:val="21"/>
          <w:szCs w:val="24"/>
          <w:highlight w:val="none"/>
        </w:rPr>
        <w:t>5</w:t>
      </w:r>
      <w:r>
        <w:rPr>
          <w:rFonts w:hint="eastAsia" w:ascii="Times New Roman" w:hAnsi="Times New Roman" w:eastAsia="仿宋_GB2312" w:cs="仿宋_GB2312"/>
          <w:color w:val="auto"/>
          <w:sz w:val="21"/>
          <w:szCs w:val="24"/>
          <w:highlight w:val="none"/>
        </w:rPr>
        <w:fldChar w:fldCharType="end"/>
      </w:r>
      <w:r>
        <w:rPr>
          <w:rFonts w:hint="eastAsia" w:ascii="Times New Roman" w:hAnsi="Times New Roman" w:eastAsia="仿宋_GB2312" w:cs="仿宋_GB2312"/>
          <w:color w:val="auto"/>
          <w:sz w:val="21"/>
          <w:szCs w:val="24"/>
          <w:highlight w:val="none"/>
          <w:lang w:eastAsia="zh-CN"/>
        </w:rPr>
        <w:t xml:space="preserve"> 成片开发范围公益性用地占比情况表</w:t>
      </w:r>
    </w:p>
    <w:tbl>
      <w:tblPr>
        <w:tblStyle w:val="1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24"/>
        <w:gridCol w:w="1865"/>
        <w:gridCol w:w="2115"/>
        <w:gridCol w:w="1815"/>
      </w:tblGrid>
      <w:tr w14:paraId="2C54A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blHeader/>
        </w:trPr>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55187">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highlight w:val="none"/>
                <w:lang w:val="en-US" w:eastAsia="zh-CN"/>
              </w:rPr>
            </w:pPr>
            <w:r>
              <w:rPr>
                <w:rFonts w:hint="eastAsia" w:ascii="Times New Roman" w:hAnsi="Times New Roman" w:eastAsia="仿宋_GB2312" w:cs="仿宋_GB2312"/>
                <w:b/>
                <w:bCs/>
                <w:color w:val="auto"/>
                <w:kern w:val="0"/>
                <w:sz w:val="21"/>
                <w:szCs w:val="21"/>
                <w:highlight w:val="none"/>
                <w:lang w:val="en-US" w:eastAsia="zh-CN"/>
              </w:rPr>
              <w:t>片区</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ADC3">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highlight w:val="none"/>
                <w:lang w:val="en-US" w:eastAsia="zh-CN"/>
              </w:rPr>
            </w:pPr>
            <w:r>
              <w:rPr>
                <w:rFonts w:hint="eastAsia" w:ascii="Times New Roman" w:hAnsi="Times New Roman" w:eastAsia="仿宋_GB2312" w:cs="仿宋_GB2312"/>
                <w:b/>
                <w:bCs/>
                <w:color w:val="auto"/>
                <w:kern w:val="0"/>
                <w:sz w:val="21"/>
                <w:szCs w:val="21"/>
                <w:highlight w:val="none"/>
                <w:lang w:val="en-US" w:eastAsia="zh-CN"/>
              </w:rPr>
              <w:t>总面积（公顷）</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220DC">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highlight w:val="none"/>
                <w:lang w:val="en-US" w:eastAsia="zh-CN"/>
              </w:rPr>
            </w:pPr>
            <w:r>
              <w:rPr>
                <w:rFonts w:hint="eastAsia" w:ascii="Times New Roman" w:hAnsi="Times New Roman" w:eastAsia="仿宋_GB2312" w:cs="仿宋_GB2312"/>
                <w:b/>
                <w:bCs/>
                <w:color w:val="auto"/>
                <w:kern w:val="0"/>
                <w:sz w:val="21"/>
                <w:szCs w:val="21"/>
                <w:highlight w:val="none"/>
                <w:lang w:val="en-US" w:eastAsia="zh-CN"/>
              </w:rPr>
              <w:t>公益性用地（公顷）</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235A5">
            <w:pPr>
              <w:widowControl/>
              <w:spacing w:before="0" w:after="0" w:line="240" w:lineRule="auto"/>
              <w:ind w:firstLine="0" w:firstLineChars="0"/>
              <w:jc w:val="center"/>
              <w:rPr>
                <w:rFonts w:hint="eastAsia" w:ascii="Times New Roman" w:hAnsi="Times New Roman" w:eastAsia="仿宋_GB2312" w:cs="仿宋_GB2312"/>
                <w:b/>
                <w:bCs/>
                <w:color w:val="auto"/>
                <w:kern w:val="0"/>
                <w:sz w:val="21"/>
                <w:szCs w:val="21"/>
                <w:highlight w:val="none"/>
                <w:lang w:val="en-US" w:eastAsia="zh-CN"/>
              </w:rPr>
            </w:pPr>
            <w:r>
              <w:rPr>
                <w:rFonts w:hint="eastAsia" w:ascii="Times New Roman" w:hAnsi="Times New Roman" w:eastAsia="仿宋_GB2312" w:cs="仿宋_GB2312"/>
                <w:b/>
                <w:bCs/>
                <w:color w:val="auto"/>
                <w:kern w:val="0"/>
                <w:sz w:val="21"/>
                <w:szCs w:val="21"/>
                <w:highlight w:val="none"/>
                <w:lang w:val="en-US" w:eastAsia="zh-CN"/>
              </w:rPr>
              <w:t>公益性比例</w:t>
            </w:r>
          </w:p>
        </w:tc>
      </w:tr>
      <w:tr w14:paraId="21F2A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BCB13">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龙华片区</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5C3491">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15.7284</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5B23A5">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5.1997</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33E07F">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33.06%</w:t>
            </w:r>
          </w:p>
        </w:tc>
      </w:tr>
      <w:tr w14:paraId="31011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27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0464A">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合计</w:t>
            </w:r>
          </w:p>
        </w:tc>
        <w:tc>
          <w:tcPr>
            <w:tcW w:w="18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95FDDC">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15.7284</w:t>
            </w:r>
          </w:p>
        </w:tc>
        <w:tc>
          <w:tcPr>
            <w:tcW w:w="21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6FC5B1">
            <w:pPr>
              <w:widowControl/>
              <w:spacing w:before="0" w:after="0" w:line="240" w:lineRule="auto"/>
              <w:ind w:firstLine="0" w:firstLineChars="0"/>
              <w:jc w:val="center"/>
              <w:rPr>
                <w:rFonts w:hint="default"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5.1997</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F1C1C5">
            <w:pPr>
              <w:widowControl/>
              <w:spacing w:before="0" w:after="0" w:line="240" w:lineRule="auto"/>
              <w:ind w:firstLine="0" w:firstLineChars="0"/>
              <w:jc w:val="center"/>
              <w:rPr>
                <w:rFonts w:hint="eastAsia" w:ascii="Times New Roman" w:hAnsi="Times New Roman" w:eastAsia="仿宋_GB2312" w:cs="仿宋_GB2312"/>
                <w:color w:val="auto"/>
                <w:kern w:val="0"/>
                <w:sz w:val="21"/>
                <w:szCs w:val="21"/>
                <w:highlight w:val="none"/>
                <w:lang w:val="en-US" w:eastAsia="zh-CN"/>
              </w:rPr>
            </w:pPr>
            <w:r>
              <w:rPr>
                <w:rFonts w:hint="eastAsia" w:ascii="Times New Roman" w:hAnsi="Times New Roman" w:eastAsia="仿宋_GB2312" w:cs="仿宋_GB2312"/>
                <w:color w:val="auto"/>
                <w:kern w:val="0"/>
                <w:sz w:val="21"/>
                <w:szCs w:val="21"/>
                <w:highlight w:val="none"/>
                <w:lang w:val="en-US" w:eastAsia="zh-CN"/>
              </w:rPr>
              <w:t>33.06%</w:t>
            </w:r>
          </w:p>
        </w:tc>
      </w:tr>
    </w:tbl>
    <w:p w14:paraId="4BA8585B">
      <w:pPr>
        <w:keepNext w:val="0"/>
        <w:keepLines w:val="0"/>
        <w:pageBreakBefore w:val="0"/>
        <w:widowControl w:val="0"/>
        <w:kinsoku/>
        <w:wordWrap/>
        <w:overflowPunct/>
        <w:topLinePunct w:val="0"/>
        <w:autoSpaceDE/>
        <w:autoSpaceDN/>
        <w:bidi w:val="0"/>
        <w:adjustRightInd/>
        <w:snapToGrid/>
        <w:spacing w:before="0" w:after="0"/>
        <w:ind w:firstLine="0" w:firstLineChars="0"/>
        <w:jc w:val="both"/>
        <w:textAlignment w:val="auto"/>
        <w:rPr>
          <w:rFonts w:hint="eastAsia" w:ascii="Times New Roman" w:hAnsi="Times New Roman" w:eastAsia="仿宋_GB2312" w:cs="仿宋_GB2312"/>
          <w:b/>
          <w:color w:val="auto"/>
          <w:sz w:val="24"/>
        </w:rPr>
      </w:pPr>
    </w:p>
    <w:p w14:paraId="08940949">
      <w:pPr>
        <w:pStyle w:val="2"/>
        <w:ind w:left="0" w:firstLine="0"/>
        <w:rPr>
          <w:rFonts w:hint="eastAsia" w:ascii="Times New Roman" w:hAnsi="Times New Roman" w:eastAsia="仿宋_GB2312" w:cs="仿宋_GB2312"/>
          <w:b/>
          <w:bCs w:val="0"/>
          <w:color w:val="auto"/>
          <w:sz w:val="36"/>
          <w:szCs w:val="48"/>
          <w:highlight w:val="none"/>
        </w:rPr>
      </w:pPr>
      <w:bookmarkStart w:id="60" w:name="_Toc130412816"/>
      <w:r>
        <w:rPr>
          <w:rFonts w:hint="eastAsia" w:ascii="Times New Roman" w:hAnsi="Times New Roman" w:eastAsia="仿宋_GB2312" w:cs="仿宋_GB2312"/>
          <w:b/>
          <w:bCs w:val="0"/>
          <w:color w:val="auto"/>
          <w:sz w:val="36"/>
          <w:szCs w:val="48"/>
          <w:highlight w:val="none"/>
          <w:lang w:val="en-US" w:eastAsia="zh-CN"/>
        </w:rPr>
        <w:t>六</w:t>
      </w:r>
      <w:r>
        <w:rPr>
          <w:rFonts w:hint="eastAsia" w:ascii="Times New Roman" w:hAnsi="Times New Roman" w:eastAsia="仿宋_GB2312" w:cs="仿宋_GB2312"/>
          <w:b/>
          <w:bCs w:val="0"/>
          <w:color w:val="auto"/>
          <w:sz w:val="36"/>
          <w:szCs w:val="48"/>
          <w:highlight w:val="none"/>
        </w:rPr>
        <w:t>、</w:t>
      </w:r>
      <w:r>
        <w:rPr>
          <w:rFonts w:hint="eastAsia" w:ascii="Times New Roman" w:hAnsi="Times New Roman" w:eastAsia="仿宋_GB2312" w:cs="仿宋_GB2312"/>
          <w:b/>
          <w:bCs w:val="0"/>
          <w:color w:val="auto"/>
          <w:sz w:val="36"/>
          <w:szCs w:val="48"/>
          <w:highlight w:val="none"/>
          <w:lang w:val="en-US" w:eastAsia="zh-CN"/>
        </w:rPr>
        <w:t>实施</w:t>
      </w:r>
      <w:bookmarkEnd w:id="60"/>
      <w:r>
        <w:rPr>
          <w:rFonts w:hint="eastAsia" w:ascii="Times New Roman" w:hAnsi="Times New Roman" w:eastAsia="仿宋_GB2312" w:cs="仿宋_GB2312"/>
          <w:b/>
          <w:bCs w:val="0"/>
          <w:color w:val="auto"/>
          <w:sz w:val="36"/>
          <w:szCs w:val="48"/>
          <w:highlight w:val="none"/>
          <w:lang w:val="en-US" w:eastAsia="zh-CN"/>
        </w:rPr>
        <w:t>计划</w:t>
      </w:r>
    </w:p>
    <w:p w14:paraId="21C49496">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为保障项目顺利推进，让开发项目与所在片区的功能充分衔接，加快带动周边基础设施及公共配套设施的完善。结合博罗县国民经济和社会发展计划以及年度实施计划、规划建设计划、被征地单位意愿、征地资金情况、土地审批信息情况等因素，综合分析论证后制定拟建项目开发时序为3年（即202</w:t>
      </w:r>
      <w:r>
        <w:rPr>
          <w:rFonts w:hint="eastAsia" w:ascii="Times New Roman" w:hAnsi="Times New Roman" w:eastAsia="仿宋_GB2312" w:cs="仿宋_GB2312"/>
          <w:color w:val="auto"/>
          <w:szCs w:val="28"/>
          <w:highlight w:val="none"/>
          <w:lang w:val="en-US" w:eastAsia="zh-CN" w:bidi="ar"/>
        </w:rPr>
        <w:t>5</w:t>
      </w:r>
      <w:r>
        <w:rPr>
          <w:rFonts w:hint="eastAsia" w:ascii="Times New Roman" w:hAnsi="Times New Roman" w:eastAsia="仿宋_GB2312" w:cs="仿宋_GB2312"/>
          <w:color w:val="auto"/>
          <w:szCs w:val="28"/>
          <w:highlight w:val="none"/>
          <w:lang w:val="en-US" w:eastAsia="zh-CN" w:bidi="ar"/>
        </w:rPr>
        <w:t>年至202</w:t>
      </w:r>
      <w:r>
        <w:rPr>
          <w:rFonts w:hint="eastAsia" w:ascii="Times New Roman" w:hAnsi="Times New Roman" w:eastAsia="仿宋_GB2312" w:cs="仿宋_GB2312"/>
          <w:color w:val="auto"/>
          <w:szCs w:val="28"/>
          <w:highlight w:val="none"/>
          <w:lang w:val="en-US" w:eastAsia="zh-CN" w:bidi="ar"/>
        </w:rPr>
        <w:t>7</w:t>
      </w:r>
      <w:r>
        <w:rPr>
          <w:rFonts w:hint="eastAsia" w:ascii="Times New Roman" w:hAnsi="Times New Roman" w:eastAsia="仿宋_GB2312" w:cs="仿宋_GB2312"/>
          <w:color w:val="auto"/>
          <w:szCs w:val="28"/>
          <w:highlight w:val="none"/>
          <w:lang w:val="en-US" w:eastAsia="zh-CN" w:bidi="ar"/>
        </w:rPr>
        <w:t>年）。</w:t>
      </w:r>
    </w:p>
    <w:bookmarkEnd w:id="59"/>
    <w:p w14:paraId="459F6F39">
      <w:pPr>
        <w:pStyle w:val="2"/>
        <w:ind w:left="0" w:firstLine="0"/>
        <w:rPr>
          <w:rFonts w:hint="eastAsia" w:ascii="Times New Roman" w:hAnsi="Times New Roman" w:eastAsia="仿宋_GB2312" w:cs="仿宋_GB2312"/>
          <w:b/>
          <w:bCs w:val="0"/>
          <w:color w:val="auto"/>
          <w:sz w:val="36"/>
          <w:szCs w:val="48"/>
          <w:highlight w:val="none"/>
          <w:lang w:eastAsia="zh-CN"/>
        </w:rPr>
      </w:pPr>
      <w:bookmarkStart w:id="61" w:name="_Toc93308266"/>
      <w:bookmarkStart w:id="62" w:name="_Toc130412831"/>
      <w:bookmarkStart w:id="63" w:name="_Toc2882"/>
      <w:bookmarkStart w:id="64" w:name="_Toc79948089"/>
      <w:bookmarkStart w:id="65" w:name="_Toc69918876"/>
      <w:bookmarkStart w:id="66" w:name="_Toc69918970"/>
      <w:r>
        <w:rPr>
          <w:rFonts w:hint="eastAsia" w:ascii="Times New Roman" w:hAnsi="Times New Roman" w:eastAsia="仿宋_GB2312" w:cs="仿宋_GB2312"/>
          <w:b/>
          <w:bCs w:val="0"/>
          <w:color w:val="auto"/>
          <w:sz w:val="36"/>
          <w:szCs w:val="48"/>
          <w:highlight w:val="none"/>
        </w:rPr>
        <w:t>七、土地征收成片开发效益</w:t>
      </w:r>
      <w:bookmarkEnd w:id="61"/>
      <w:bookmarkEnd w:id="62"/>
      <w:bookmarkEnd w:id="63"/>
      <w:bookmarkEnd w:id="64"/>
      <w:bookmarkEnd w:id="65"/>
      <w:bookmarkEnd w:id="66"/>
      <w:r>
        <w:rPr>
          <w:rFonts w:hint="eastAsia" w:ascii="Times New Roman" w:hAnsi="Times New Roman" w:eastAsia="仿宋_GB2312" w:cs="仿宋_GB2312"/>
          <w:b/>
          <w:bCs w:val="0"/>
          <w:color w:val="auto"/>
          <w:sz w:val="36"/>
          <w:szCs w:val="48"/>
          <w:highlight w:val="none"/>
          <w:lang w:val="en-US" w:eastAsia="zh-CN"/>
        </w:rPr>
        <w:t>分析</w:t>
      </w:r>
    </w:p>
    <w:p w14:paraId="69863991">
      <w:pPr>
        <w:pStyle w:val="3"/>
        <w:widowControl/>
        <w:spacing w:before="0" w:after="0" w:line="360" w:lineRule="auto"/>
        <w:ind w:firstLine="321" w:firstLineChars="100"/>
        <w:rPr>
          <w:rFonts w:hint="eastAsia" w:ascii="Times New Roman" w:hAnsi="Times New Roman" w:eastAsia="仿宋_GB2312" w:cs="仿宋_GB2312"/>
          <w:color w:val="auto"/>
          <w:highlight w:val="none"/>
          <w:lang w:val="en-US" w:eastAsia="zh-CN"/>
        </w:rPr>
      </w:pPr>
      <w:bookmarkStart w:id="67" w:name="_Toc69918877"/>
      <w:bookmarkStart w:id="68" w:name="_Toc93308267"/>
      <w:bookmarkStart w:id="69" w:name="_Toc79948090"/>
      <w:bookmarkStart w:id="70" w:name="_Toc130412832"/>
      <w:bookmarkStart w:id="71" w:name="_Toc12608"/>
      <w:bookmarkStart w:id="72" w:name="_Toc69918971"/>
      <w:r>
        <w:rPr>
          <w:rFonts w:hint="eastAsia" w:ascii="Times New Roman" w:hAnsi="Times New Roman" w:eastAsia="仿宋_GB2312" w:cs="仿宋_GB2312"/>
          <w:color w:val="auto"/>
          <w:highlight w:val="none"/>
        </w:rPr>
        <w:t>（一）土地利用效益</w:t>
      </w:r>
      <w:bookmarkEnd w:id="67"/>
      <w:bookmarkEnd w:id="68"/>
      <w:bookmarkEnd w:id="69"/>
      <w:bookmarkEnd w:id="70"/>
      <w:bookmarkEnd w:id="71"/>
      <w:bookmarkEnd w:id="72"/>
      <w:r>
        <w:rPr>
          <w:rFonts w:hint="eastAsia" w:ascii="Times New Roman" w:hAnsi="Times New Roman" w:eastAsia="仿宋_GB2312" w:cs="仿宋_GB2312"/>
          <w:color w:val="auto"/>
          <w:highlight w:val="none"/>
          <w:lang w:val="en-US" w:eastAsia="zh-CN"/>
        </w:rPr>
        <w:t>评估</w:t>
      </w:r>
    </w:p>
    <w:p w14:paraId="2FA4A1C3">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bookmarkStart w:id="73" w:name="_Toc21414"/>
      <w:bookmarkStart w:id="74" w:name="_Toc79948091"/>
      <w:bookmarkStart w:id="75" w:name="_Toc93308268"/>
      <w:r>
        <w:rPr>
          <w:rFonts w:hint="eastAsia" w:ascii="Times New Roman" w:hAnsi="Times New Roman" w:eastAsia="仿宋_GB2312" w:cs="仿宋_GB2312"/>
          <w:color w:val="auto"/>
          <w:szCs w:val="28"/>
          <w:highlight w:val="none"/>
          <w:lang w:val="en-US" w:eastAsia="zh-CN" w:bidi="ar"/>
        </w:rPr>
        <w:t>本次成片开发片区内的规划用地均符合国土空间总体规划及各控制性详细规划等相关规范导则要求，能够进一步补充完善</w:t>
      </w:r>
      <w:r>
        <w:rPr>
          <w:rFonts w:hint="eastAsia" w:ascii="Times New Roman" w:hAnsi="Times New Roman" w:eastAsia="仿宋_GB2312" w:cs="仿宋_GB2312"/>
          <w:color w:val="auto"/>
          <w:szCs w:val="28"/>
          <w:highlight w:val="none"/>
          <w:lang w:val="en-US" w:eastAsia="zh-CN" w:bidi="ar"/>
        </w:rPr>
        <w:t>区域公共服务</w:t>
      </w:r>
      <w:r>
        <w:rPr>
          <w:rFonts w:hint="eastAsia" w:ascii="Times New Roman" w:hAnsi="Times New Roman" w:eastAsia="仿宋_GB2312" w:cs="仿宋_GB2312"/>
          <w:color w:val="auto"/>
          <w:szCs w:val="28"/>
          <w:highlight w:val="none"/>
          <w:lang w:val="en-US" w:eastAsia="zh-CN" w:bidi="ar"/>
        </w:rPr>
        <w:t>用地配置，科学布置建设用地空间布局。成片开发通过整合片区空间，合理安排用地规模、调整用地结构和布局，缓解当前建设用地供需矛盾，促进片区土地功能相互协调，实现土地的连片发展和高效利用，推进产业项目集约集聚，有效落实产城互动的发展理念，提高博罗县土地集约节约利用水平，推动博罗县土地利用由粗放型向集约高效型转变。</w:t>
      </w:r>
    </w:p>
    <w:p w14:paraId="774CF310">
      <w:pPr>
        <w:pStyle w:val="3"/>
        <w:widowControl/>
        <w:spacing w:before="0" w:after="0" w:line="360" w:lineRule="auto"/>
        <w:ind w:firstLine="321" w:firstLineChars="100"/>
        <w:rPr>
          <w:rFonts w:hint="eastAsia" w:ascii="Times New Roman" w:hAnsi="Times New Roman" w:eastAsia="仿宋_GB2312" w:cs="仿宋_GB2312"/>
          <w:color w:val="auto"/>
          <w:highlight w:val="none"/>
          <w:lang w:val="en-US" w:eastAsia="zh-CN"/>
        </w:rPr>
      </w:pPr>
      <w:bookmarkStart w:id="76" w:name="_Toc130412833"/>
      <w:r>
        <w:rPr>
          <w:rFonts w:hint="eastAsia" w:ascii="Times New Roman" w:hAnsi="Times New Roman" w:eastAsia="仿宋_GB2312" w:cs="仿宋_GB2312"/>
          <w:color w:val="auto"/>
          <w:highlight w:val="none"/>
        </w:rPr>
        <w:t>（二）经济效益</w:t>
      </w:r>
      <w:bookmarkEnd w:id="73"/>
      <w:bookmarkEnd w:id="74"/>
      <w:bookmarkEnd w:id="75"/>
      <w:bookmarkEnd w:id="76"/>
      <w:r>
        <w:rPr>
          <w:rFonts w:hint="eastAsia" w:ascii="Times New Roman" w:hAnsi="Times New Roman" w:eastAsia="仿宋_GB2312" w:cs="仿宋_GB2312"/>
          <w:color w:val="auto"/>
          <w:highlight w:val="none"/>
          <w:lang w:val="en-US" w:eastAsia="zh-CN"/>
        </w:rPr>
        <w:t>评估</w:t>
      </w:r>
    </w:p>
    <w:p w14:paraId="2F2EA1F2">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bookmarkStart w:id="77" w:name="_Toc93308269"/>
      <w:bookmarkStart w:id="78" w:name="_Toc21448"/>
      <w:r>
        <w:rPr>
          <w:rFonts w:hint="eastAsia" w:ascii="Times New Roman" w:hAnsi="Times New Roman" w:eastAsia="仿宋_GB2312" w:cs="仿宋_GB2312"/>
          <w:color w:val="auto"/>
          <w:szCs w:val="28"/>
          <w:highlight w:val="none"/>
          <w:lang w:val="en-US" w:eastAsia="zh-CN" w:bidi="ar"/>
        </w:rPr>
        <w:t>本次土地征收成片开发范围周边区域开发建设相对成熟，市政、交通、供水、电力等基础设施较为完善。本次</w:t>
      </w:r>
      <w:r>
        <w:rPr>
          <w:rFonts w:hint="eastAsia" w:ascii="Times New Roman" w:hAnsi="Times New Roman" w:eastAsia="仿宋_GB2312" w:cs="仿宋_GB2312"/>
          <w:color w:val="auto"/>
          <w:szCs w:val="28"/>
          <w:highlight w:val="none"/>
          <w:lang w:val="en-US" w:eastAsia="zh-CN" w:bidi="ar"/>
        </w:rPr>
        <w:t>成片</w:t>
      </w:r>
      <w:r>
        <w:rPr>
          <w:rFonts w:hint="eastAsia" w:ascii="Times New Roman" w:hAnsi="Times New Roman" w:eastAsia="仿宋_GB2312" w:cs="仿宋_GB2312"/>
          <w:color w:val="auto"/>
          <w:szCs w:val="28"/>
          <w:highlight w:val="none"/>
          <w:lang w:val="en-US" w:eastAsia="zh-CN" w:bidi="ar"/>
        </w:rPr>
        <w:t>开发结合构筑“4+2+N”产业体系建设的发展理念，能有效壮大新一代电子信息、智能装备制造、新材料</w:t>
      </w:r>
      <w:r>
        <w:rPr>
          <w:rFonts w:hint="eastAsia" w:ascii="Times New Roman" w:hAnsi="Times New Roman" w:eastAsia="仿宋_GB2312" w:cs="仿宋_GB2312"/>
          <w:color w:val="auto"/>
          <w:szCs w:val="28"/>
          <w:highlight w:val="none"/>
          <w:lang w:val="en-US" w:eastAsia="zh-CN" w:bidi="ar"/>
        </w:rPr>
        <w:t>等</w:t>
      </w:r>
      <w:r>
        <w:rPr>
          <w:rFonts w:hint="eastAsia" w:ascii="Times New Roman" w:hAnsi="Times New Roman" w:eastAsia="仿宋_GB2312" w:cs="仿宋_GB2312"/>
          <w:color w:val="auto"/>
          <w:szCs w:val="28"/>
          <w:highlight w:val="none"/>
          <w:lang w:val="en-US" w:eastAsia="zh-CN" w:bidi="ar"/>
        </w:rPr>
        <w:t>产业，保障地方经济发展项目能够顺利实施，推进经济社会高质量发展。且</w:t>
      </w:r>
      <w:r>
        <w:rPr>
          <w:rFonts w:hint="eastAsia" w:ascii="Times New Roman" w:hAnsi="Times New Roman" w:eastAsia="仿宋_GB2312" w:cs="仿宋_GB2312"/>
          <w:color w:val="auto"/>
          <w:szCs w:val="28"/>
          <w:highlight w:val="none"/>
          <w:lang w:val="en-US" w:eastAsia="zh-CN" w:bidi="ar"/>
        </w:rPr>
        <w:t>成片开发范围</w:t>
      </w:r>
      <w:r>
        <w:rPr>
          <w:rFonts w:hint="eastAsia" w:ascii="Times New Roman" w:hAnsi="Times New Roman" w:eastAsia="仿宋_GB2312" w:cs="仿宋_GB2312"/>
          <w:color w:val="auto"/>
          <w:szCs w:val="28"/>
          <w:highlight w:val="none"/>
          <w:lang w:val="en-US" w:eastAsia="zh-CN" w:bidi="ar"/>
        </w:rPr>
        <w:t>周边区域开发建设较为成熟，</w:t>
      </w:r>
      <w:r>
        <w:rPr>
          <w:rFonts w:hint="eastAsia" w:ascii="Times New Roman" w:hAnsi="Times New Roman" w:eastAsia="仿宋_GB2312" w:cs="仿宋_GB2312"/>
          <w:color w:val="auto"/>
          <w:szCs w:val="28"/>
          <w:highlight w:val="none"/>
          <w:lang w:val="en-US" w:eastAsia="zh-CN" w:bidi="ar"/>
        </w:rPr>
        <w:t>成片开发范围</w:t>
      </w:r>
      <w:r>
        <w:rPr>
          <w:rFonts w:hint="eastAsia" w:ascii="Times New Roman" w:hAnsi="Times New Roman" w:eastAsia="仿宋_GB2312" w:cs="仿宋_GB2312"/>
          <w:color w:val="auto"/>
          <w:szCs w:val="28"/>
          <w:highlight w:val="none"/>
          <w:lang w:val="en-US" w:eastAsia="zh-CN" w:bidi="ar"/>
        </w:rPr>
        <w:t>开发建设经济盈利能力和抗风险能力相对较强，有利于进一步完善区域的产业结构，与周边形成优势互补，规模效应突显，同时增加政府财政税收，实现经济社会的协调发展。</w:t>
      </w:r>
    </w:p>
    <w:p w14:paraId="49DB8B6D">
      <w:pPr>
        <w:pStyle w:val="3"/>
        <w:widowControl/>
        <w:spacing w:before="0" w:after="0" w:line="360" w:lineRule="auto"/>
        <w:ind w:firstLine="321" w:firstLineChars="100"/>
        <w:rPr>
          <w:rFonts w:hint="eastAsia" w:ascii="Times New Roman" w:hAnsi="Times New Roman" w:eastAsia="仿宋_GB2312" w:cs="仿宋_GB2312"/>
          <w:color w:val="auto"/>
          <w:highlight w:val="none"/>
          <w:lang w:val="en-US" w:eastAsia="zh-CN"/>
        </w:rPr>
      </w:pPr>
      <w:bookmarkStart w:id="79" w:name="_Toc130412834"/>
      <w:r>
        <w:rPr>
          <w:rFonts w:hint="eastAsia" w:ascii="Times New Roman" w:hAnsi="Times New Roman" w:eastAsia="仿宋_GB2312" w:cs="仿宋_GB2312"/>
          <w:color w:val="auto"/>
          <w:highlight w:val="none"/>
        </w:rPr>
        <w:t>（三）社会效益</w:t>
      </w:r>
      <w:bookmarkEnd w:id="77"/>
      <w:bookmarkEnd w:id="78"/>
      <w:bookmarkEnd w:id="79"/>
      <w:r>
        <w:rPr>
          <w:rFonts w:hint="eastAsia" w:ascii="Times New Roman" w:hAnsi="Times New Roman" w:eastAsia="仿宋_GB2312" w:cs="仿宋_GB2312"/>
          <w:color w:val="auto"/>
          <w:highlight w:val="none"/>
          <w:lang w:val="en-US" w:eastAsia="zh-CN"/>
        </w:rPr>
        <w:t>评估</w:t>
      </w:r>
    </w:p>
    <w:p w14:paraId="790F3E7A">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default"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本</w:t>
      </w:r>
      <w:r>
        <w:rPr>
          <w:rFonts w:hint="eastAsia" w:ascii="Times New Roman" w:hAnsi="Times New Roman" w:eastAsia="仿宋_GB2312" w:cs="仿宋_GB2312"/>
          <w:color w:val="auto"/>
          <w:szCs w:val="28"/>
          <w:highlight w:val="none"/>
          <w:lang w:val="en-US" w:eastAsia="zh-CN" w:bidi="ar"/>
        </w:rPr>
        <w:t>次成片开发方案涉及的项目主要是工业</w:t>
      </w:r>
      <w:r>
        <w:rPr>
          <w:rFonts w:hint="eastAsia" w:ascii="Times New Roman" w:hAnsi="Times New Roman" w:eastAsia="仿宋_GB2312" w:cs="仿宋_GB2312"/>
          <w:color w:val="auto"/>
          <w:szCs w:val="28"/>
          <w:highlight w:val="none"/>
          <w:lang w:val="en-US" w:eastAsia="zh-CN" w:bidi="ar"/>
        </w:rPr>
        <w:t>和教育</w:t>
      </w:r>
      <w:r>
        <w:rPr>
          <w:rFonts w:hint="eastAsia" w:ascii="Times New Roman" w:hAnsi="Times New Roman" w:eastAsia="仿宋_GB2312" w:cs="仿宋_GB2312"/>
          <w:color w:val="auto"/>
          <w:szCs w:val="28"/>
          <w:highlight w:val="none"/>
          <w:lang w:val="en-US" w:eastAsia="zh-CN" w:bidi="ar"/>
        </w:rPr>
        <w:t>建设项目</w:t>
      </w:r>
      <w:r>
        <w:rPr>
          <w:rFonts w:hint="default" w:ascii="Times New Roman" w:hAnsi="Times New Roman" w:eastAsia="仿宋_GB2312" w:cs="仿宋_GB2312"/>
          <w:color w:val="auto"/>
          <w:szCs w:val="28"/>
          <w:highlight w:val="none"/>
          <w:lang w:val="en-US" w:eastAsia="zh-CN" w:bidi="ar"/>
        </w:rPr>
        <w:t>，</w:t>
      </w:r>
      <w:r>
        <w:rPr>
          <w:rFonts w:hint="eastAsia" w:ascii="Times New Roman" w:hAnsi="Times New Roman" w:eastAsia="仿宋_GB2312" w:cs="仿宋_GB2312"/>
          <w:color w:val="auto"/>
          <w:szCs w:val="28"/>
          <w:highlight w:val="none"/>
          <w:lang w:val="en-US" w:eastAsia="zh-CN" w:bidi="ar"/>
        </w:rPr>
        <w:t>通过本次成片开发，</w:t>
      </w:r>
      <w:r>
        <w:rPr>
          <w:rFonts w:hint="default" w:ascii="Times New Roman" w:hAnsi="Times New Roman" w:eastAsia="仿宋_GB2312" w:cs="仿宋_GB2312"/>
          <w:color w:val="auto"/>
          <w:szCs w:val="28"/>
          <w:highlight w:val="none"/>
          <w:lang w:val="en-US" w:eastAsia="zh-CN" w:bidi="ar"/>
        </w:rPr>
        <w:t>可推动成片开发范围内部、周边基础设施及公共服务设施的建设，提升区域公共服务水平，带动片区相关产业的发展，提供更多的就业岗位。</w:t>
      </w:r>
    </w:p>
    <w:p w14:paraId="743D2B22">
      <w:pPr>
        <w:keepNext w:val="0"/>
        <w:keepLines w:val="0"/>
        <w:pageBreakBefore w:val="0"/>
        <w:widowControl/>
        <w:suppressLineNumbers w:val="0"/>
        <w:kinsoku/>
        <w:wordWrap/>
        <w:overflowPunct/>
        <w:topLinePunct w:val="0"/>
        <w:autoSpaceDE/>
        <w:autoSpaceDN/>
        <w:bidi w:val="0"/>
        <w:adjustRightInd/>
        <w:snapToGrid/>
        <w:spacing w:before="0" w:after="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推进实施本次成片开发方案中的工业项目，有助于博罗县现代产业与高新产业高质量发展</w:t>
      </w:r>
      <w:r>
        <w:rPr>
          <w:rFonts w:hint="eastAsia" w:ascii="Times New Roman" w:hAnsi="Times New Roman" w:eastAsia="仿宋_GB2312" w:cs="仿宋_GB2312"/>
          <w:color w:val="auto"/>
          <w:szCs w:val="28"/>
          <w:highlight w:val="none"/>
          <w:lang w:val="en-US" w:eastAsia="zh-CN" w:bidi="ar"/>
        </w:rPr>
        <w:t>，</w:t>
      </w:r>
      <w:r>
        <w:rPr>
          <w:rFonts w:hint="default" w:ascii="Times New Roman" w:hAnsi="Times New Roman" w:eastAsia="仿宋_GB2312" w:cs="仿宋_GB2312"/>
          <w:color w:val="auto"/>
          <w:szCs w:val="28"/>
          <w:highlight w:val="none"/>
          <w:lang w:val="en-US" w:eastAsia="zh-CN" w:bidi="ar"/>
        </w:rPr>
        <w:t>可创造大量就业岗位，增加政府财政税收</w:t>
      </w:r>
      <w:r>
        <w:rPr>
          <w:rFonts w:hint="eastAsia" w:ascii="Times New Roman" w:hAnsi="Times New Roman" w:eastAsia="仿宋_GB2312" w:cs="仿宋_GB2312"/>
          <w:color w:val="auto"/>
          <w:szCs w:val="28"/>
          <w:highlight w:val="none"/>
          <w:lang w:val="en-US" w:eastAsia="zh-CN" w:bidi="ar"/>
        </w:rPr>
        <w:t>；推进实施本次成片开发方案中的</w:t>
      </w:r>
      <w:r>
        <w:rPr>
          <w:rFonts w:hint="eastAsia" w:ascii="Times New Roman" w:hAnsi="Times New Roman" w:eastAsia="仿宋_GB2312" w:cs="仿宋_GB2312"/>
          <w:color w:val="auto"/>
          <w:szCs w:val="28"/>
          <w:highlight w:val="none"/>
          <w:lang w:val="en-US" w:eastAsia="zh-CN" w:bidi="ar"/>
        </w:rPr>
        <w:t>教育</w:t>
      </w:r>
      <w:r>
        <w:rPr>
          <w:rFonts w:hint="eastAsia" w:ascii="Times New Roman" w:hAnsi="Times New Roman" w:eastAsia="仿宋_GB2312" w:cs="仿宋_GB2312"/>
          <w:color w:val="auto"/>
          <w:szCs w:val="28"/>
          <w:highlight w:val="none"/>
          <w:lang w:val="en-US" w:eastAsia="zh-CN" w:bidi="ar"/>
        </w:rPr>
        <w:t>项目，有利于优化提升区域范围内</w:t>
      </w:r>
      <w:r>
        <w:rPr>
          <w:rFonts w:hint="eastAsia" w:ascii="Times New Roman" w:hAnsi="Times New Roman" w:eastAsia="仿宋_GB2312" w:cs="仿宋_GB2312"/>
          <w:color w:val="auto"/>
          <w:szCs w:val="28"/>
          <w:highlight w:val="none"/>
          <w:lang w:val="en-US" w:eastAsia="zh-CN" w:bidi="ar"/>
        </w:rPr>
        <w:t>公共服务设施配套</w:t>
      </w:r>
      <w:r>
        <w:rPr>
          <w:rFonts w:hint="eastAsia" w:ascii="Times New Roman" w:hAnsi="Times New Roman" w:eastAsia="仿宋_GB2312" w:cs="仿宋_GB2312"/>
          <w:color w:val="auto"/>
          <w:szCs w:val="28"/>
          <w:highlight w:val="none"/>
          <w:lang w:val="en-US" w:eastAsia="zh-CN" w:bidi="ar"/>
        </w:rPr>
        <w:t>，提高群众生活</w:t>
      </w:r>
      <w:r>
        <w:rPr>
          <w:rFonts w:hint="eastAsia" w:ascii="Times New Roman" w:hAnsi="Times New Roman" w:eastAsia="仿宋_GB2312" w:cs="仿宋_GB2312"/>
          <w:color w:val="auto"/>
          <w:szCs w:val="28"/>
          <w:highlight w:val="none"/>
          <w:lang w:val="en-US" w:eastAsia="zh-CN" w:bidi="ar"/>
        </w:rPr>
        <w:t>质量</w:t>
      </w:r>
      <w:r>
        <w:rPr>
          <w:rFonts w:hint="eastAsia" w:ascii="Times New Roman" w:hAnsi="Times New Roman" w:eastAsia="仿宋_GB2312" w:cs="仿宋_GB2312"/>
          <w:color w:val="auto"/>
          <w:szCs w:val="28"/>
          <w:highlight w:val="none"/>
          <w:lang w:val="en-US" w:eastAsia="zh-CN" w:bidi="ar"/>
        </w:rPr>
        <w:t>，</w:t>
      </w:r>
      <w:r>
        <w:rPr>
          <w:rFonts w:hint="default" w:ascii="Times New Roman" w:hAnsi="Times New Roman" w:eastAsia="仿宋_GB2312" w:cs="仿宋_GB2312"/>
          <w:color w:val="auto"/>
          <w:szCs w:val="28"/>
          <w:highlight w:val="none"/>
          <w:lang w:val="en-US" w:eastAsia="zh-CN" w:bidi="ar"/>
        </w:rPr>
        <w:t>符合国民经济和社会发展规划的要求，保障城市开发建设科学有序的推进</w:t>
      </w:r>
      <w:r>
        <w:rPr>
          <w:rFonts w:hint="eastAsia" w:ascii="Times New Roman" w:hAnsi="Times New Roman" w:eastAsia="仿宋_GB2312" w:cs="仿宋_GB2312"/>
          <w:color w:val="auto"/>
          <w:szCs w:val="28"/>
          <w:highlight w:val="none"/>
          <w:lang w:val="en-US" w:eastAsia="zh-CN" w:bidi="ar"/>
        </w:rPr>
        <w:t>。</w:t>
      </w:r>
    </w:p>
    <w:p w14:paraId="11E2AEB5">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根据《中华人民共和国土地管理法》（2019年修正）第四十七条规定，县级以上地方人民政府拟申请征收土地的，应当开展拟征收土地现状调查和社会稳定风险评估。针对本方案确定的土地征收事项，将在征地预公告发出后开展社会稳定风险评估工作，对可能影响社会稳定的因素开展系统的调查，综合研判风险因素因子，科学预测和评估风险因子影响程度及发生概率，制定风险应对策略和预案，从源头上规避、预防和控制土地征收实施可能产生的社会稳定风险，通过落实防范、化解和处置措施，切实维护被征地群众利益，保障土地征收工作顺利实施。</w:t>
      </w:r>
    </w:p>
    <w:p w14:paraId="2BCF1596">
      <w:pPr>
        <w:pStyle w:val="3"/>
        <w:widowControl/>
        <w:spacing w:before="0" w:after="0" w:line="360" w:lineRule="auto"/>
        <w:ind w:firstLine="321" w:firstLineChars="100"/>
        <w:rPr>
          <w:rFonts w:hint="eastAsia" w:ascii="Times New Roman" w:hAnsi="Times New Roman" w:eastAsia="仿宋_GB2312" w:cs="仿宋_GB2312"/>
          <w:color w:val="auto"/>
          <w:highlight w:val="none"/>
        </w:rPr>
      </w:pPr>
      <w:bookmarkStart w:id="80" w:name="_Toc77577510"/>
      <w:bookmarkStart w:id="81" w:name="_Toc748"/>
      <w:bookmarkStart w:id="82" w:name="_Toc130412835"/>
      <w:bookmarkStart w:id="83" w:name="_Toc69918974"/>
      <w:bookmarkStart w:id="84" w:name="_Toc93308270"/>
      <w:bookmarkStart w:id="85" w:name="_Toc28690"/>
      <w:bookmarkStart w:id="86" w:name="_Toc69918880"/>
      <w:r>
        <w:rPr>
          <w:rFonts w:hint="eastAsia" w:ascii="Times New Roman" w:hAnsi="Times New Roman" w:eastAsia="仿宋_GB2312" w:cs="仿宋_GB2312"/>
          <w:color w:val="auto"/>
          <w:highlight w:val="none"/>
        </w:rPr>
        <w:t>（四）生态效益</w:t>
      </w:r>
      <w:bookmarkEnd w:id="80"/>
      <w:bookmarkEnd w:id="81"/>
      <w:bookmarkEnd w:id="82"/>
      <w:bookmarkEnd w:id="83"/>
      <w:bookmarkEnd w:id="84"/>
      <w:bookmarkEnd w:id="85"/>
      <w:bookmarkEnd w:id="86"/>
    </w:p>
    <w:p w14:paraId="317F6C86">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本次</w:t>
      </w:r>
      <w:r>
        <w:rPr>
          <w:rFonts w:hint="eastAsia" w:ascii="Times New Roman" w:hAnsi="Times New Roman" w:eastAsia="仿宋_GB2312" w:cs="仿宋_GB2312"/>
          <w:color w:val="auto"/>
          <w:szCs w:val="28"/>
          <w:highlight w:val="none"/>
          <w:lang w:val="en-US" w:eastAsia="zh-CN" w:bidi="ar"/>
        </w:rPr>
        <w:t>土地征收成片开发范围内不涉及占用永久基本农田、生态保护红线和自然保护地等，符合生态环境保护要求。对于涉及生态控制线、绿线、蓝线等生态底线管控要素的，做好衔接工作，不破坏不污染生态环境，同时加强生态环境建设，促进区域经济可持续发展。</w:t>
      </w:r>
    </w:p>
    <w:p w14:paraId="07CA800A">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本次成片开发建设坚持绿色发展理念，结合项目类型采取有效的环境影响保护控制及削减措施，避免对区域大气环境、生态环境、地下水环境、土壤环境产生超出环境容量的影响，减少对区域生态环境品质产生不利影响。</w:t>
      </w:r>
      <w:bookmarkStart w:id="87" w:name="_Toc16158"/>
      <w:bookmarkStart w:id="88" w:name="_Toc93308275"/>
      <w:bookmarkStart w:id="89" w:name="_Toc79948094"/>
    </w:p>
    <w:p w14:paraId="242A0CA6">
      <w:pPr>
        <w:pStyle w:val="2"/>
        <w:ind w:left="0" w:firstLine="0"/>
        <w:rPr>
          <w:rFonts w:hint="eastAsia" w:ascii="Times New Roman" w:hAnsi="Times New Roman" w:eastAsia="仿宋_GB2312" w:cs="仿宋_GB2312"/>
          <w:b/>
          <w:bCs w:val="0"/>
          <w:color w:val="auto"/>
          <w:sz w:val="36"/>
          <w:szCs w:val="48"/>
          <w:highlight w:val="none"/>
        </w:rPr>
      </w:pPr>
      <w:bookmarkStart w:id="90" w:name="_Toc130412836"/>
      <w:r>
        <w:rPr>
          <w:rFonts w:hint="eastAsia" w:ascii="Times New Roman" w:hAnsi="Times New Roman" w:eastAsia="仿宋_GB2312" w:cs="仿宋_GB2312"/>
          <w:b/>
          <w:bCs w:val="0"/>
          <w:color w:val="auto"/>
          <w:sz w:val="36"/>
          <w:szCs w:val="48"/>
          <w:highlight w:val="none"/>
        </w:rPr>
        <w:t>八、结论</w:t>
      </w:r>
      <w:bookmarkEnd w:id="87"/>
      <w:bookmarkEnd w:id="88"/>
      <w:bookmarkEnd w:id="89"/>
      <w:bookmarkEnd w:id="90"/>
    </w:p>
    <w:p w14:paraId="3E2F08F6">
      <w:pPr>
        <w:pStyle w:val="3"/>
        <w:widowControl/>
        <w:spacing w:before="0" w:after="0" w:line="360" w:lineRule="auto"/>
        <w:ind w:firstLine="321" w:firstLineChars="100"/>
        <w:rPr>
          <w:rFonts w:hint="eastAsia" w:ascii="Times New Roman" w:hAnsi="Times New Roman" w:eastAsia="仿宋_GB2312" w:cs="仿宋_GB2312"/>
          <w:color w:val="auto"/>
          <w:highlight w:val="none"/>
        </w:rPr>
      </w:pPr>
      <w:bookmarkStart w:id="91" w:name="_Toc79948095"/>
      <w:bookmarkStart w:id="92" w:name="_Toc130412837"/>
      <w:bookmarkStart w:id="93" w:name="_Toc10808"/>
      <w:bookmarkStart w:id="94" w:name="_Toc93308276"/>
      <w:r>
        <w:rPr>
          <w:rFonts w:hint="eastAsia" w:ascii="Times New Roman" w:hAnsi="Times New Roman" w:eastAsia="仿宋_GB2312" w:cs="仿宋_GB2312"/>
          <w:color w:val="auto"/>
          <w:highlight w:val="none"/>
        </w:rPr>
        <w:t>（一）</w:t>
      </w:r>
      <w:bookmarkEnd w:id="91"/>
      <w:r>
        <w:rPr>
          <w:rFonts w:hint="eastAsia" w:ascii="Times New Roman" w:hAnsi="Times New Roman" w:eastAsia="仿宋_GB2312" w:cs="仿宋_GB2312"/>
          <w:color w:val="auto"/>
          <w:highlight w:val="none"/>
        </w:rPr>
        <w:t>方案符合发展战略，实施是必要的</w:t>
      </w:r>
      <w:bookmarkEnd w:id="92"/>
      <w:bookmarkEnd w:id="93"/>
      <w:bookmarkEnd w:id="94"/>
    </w:p>
    <w:p w14:paraId="34580495">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bookmarkStart w:id="95" w:name="_Toc18621"/>
      <w:bookmarkStart w:id="96" w:name="_Toc93308277"/>
      <w:bookmarkStart w:id="97" w:name="_Toc79948096"/>
      <w:r>
        <w:rPr>
          <w:rFonts w:hint="eastAsia" w:ascii="Times New Roman" w:hAnsi="Times New Roman" w:eastAsia="仿宋_GB2312" w:cs="仿宋_GB2312"/>
          <w:color w:val="auto"/>
          <w:szCs w:val="28"/>
          <w:highlight w:val="none"/>
          <w:lang w:val="en-US" w:eastAsia="zh-CN" w:bidi="ar"/>
        </w:rPr>
        <w:t>本次拟征收项目均位于国土空间总体规划确定的城镇建设用地范围内，为了公共利益需要，由博罗县人民政府组织实施的成片开发建设需要用地。本方案有利于推动博罗县产业发展，优化城市空间格局，完善区域配套设施，提升土地利用效益，维护生态平衡，助推博罗县产城融合高质量发展，成片开发方案编制是必要的。</w:t>
      </w:r>
    </w:p>
    <w:bookmarkEnd w:id="95"/>
    <w:bookmarkEnd w:id="96"/>
    <w:bookmarkEnd w:id="97"/>
    <w:p w14:paraId="7CEC8F40">
      <w:pPr>
        <w:pStyle w:val="3"/>
        <w:widowControl/>
        <w:spacing w:before="0" w:after="0" w:line="360" w:lineRule="auto"/>
        <w:ind w:firstLine="321" w:firstLineChars="100"/>
        <w:rPr>
          <w:rFonts w:hint="eastAsia" w:ascii="Times New Roman" w:hAnsi="Times New Roman" w:eastAsia="仿宋_GB2312" w:cs="仿宋_GB2312"/>
          <w:color w:val="auto"/>
          <w:highlight w:val="none"/>
        </w:rPr>
      </w:pPr>
      <w:bookmarkStart w:id="98" w:name="_Toc130412838"/>
      <w:bookmarkStart w:id="99" w:name="_Toc93308278"/>
      <w:bookmarkStart w:id="100" w:name="_Toc31654"/>
      <w:r>
        <w:rPr>
          <w:rFonts w:hint="eastAsia" w:ascii="Times New Roman" w:hAnsi="Times New Roman" w:eastAsia="仿宋_GB2312" w:cs="仿宋_GB2312"/>
          <w:color w:val="auto"/>
          <w:highlight w:val="none"/>
        </w:rPr>
        <w:t>（二）方案满足规范要求，实施是可行的</w:t>
      </w:r>
      <w:bookmarkEnd w:id="98"/>
    </w:p>
    <w:p w14:paraId="35176CA7">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成片开发范围位于国土空间总体规划确定的城镇建设用地范围内，与“三区三线”充分衔接，已纳入国民经济和社会发展年度计划。并与环境保护相关规划不冲突。</w:t>
      </w:r>
      <w:bookmarkStart w:id="105" w:name="_GoBack"/>
      <w:bookmarkEnd w:id="105"/>
    </w:p>
    <w:p w14:paraId="748E6024">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r>
        <w:rPr>
          <w:rFonts w:hint="eastAsia" w:ascii="Times New Roman" w:hAnsi="Times New Roman" w:eastAsia="仿宋_GB2312" w:cs="仿宋_GB2312"/>
          <w:color w:val="auto"/>
          <w:szCs w:val="28"/>
          <w:highlight w:val="none"/>
          <w:lang w:val="en-US" w:eastAsia="zh-CN" w:bidi="ar"/>
        </w:rPr>
        <w:t>成片开发范围符合《土地征收成片开发标准》（自然资规〔2023〕7号）、《广东省自然资源厅关于进一步规范土地征收成片开发工作的通知》（粤自然资规字〔2024〕7号）等相关文件要求，成片开发范围内不涉及占用永久基本农田和生态保护红线、自然保护地和水源保护区等生态限制因素，片区内公益性用地占比高于</w:t>
      </w:r>
      <w:r>
        <w:rPr>
          <w:rFonts w:hint="eastAsia" w:ascii="Times New Roman" w:hAnsi="Times New Roman" w:eastAsia="仿宋_GB2312" w:cs="仿宋_GB2312"/>
          <w:color w:val="auto"/>
          <w:szCs w:val="28"/>
          <w:highlight w:val="none"/>
          <w:lang w:val="en-US" w:eastAsia="zh-CN" w:bidi="ar"/>
        </w:rPr>
        <w:t>3</w:t>
      </w:r>
      <w:r>
        <w:rPr>
          <w:rFonts w:hint="eastAsia" w:ascii="Times New Roman" w:hAnsi="Times New Roman" w:eastAsia="仿宋_GB2312" w:cs="仿宋_GB2312"/>
          <w:color w:val="auto"/>
          <w:szCs w:val="28"/>
          <w:highlight w:val="none"/>
          <w:lang w:val="en-US" w:eastAsia="zh-CN" w:bidi="ar"/>
        </w:rPr>
        <w:t>0%</w:t>
      </w:r>
      <w:r>
        <w:rPr>
          <w:rFonts w:hint="eastAsia" w:ascii="Times New Roman" w:hAnsi="Times New Roman" w:eastAsia="仿宋_GB2312" w:cs="仿宋_GB2312"/>
          <w:color w:val="auto"/>
          <w:szCs w:val="28"/>
          <w:highlight w:val="none"/>
          <w:lang w:val="en-US" w:eastAsia="zh-CN" w:bidi="ar"/>
        </w:rPr>
        <w:t>，</w:t>
      </w:r>
      <w:r>
        <w:rPr>
          <w:rFonts w:hint="eastAsia" w:ascii="Times New Roman" w:hAnsi="Times New Roman" w:eastAsia="仿宋_GB2312" w:cs="仿宋_GB2312"/>
          <w:color w:val="auto"/>
          <w:szCs w:val="28"/>
          <w:highlight w:val="none"/>
          <w:lang w:val="en-US" w:eastAsia="zh-CN" w:bidi="ar"/>
        </w:rPr>
        <w:t>不存在大量批而未供和闲置土地，不存在土地利用效率低下的情况，不存在已批准实施的土地征收成片开发连续两年未完成年度土地征收实施计划情况。博罗县基于新增建设用地计划指标和土地供应计划，制定了清晰详细的实施计划。</w:t>
      </w:r>
    </w:p>
    <w:bookmarkEnd w:id="99"/>
    <w:bookmarkEnd w:id="100"/>
    <w:p w14:paraId="32020B82">
      <w:pPr>
        <w:keepNext w:val="0"/>
        <w:keepLines w:val="0"/>
        <w:pageBreakBefore w:val="0"/>
        <w:widowControl w:val="0"/>
        <w:kinsoku/>
        <w:wordWrap/>
        <w:overflowPunct/>
        <w:topLinePunct w:val="0"/>
        <w:autoSpaceDE/>
        <w:autoSpaceDN/>
        <w:bidi w:val="0"/>
        <w:adjustRightInd/>
        <w:snapToGrid/>
        <w:spacing w:before="0" w:after="0"/>
        <w:ind w:left="0" w:leftChars="0" w:firstLine="560" w:firstLineChars="200"/>
        <w:jc w:val="both"/>
        <w:textAlignment w:val="auto"/>
        <w:rPr>
          <w:rFonts w:hint="eastAsia" w:ascii="Times New Roman" w:hAnsi="Times New Roman" w:eastAsia="仿宋_GB2312" w:cs="仿宋_GB2312"/>
          <w:color w:val="auto"/>
          <w:szCs w:val="28"/>
          <w:highlight w:val="none"/>
          <w:lang w:val="en-US" w:eastAsia="zh-CN" w:bidi="ar"/>
        </w:rPr>
      </w:pPr>
      <w:bookmarkStart w:id="101" w:name="_Toc93308280"/>
      <w:bookmarkStart w:id="102" w:name="_Toc5284"/>
      <w:r>
        <w:rPr>
          <w:rFonts w:hint="eastAsia" w:ascii="Times New Roman" w:hAnsi="Times New Roman" w:eastAsia="仿宋_GB2312" w:cs="仿宋_GB2312"/>
          <w:color w:val="auto"/>
          <w:szCs w:val="28"/>
          <w:highlight w:val="none"/>
          <w:lang w:val="en-US" w:eastAsia="zh-CN" w:bidi="ar"/>
        </w:rPr>
        <w:t>综上所述，《</w:t>
      </w:r>
      <w:r>
        <w:rPr>
          <w:rFonts w:hint="eastAsia" w:ascii="Times New Roman" w:hAnsi="Times New Roman" w:eastAsia="仿宋_GB2312" w:cs="仿宋_GB2312"/>
          <w:color w:val="auto"/>
          <w:szCs w:val="28"/>
          <w:highlight w:val="none"/>
          <w:lang w:val="en-US" w:eastAsia="zh-CN" w:bidi="ar"/>
        </w:rPr>
        <w:t>惠州市博罗县2025年度土地征收成片开发方案（第五批）</w:t>
      </w:r>
      <w:r>
        <w:rPr>
          <w:rFonts w:hint="eastAsia" w:ascii="Times New Roman" w:hAnsi="Times New Roman" w:eastAsia="仿宋_GB2312" w:cs="仿宋_GB2312"/>
          <w:color w:val="auto"/>
          <w:szCs w:val="28"/>
          <w:highlight w:val="none"/>
          <w:lang w:val="en-US" w:eastAsia="zh-CN" w:bidi="ar"/>
        </w:rPr>
        <w:t>》符合政策要求、程序规范；土地征收实施计划安排合理、可行性高；成片开发能带来较大的经济、社会、生态效益。</w:t>
      </w:r>
    </w:p>
    <w:p w14:paraId="43089646">
      <w:pPr>
        <w:pStyle w:val="2"/>
        <w:rPr>
          <w:rFonts w:hint="eastAsia" w:ascii="Times New Roman" w:hAnsi="Times New Roman" w:eastAsia="仿宋_GB2312" w:cs="仿宋_GB2312"/>
          <w:b/>
          <w:bCs w:val="0"/>
          <w:color w:val="auto"/>
          <w:sz w:val="36"/>
          <w:szCs w:val="48"/>
        </w:rPr>
      </w:pPr>
      <w:bookmarkStart w:id="103" w:name="_Toc130412839"/>
      <w:bookmarkStart w:id="104" w:name="_Toc20735"/>
      <w:r>
        <w:rPr>
          <w:rFonts w:hint="eastAsia" w:ascii="Times New Roman" w:hAnsi="Times New Roman" w:eastAsia="仿宋_GB2312" w:cs="仿宋_GB2312"/>
          <w:b/>
          <w:bCs w:val="0"/>
          <w:color w:val="auto"/>
          <w:sz w:val="36"/>
          <w:szCs w:val="48"/>
        </w:rPr>
        <w:t>附图</w:t>
      </w:r>
      <w:bookmarkEnd w:id="103"/>
      <w:bookmarkEnd w:id="104"/>
    </w:p>
    <w:p w14:paraId="6174A117">
      <w:pPr>
        <w:pStyle w:val="38"/>
        <w:keepNext w:val="0"/>
        <w:keepLines w:val="0"/>
        <w:pageBreakBefore w:val="0"/>
        <w:widowControl w:val="0"/>
        <w:kinsoku/>
        <w:wordWrap/>
        <w:overflowPunct/>
        <w:topLinePunct w:val="0"/>
        <w:autoSpaceDE/>
        <w:autoSpaceDN/>
        <w:bidi w:val="0"/>
        <w:adjustRightInd/>
        <w:snapToGrid/>
        <w:spacing w:before="0" w:after="0"/>
        <w:ind w:left="0" w:firstLine="0" w:firstLineChars="0"/>
        <w:textAlignment w:val="auto"/>
        <w:rPr>
          <w:rFonts w:hint="eastAsia" w:ascii="Times New Roman" w:hAnsi="Times New Roman" w:eastAsia="仿宋_GB2312" w:cs="仿宋_GB2312"/>
          <w:color w:val="auto"/>
        </w:rPr>
      </w:pPr>
      <w:r>
        <w:rPr>
          <w:rFonts w:hint="eastAsia" w:ascii="Times New Roman" w:hAnsi="Times New Roman" w:eastAsia="仿宋_GB2312" w:cs="仿宋_GB2312"/>
          <w:color w:val="auto"/>
          <w:szCs w:val="28"/>
          <w:highlight w:val="none"/>
          <w:lang w:val="en-US" w:eastAsia="zh-CN" w:bidi="ar"/>
        </w:rPr>
        <w:t>惠州市博罗县2025年度土地征收成片开发方案（第五批）</w:t>
      </w:r>
      <w:r>
        <w:rPr>
          <w:rFonts w:hint="eastAsia" w:ascii="Times New Roman" w:hAnsi="Times New Roman" w:eastAsia="仿宋_GB2312" w:cs="仿宋_GB2312"/>
          <w:color w:val="auto"/>
          <w:szCs w:val="28"/>
          <w:highlight w:val="none"/>
          <w:lang w:val="en-US" w:eastAsia="zh-CN" w:bidi="ar"/>
        </w:rPr>
        <w:t>成片开发范围分布图</w:t>
      </w:r>
    </w:p>
    <w:p w14:paraId="322A2CBC">
      <w:pPr>
        <w:pStyle w:val="38"/>
        <w:ind w:firstLine="0" w:firstLineChars="0"/>
        <w:rPr>
          <w:rFonts w:hint="eastAsia" w:ascii="Times New Roman" w:hAnsi="Times New Roman" w:eastAsia="仿宋_GB2312" w:cs="仿宋_GB2312"/>
          <w:color w:val="auto"/>
        </w:rPr>
        <w:sectPr>
          <w:footerReference r:id="rId11" w:type="default"/>
          <w:pgSz w:w="11906" w:h="16838"/>
          <w:pgMar w:top="1440" w:right="1800" w:bottom="1440" w:left="1800" w:header="851" w:footer="992" w:gutter="0"/>
          <w:pgNumType w:start="1"/>
          <w:cols w:space="425" w:num="1"/>
          <w:docGrid w:type="lines" w:linePitch="381" w:charSpace="0"/>
        </w:sectPr>
      </w:pPr>
    </w:p>
    <w:bookmarkEnd w:id="101"/>
    <w:bookmarkEnd w:id="102"/>
    <w:p w14:paraId="113ECD90">
      <w:pPr>
        <w:pStyle w:val="38"/>
        <w:spacing w:before="0" w:after="0" w:line="240" w:lineRule="auto"/>
        <w:ind w:firstLine="0" w:firstLineChars="0"/>
        <w:jc w:val="center"/>
        <w:rPr>
          <w:rFonts w:hint="eastAsia" w:ascii="Times New Roman" w:hAnsi="Times New Roman" w:eastAsia="仿宋_GB2312" w:cs="仿宋_GB2312"/>
          <w:color w:val="auto"/>
          <w:lang w:eastAsia="zh-CN"/>
        </w:rPr>
      </w:pPr>
      <w:r>
        <w:rPr>
          <w:rFonts w:hint="eastAsia" w:ascii="Times New Roman" w:hAnsi="Times New Roman" w:eastAsia="仿宋_GB2312" w:cs="仿宋_GB2312"/>
          <w:color w:val="auto"/>
          <w:lang w:eastAsia="zh-CN"/>
        </w:rPr>
        <w:drawing>
          <wp:inline distT="0" distB="0" distL="114300" distR="114300">
            <wp:extent cx="12552045" cy="8882380"/>
            <wp:effectExtent l="9525" t="9525" r="11430" b="23495"/>
            <wp:docPr id="2" name="图片 2" descr="第五批公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五批公示图"/>
                    <pic:cNvPicPr>
                      <a:picLocks noChangeAspect="1"/>
                    </pic:cNvPicPr>
                  </pic:nvPicPr>
                  <pic:blipFill>
                    <a:blip r:embed="rId14"/>
                    <a:stretch>
                      <a:fillRect/>
                    </a:stretch>
                  </pic:blipFill>
                  <pic:spPr>
                    <a:xfrm>
                      <a:off x="0" y="0"/>
                      <a:ext cx="12552045" cy="8882380"/>
                    </a:xfrm>
                    <a:prstGeom prst="rect">
                      <a:avLst/>
                    </a:prstGeom>
                    <a:ln>
                      <a:solidFill>
                        <a:schemeClr val="tx1"/>
                      </a:solidFill>
                    </a:ln>
                  </pic:spPr>
                </pic:pic>
              </a:graphicData>
            </a:graphic>
          </wp:inline>
        </w:drawing>
      </w:r>
    </w:p>
    <w:sectPr>
      <w:footerReference r:id="rId12" w:type="default"/>
      <w:pgSz w:w="23814" w:h="16839" w:orient="landscape"/>
      <w:pgMar w:top="607" w:right="720" w:bottom="607" w:left="720" w:header="851" w:footer="992" w:gutter="0"/>
      <w:cols w:space="0" w:num="1"/>
      <w:rtlGutter w:val="0"/>
      <w:docGrid w:type="lines"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39415">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DA523">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A0D7F">
    <w:pPr>
      <w:pStyle w:val="12"/>
      <w:tabs>
        <w:tab w:val="clear" w:pos="4153"/>
      </w:tabs>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7495644"/>
      <w:docPartObj>
        <w:docPartGallery w:val="autotext"/>
      </w:docPartObj>
    </w:sdtPr>
    <w:sdtEndPr>
      <w:rPr>
        <w:b/>
        <w:bCs/>
        <w:sz w:val="21"/>
        <w:szCs w:val="21"/>
      </w:rPr>
    </w:sdtEndPr>
    <w:sdtContent>
      <w:p w14:paraId="6F129E11">
        <w:pPr>
          <w:pStyle w:val="12"/>
          <w:ind w:firstLine="360"/>
          <w:jc w:val="center"/>
          <w:rPr>
            <w:b/>
            <w:bCs/>
            <w:sz w:val="21"/>
            <w:szCs w:val="21"/>
          </w:rPr>
        </w:pPr>
        <w:r>
          <w:rPr>
            <w:sz w:val="22"/>
            <w:szCs w:val="22"/>
          </w:rPr>
          <w:fldChar w:fldCharType="begin"/>
        </w:r>
        <w:r>
          <w:rPr>
            <w:sz w:val="22"/>
            <w:szCs w:val="22"/>
          </w:rPr>
          <w:instrText xml:space="preserve">PAGE   \* MERGEFORMAT</w:instrText>
        </w:r>
        <w:r>
          <w:rPr>
            <w:sz w:val="22"/>
            <w:szCs w:val="22"/>
          </w:rPr>
          <w:fldChar w:fldCharType="separate"/>
        </w:r>
        <w:r>
          <w:rPr>
            <w:sz w:val="22"/>
            <w:szCs w:val="22"/>
            <w:lang w:val="zh-CN"/>
          </w:rPr>
          <w:t>2</w:t>
        </w:r>
        <w:r>
          <w:rPr>
            <w:sz w:val="22"/>
            <w:szCs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4616905"/>
      <w:docPartObj>
        <w:docPartGallery w:val="autotext"/>
      </w:docPartObj>
    </w:sdtPr>
    <w:sdtContent>
      <w:p w14:paraId="28AC0F6D">
        <w:pPr>
          <w:pStyle w:val="12"/>
          <w:ind w:firstLine="360"/>
          <w:jc w:val="center"/>
        </w:pPr>
        <w:r>
          <w:fldChar w:fldCharType="begin"/>
        </w:r>
        <w:r>
          <w:instrText xml:space="preserve">PAGE   \* MERGEFORMAT</w:instrText>
        </w:r>
        <w:r>
          <w:fldChar w:fldCharType="separate"/>
        </w:r>
        <w:r>
          <w:rPr>
            <w:lang w:val="zh-CN"/>
          </w:rPr>
          <w:t>60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560"/>
      </w:pPr>
      <w:r>
        <w:separator/>
      </w:r>
    </w:p>
  </w:footnote>
  <w:footnote w:type="continuationSeparator" w:id="1">
    <w:p>
      <w:pPr>
        <w:spacing w:before="0" w:after="0"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A5A0A">
    <w:pPr>
      <w:pStyle w:val="13"/>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26CBE">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B26EE">
    <w:pPr>
      <w:pStyle w:val="13"/>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1MDdiOWVmOWQ2NjNkNTVkMTY3MTdlZWRiM2JiNWMifQ=="/>
  </w:docVars>
  <w:rsids>
    <w:rsidRoot w:val="009D6A7D"/>
    <w:rsid w:val="000006D8"/>
    <w:rsid w:val="00001254"/>
    <w:rsid w:val="00002060"/>
    <w:rsid w:val="00002345"/>
    <w:rsid w:val="00003240"/>
    <w:rsid w:val="000047A6"/>
    <w:rsid w:val="00005083"/>
    <w:rsid w:val="00005151"/>
    <w:rsid w:val="00005C4D"/>
    <w:rsid w:val="00006276"/>
    <w:rsid w:val="00006D27"/>
    <w:rsid w:val="00007804"/>
    <w:rsid w:val="00010111"/>
    <w:rsid w:val="00010271"/>
    <w:rsid w:val="000102A6"/>
    <w:rsid w:val="000105DA"/>
    <w:rsid w:val="000113FD"/>
    <w:rsid w:val="000132FF"/>
    <w:rsid w:val="000136D5"/>
    <w:rsid w:val="000137C9"/>
    <w:rsid w:val="00014EDB"/>
    <w:rsid w:val="0001555A"/>
    <w:rsid w:val="00016341"/>
    <w:rsid w:val="00017AEC"/>
    <w:rsid w:val="000216A4"/>
    <w:rsid w:val="000216BF"/>
    <w:rsid w:val="000241C8"/>
    <w:rsid w:val="00025FA2"/>
    <w:rsid w:val="00026034"/>
    <w:rsid w:val="00026746"/>
    <w:rsid w:val="00027A1E"/>
    <w:rsid w:val="00027A6E"/>
    <w:rsid w:val="00027ECA"/>
    <w:rsid w:val="00031510"/>
    <w:rsid w:val="00031D6A"/>
    <w:rsid w:val="000360B7"/>
    <w:rsid w:val="0003663E"/>
    <w:rsid w:val="00037C57"/>
    <w:rsid w:val="000407A3"/>
    <w:rsid w:val="000417E1"/>
    <w:rsid w:val="00042E39"/>
    <w:rsid w:val="000443B7"/>
    <w:rsid w:val="00044AFD"/>
    <w:rsid w:val="000463BD"/>
    <w:rsid w:val="000463D7"/>
    <w:rsid w:val="00046AC9"/>
    <w:rsid w:val="000502E3"/>
    <w:rsid w:val="00050466"/>
    <w:rsid w:val="000505D7"/>
    <w:rsid w:val="000521A2"/>
    <w:rsid w:val="000521B1"/>
    <w:rsid w:val="00053AAC"/>
    <w:rsid w:val="00054311"/>
    <w:rsid w:val="00055EB1"/>
    <w:rsid w:val="000603BB"/>
    <w:rsid w:val="00060C93"/>
    <w:rsid w:val="000626D0"/>
    <w:rsid w:val="00063344"/>
    <w:rsid w:val="000633E2"/>
    <w:rsid w:val="0006344A"/>
    <w:rsid w:val="000639BC"/>
    <w:rsid w:val="0006647A"/>
    <w:rsid w:val="000665B6"/>
    <w:rsid w:val="0006699F"/>
    <w:rsid w:val="000670D7"/>
    <w:rsid w:val="000677B7"/>
    <w:rsid w:val="00067829"/>
    <w:rsid w:val="000715B1"/>
    <w:rsid w:val="00073348"/>
    <w:rsid w:val="000749AA"/>
    <w:rsid w:val="00076B4D"/>
    <w:rsid w:val="00076C0C"/>
    <w:rsid w:val="000771E7"/>
    <w:rsid w:val="00077748"/>
    <w:rsid w:val="00080218"/>
    <w:rsid w:val="000805D8"/>
    <w:rsid w:val="000808B3"/>
    <w:rsid w:val="00081474"/>
    <w:rsid w:val="000819C3"/>
    <w:rsid w:val="00082545"/>
    <w:rsid w:val="000846DF"/>
    <w:rsid w:val="000857EF"/>
    <w:rsid w:val="00085C33"/>
    <w:rsid w:val="00087B97"/>
    <w:rsid w:val="0009236C"/>
    <w:rsid w:val="000925BB"/>
    <w:rsid w:val="000938A9"/>
    <w:rsid w:val="000940FC"/>
    <w:rsid w:val="000943B9"/>
    <w:rsid w:val="00097157"/>
    <w:rsid w:val="000A2C5B"/>
    <w:rsid w:val="000A3256"/>
    <w:rsid w:val="000A508F"/>
    <w:rsid w:val="000A51BC"/>
    <w:rsid w:val="000A5524"/>
    <w:rsid w:val="000B1B0E"/>
    <w:rsid w:val="000B2186"/>
    <w:rsid w:val="000B2B1D"/>
    <w:rsid w:val="000B5C9E"/>
    <w:rsid w:val="000C08EA"/>
    <w:rsid w:val="000C0C63"/>
    <w:rsid w:val="000C21EF"/>
    <w:rsid w:val="000C6784"/>
    <w:rsid w:val="000D054A"/>
    <w:rsid w:val="000D0CB9"/>
    <w:rsid w:val="000D1077"/>
    <w:rsid w:val="000D1B78"/>
    <w:rsid w:val="000D21CE"/>
    <w:rsid w:val="000D2289"/>
    <w:rsid w:val="000D30FC"/>
    <w:rsid w:val="000D351B"/>
    <w:rsid w:val="000D6593"/>
    <w:rsid w:val="000E06D5"/>
    <w:rsid w:val="000E2DF3"/>
    <w:rsid w:val="000E30B1"/>
    <w:rsid w:val="000E35F6"/>
    <w:rsid w:val="000E3D82"/>
    <w:rsid w:val="000F2391"/>
    <w:rsid w:val="000F3248"/>
    <w:rsid w:val="000F366C"/>
    <w:rsid w:val="000F3FF6"/>
    <w:rsid w:val="000F4E86"/>
    <w:rsid w:val="000F59FE"/>
    <w:rsid w:val="000F5ACE"/>
    <w:rsid w:val="000F652E"/>
    <w:rsid w:val="00100D9C"/>
    <w:rsid w:val="00101360"/>
    <w:rsid w:val="001015C5"/>
    <w:rsid w:val="00101E78"/>
    <w:rsid w:val="0010244B"/>
    <w:rsid w:val="001038CB"/>
    <w:rsid w:val="0010475E"/>
    <w:rsid w:val="00106CA6"/>
    <w:rsid w:val="001079CC"/>
    <w:rsid w:val="00110122"/>
    <w:rsid w:val="00112A3C"/>
    <w:rsid w:val="00112AC6"/>
    <w:rsid w:val="00113076"/>
    <w:rsid w:val="0012075A"/>
    <w:rsid w:val="00120836"/>
    <w:rsid w:val="001209C6"/>
    <w:rsid w:val="00120B94"/>
    <w:rsid w:val="001212C7"/>
    <w:rsid w:val="001261C9"/>
    <w:rsid w:val="00132815"/>
    <w:rsid w:val="001333F2"/>
    <w:rsid w:val="00135684"/>
    <w:rsid w:val="00136733"/>
    <w:rsid w:val="0013715B"/>
    <w:rsid w:val="00140064"/>
    <w:rsid w:val="00141D94"/>
    <w:rsid w:val="00143300"/>
    <w:rsid w:val="00145674"/>
    <w:rsid w:val="0014704E"/>
    <w:rsid w:val="001503CC"/>
    <w:rsid w:val="0015211D"/>
    <w:rsid w:val="001540A1"/>
    <w:rsid w:val="00154A09"/>
    <w:rsid w:val="00155675"/>
    <w:rsid w:val="00156B3F"/>
    <w:rsid w:val="00157F06"/>
    <w:rsid w:val="001605F5"/>
    <w:rsid w:val="00160BE3"/>
    <w:rsid w:val="00161513"/>
    <w:rsid w:val="00164758"/>
    <w:rsid w:val="0016556B"/>
    <w:rsid w:val="00167101"/>
    <w:rsid w:val="00167D54"/>
    <w:rsid w:val="00170B1B"/>
    <w:rsid w:val="001716E1"/>
    <w:rsid w:val="00172948"/>
    <w:rsid w:val="00174146"/>
    <w:rsid w:val="0017421A"/>
    <w:rsid w:val="00174BEA"/>
    <w:rsid w:val="0017676E"/>
    <w:rsid w:val="00176E7B"/>
    <w:rsid w:val="00177D91"/>
    <w:rsid w:val="00181CF2"/>
    <w:rsid w:val="001820B0"/>
    <w:rsid w:val="00182BCF"/>
    <w:rsid w:val="001878E0"/>
    <w:rsid w:val="00187965"/>
    <w:rsid w:val="00191DB2"/>
    <w:rsid w:val="00192948"/>
    <w:rsid w:val="001934F0"/>
    <w:rsid w:val="00193D3E"/>
    <w:rsid w:val="00195E8D"/>
    <w:rsid w:val="001976E8"/>
    <w:rsid w:val="001A171A"/>
    <w:rsid w:val="001A2F85"/>
    <w:rsid w:val="001A3457"/>
    <w:rsid w:val="001A3DD7"/>
    <w:rsid w:val="001A680D"/>
    <w:rsid w:val="001A6D19"/>
    <w:rsid w:val="001A77F1"/>
    <w:rsid w:val="001B1F5D"/>
    <w:rsid w:val="001B2A1D"/>
    <w:rsid w:val="001B409E"/>
    <w:rsid w:val="001B4524"/>
    <w:rsid w:val="001B4A68"/>
    <w:rsid w:val="001B7C35"/>
    <w:rsid w:val="001C0C27"/>
    <w:rsid w:val="001C17D3"/>
    <w:rsid w:val="001C1826"/>
    <w:rsid w:val="001C4E32"/>
    <w:rsid w:val="001C72CD"/>
    <w:rsid w:val="001C740F"/>
    <w:rsid w:val="001D0288"/>
    <w:rsid w:val="001D0C78"/>
    <w:rsid w:val="001D18F9"/>
    <w:rsid w:val="001D3E47"/>
    <w:rsid w:val="001D47F6"/>
    <w:rsid w:val="001D56E3"/>
    <w:rsid w:val="001D5E6E"/>
    <w:rsid w:val="001D5F9E"/>
    <w:rsid w:val="001D664E"/>
    <w:rsid w:val="001D67BC"/>
    <w:rsid w:val="001D6914"/>
    <w:rsid w:val="001E1CDD"/>
    <w:rsid w:val="001E2E2B"/>
    <w:rsid w:val="001E3FC0"/>
    <w:rsid w:val="001E4369"/>
    <w:rsid w:val="001E4EE4"/>
    <w:rsid w:val="001E6C5D"/>
    <w:rsid w:val="001E7146"/>
    <w:rsid w:val="001E7BD7"/>
    <w:rsid w:val="001F0588"/>
    <w:rsid w:val="001F08E8"/>
    <w:rsid w:val="001F0BF8"/>
    <w:rsid w:val="001F0FD0"/>
    <w:rsid w:val="001F40CC"/>
    <w:rsid w:val="001F41B8"/>
    <w:rsid w:val="001F5153"/>
    <w:rsid w:val="001F63A8"/>
    <w:rsid w:val="002009A8"/>
    <w:rsid w:val="00202B84"/>
    <w:rsid w:val="00203EC2"/>
    <w:rsid w:val="0020520C"/>
    <w:rsid w:val="00207515"/>
    <w:rsid w:val="00207AF3"/>
    <w:rsid w:val="00207F4B"/>
    <w:rsid w:val="00210ABD"/>
    <w:rsid w:val="002116FC"/>
    <w:rsid w:val="00211B80"/>
    <w:rsid w:val="00212005"/>
    <w:rsid w:val="00212768"/>
    <w:rsid w:val="002127B7"/>
    <w:rsid w:val="00213184"/>
    <w:rsid w:val="00213E97"/>
    <w:rsid w:val="002159A9"/>
    <w:rsid w:val="00215C8F"/>
    <w:rsid w:val="00221EC2"/>
    <w:rsid w:val="0022296A"/>
    <w:rsid w:val="0022312D"/>
    <w:rsid w:val="00223214"/>
    <w:rsid w:val="0022412F"/>
    <w:rsid w:val="00225A4E"/>
    <w:rsid w:val="00226035"/>
    <w:rsid w:val="00232B75"/>
    <w:rsid w:val="00232E2D"/>
    <w:rsid w:val="002358F2"/>
    <w:rsid w:val="00235EC7"/>
    <w:rsid w:val="0023738E"/>
    <w:rsid w:val="0023791C"/>
    <w:rsid w:val="00241E19"/>
    <w:rsid w:val="00243BC7"/>
    <w:rsid w:val="0024478E"/>
    <w:rsid w:val="0024496D"/>
    <w:rsid w:val="00245FDF"/>
    <w:rsid w:val="00247BFD"/>
    <w:rsid w:val="002503AE"/>
    <w:rsid w:val="00250B16"/>
    <w:rsid w:val="00254B9C"/>
    <w:rsid w:val="00256725"/>
    <w:rsid w:val="00256873"/>
    <w:rsid w:val="00257FBE"/>
    <w:rsid w:val="00262BDD"/>
    <w:rsid w:val="00266398"/>
    <w:rsid w:val="0026773F"/>
    <w:rsid w:val="002705DE"/>
    <w:rsid w:val="00272EF8"/>
    <w:rsid w:val="00273129"/>
    <w:rsid w:val="0027511C"/>
    <w:rsid w:val="00275355"/>
    <w:rsid w:val="00276BF4"/>
    <w:rsid w:val="00276E3B"/>
    <w:rsid w:val="002804AB"/>
    <w:rsid w:val="002806F3"/>
    <w:rsid w:val="00282158"/>
    <w:rsid w:val="00284268"/>
    <w:rsid w:val="002879DC"/>
    <w:rsid w:val="00290407"/>
    <w:rsid w:val="00292653"/>
    <w:rsid w:val="00293C50"/>
    <w:rsid w:val="00295719"/>
    <w:rsid w:val="00296267"/>
    <w:rsid w:val="0029785B"/>
    <w:rsid w:val="002A092C"/>
    <w:rsid w:val="002A10F3"/>
    <w:rsid w:val="002A1B33"/>
    <w:rsid w:val="002A25CF"/>
    <w:rsid w:val="002A3060"/>
    <w:rsid w:val="002A3757"/>
    <w:rsid w:val="002A5668"/>
    <w:rsid w:val="002A5717"/>
    <w:rsid w:val="002B14D6"/>
    <w:rsid w:val="002B17F4"/>
    <w:rsid w:val="002B1E2C"/>
    <w:rsid w:val="002C1C47"/>
    <w:rsid w:val="002C27AB"/>
    <w:rsid w:val="002C61E3"/>
    <w:rsid w:val="002C768B"/>
    <w:rsid w:val="002D04CB"/>
    <w:rsid w:val="002D7016"/>
    <w:rsid w:val="002E2145"/>
    <w:rsid w:val="002E24A6"/>
    <w:rsid w:val="002E40D7"/>
    <w:rsid w:val="002E449B"/>
    <w:rsid w:val="002E4529"/>
    <w:rsid w:val="002E6B72"/>
    <w:rsid w:val="002F0DB9"/>
    <w:rsid w:val="002F1450"/>
    <w:rsid w:val="002F190A"/>
    <w:rsid w:val="002F2D82"/>
    <w:rsid w:val="002F302D"/>
    <w:rsid w:val="002F6CB0"/>
    <w:rsid w:val="002F719C"/>
    <w:rsid w:val="00300089"/>
    <w:rsid w:val="003000E0"/>
    <w:rsid w:val="003001B3"/>
    <w:rsid w:val="003003B7"/>
    <w:rsid w:val="00300A38"/>
    <w:rsid w:val="003041DB"/>
    <w:rsid w:val="00305591"/>
    <w:rsid w:val="00307019"/>
    <w:rsid w:val="00310B07"/>
    <w:rsid w:val="00312621"/>
    <w:rsid w:val="00314673"/>
    <w:rsid w:val="00316AA9"/>
    <w:rsid w:val="003206E4"/>
    <w:rsid w:val="003227EC"/>
    <w:rsid w:val="00322AE5"/>
    <w:rsid w:val="00323515"/>
    <w:rsid w:val="003241A9"/>
    <w:rsid w:val="003250BC"/>
    <w:rsid w:val="00327DBF"/>
    <w:rsid w:val="00331F41"/>
    <w:rsid w:val="003327F6"/>
    <w:rsid w:val="00333392"/>
    <w:rsid w:val="003335F1"/>
    <w:rsid w:val="00333640"/>
    <w:rsid w:val="003337BA"/>
    <w:rsid w:val="00335ADD"/>
    <w:rsid w:val="00335EB6"/>
    <w:rsid w:val="003360D3"/>
    <w:rsid w:val="00340253"/>
    <w:rsid w:val="003433B0"/>
    <w:rsid w:val="00344326"/>
    <w:rsid w:val="00344940"/>
    <w:rsid w:val="00347CB4"/>
    <w:rsid w:val="00350069"/>
    <w:rsid w:val="00350A28"/>
    <w:rsid w:val="00350A7F"/>
    <w:rsid w:val="00351F0C"/>
    <w:rsid w:val="00352D64"/>
    <w:rsid w:val="00353D6A"/>
    <w:rsid w:val="00353E46"/>
    <w:rsid w:val="00355025"/>
    <w:rsid w:val="003560E2"/>
    <w:rsid w:val="00356A12"/>
    <w:rsid w:val="00356EDD"/>
    <w:rsid w:val="0035730D"/>
    <w:rsid w:val="00357FEB"/>
    <w:rsid w:val="00361451"/>
    <w:rsid w:val="0036165D"/>
    <w:rsid w:val="00362D8B"/>
    <w:rsid w:val="00364127"/>
    <w:rsid w:val="0036771A"/>
    <w:rsid w:val="0037006F"/>
    <w:rsid w:val="003701E5"/>
    <w:rsid w:val="00371031"/>
    <w:rsid w:val="00371212"/>
    <w:rsid w:val="00371FAC"/>
    <w:rsid w:val="00372F57"/>
    <w:rsid w:val="00374708"/>
    <w:rsid w:val="003753D9"/>
    <w:rsid w:val="00375565"/>
    <w:rsid w:val="00376CD5"/>
    <w:rsid w:val="00377181"/>
    <w:rsid w:val="00380163"/>
    <w:rsid w:val="00380BDA"/>
    <w:rsid w:val="00380F22"/>
    <w:rsid w:val="003812A2"/>
    <w:rsid w:val="0038210B"/>
    <w:rsid w:val="003836EF"/>
    <w:rsid w:val="00383E13"/>
    <w:rsid w:val="00386241"/>
    <w:rsid w:val="003867CE"/>
    <w:rsid w:val="00387E53"/>
    <w:rsid w:val="00392AC3"/>
    <w:rsid w:val="00393982"/>
    <w:rsid w:val="00394146"/>
    <w:rsid w:val="00394F5A"/>
    <w:rsid w:val="00397B3C"/>
    <w:rsid w:val="00397E3E"/>
    <w:rsid w:val="003A0838"/>
    <w:rsid w:val="003A0D9E"/>
    <w:rsid w:val="003A0F08"/>
    <w:rsid w:val="003A1B89"/>
    <w:rsid w:val="003A2795"/>
    <w:rsid w:val="003A306D"/>
    <w:rsid w:val="003A5FB6"/>
    <w:rsid w:val="003A64E7"/>
    <w:rsid w:val="003B001A"/>
    <w:rsid w:val="003B1381"/>
    <w:rsid w:val="003B38E6"/>
    <w:rsid w:val="003B5882"/>
    <w:rsid w:val="003B5D72"/>
    <w:rsid w:val="003B5FD3"/>
    <w:rsid w:val="003C0075"/>
    <w:rsid w:val="003C14EB"/>
    <w:rsid w:val="003C1CB9"/>
    <w:rsid w:val="003C2AB9"/>
    <w:rsid w:val="003C3B29"/>
    <w:rsid w:val="003C5999"/>
    <w:rsid w:val="003C5C26"/>
    <w:rsid w:val="003C5FCF"/>
    <w:rsid w:val="003C6FC9"/>
    <w:rsid w:val="003C7713"/>
    <w:rsid w:val="003C7E46"/>
    <w:rsid w:val="003D2980"/>
    <w:rsid w:val="003D327F"/>
    <w:rsid w:val="003D3939"/>
    <w:rsid w:val="003D448A"/>
    <w:rsid w:val="003D4544"/>
    <w:rsid w:val="003D5671"/>
    <w:rsid w:val="003E16EB"/>
    <w:rsid w:val="003E17C0"/>
    <w:rsid w:val="003E1E2D"/>
    <w:rsid w:val="003E7EB2"/>
    <w:rsid w:val="003E7FB6"/>
    <w:rsid w:val="003F018D"/>
    <w:rsid w:val="003F024A"/>
    <w:rsid w:val="003F2B20"/>
    <w:rsid w:val="003F53E7"/>
    <w:rsid w:val="003F60BC"/>
    <w:rsid w:val="003F61CB"/>
    <w:rsid w:val="003F6BD7"/>
    <w:rsid w:val="004017B5"/>
    <w:rsid w:val="00404F86"/>
    <w:rsid w:val="0040527D"/>
    <w:rsid w:val="0040592B"/>
    <w:rsid w:val="0040620D"/>
    <w:rsid w:val="00410FE0"/>
    <w:rsid w:val="00413CD2"/>
    <w:rsid w:val="00413DAA"/>
    <w:rsid w:val="0041458C"/>
    <w:rsid w:val="004150D6"/>
    <w:rsid w:val="00416F50"/>
    <w:rsid w:val="00417747"/>
    <w:rsid w:val="004177AB"/>
    <w:rsid w:val="00420526"/>
    <w:rsid w:val="00423BBE"/>
    <w:rsid w:val="00424352"/>
    <w:rsid w:val="004246CD"/>
    <w:rsid w:val="00424802"/>
    <w:rsid w:val="004250A6"/>
    <w:rsid w:val="00425CF8"/>
    <w:rsid w:val="004260A3"/>
    <w:rsid w:val="00430CEB"/>
    <w:rsid w:val="004317F2"/>
    <w:rsid w:val="00431F5A"/>
    <w:rsid w:val="00435A1A"/>
    <w:rsid w:val="0043716C"/>
    <w:rsid w:val="00437D65"/>
    <w:rsid w:val="00437ECA"/>
    <w:rsid w:val="00441710"/>
    <w:rsid w:val="00443939"/>
    <w:rsid w:val="00443B68"/>
    <w:rsid w:val="00443C4C"/>
    <w:rsid w:val="004444C6"/>
    <w:rsid w:val="00444700"/>
    <w:rsid w:val="00444D2E"/>
    <w:rsid w:val="0044637B"/>
    <w:rsid w:val="00446F9D"/>
    <w:rsid w:val="00450C57"/>
    <w:rsid w:val="00454058"/>
    <w:rsid w:val="0045588E"/>
    <w:rsid w:val="00456325"/>
    <w:rsid w:val="00456557"/>
    <w:rsid w:val="00456C6B"/>
    <w:rsid w:val="004622CC"/>
    <w:rsid w:val="00463E9D"/>
    <w:rsid w:val="004648A2"/>
    <w:rsid w:val="00464CBF"/>
    <w:rsid w:val="00464D0D"/>
    <w:rsid w:val="0046566E"/>
    <w:rsid w:val="00465B57"/>
    <w:rsid w:val="0046747B"/>
    <w:rsid w:val="00467D91"/>
    <w:rsid w:val="00470BC4"/>
    <w:rsid w:val="004742AD"/>
    <w:rsid w:val="00474458"/>
    <w:rsid w:val="0047585C"/>
    <w:rsid w:val="0047788F"/>
    <w:rsid w:val="00477FEB"/>
    <w:rsid w:val="00480C43"/>
    <w:rsid w:val="00482009"/>
    <w:rsid w:val="00482296"/>
    <w:rsid w:val="004847F1"/>
    <w:rsid w:val="0048698B"/>
    <w:rsid w:val="00487B31"/>
    <w:rsid w:val="00491037"/>
    <w:rsid w:val="004915FF"/>
    <w:rsid w:val="00491A88"/>
    <w:rsid w:val="00492387"/>
    <w:rsid w:val="00492C67"/>
    <w:rsid w:val="00492D45"/>
    <w:rsid w:val="00493820"/>
    <w:rsid w:val="004949A4"/>
    <w:rsid w:val="00495001"/>
    <w:rsid w:val="00495353"/>
    <w:rsid w:val="0049561E"/>
    <w:rsid w:val="00496AC9"/>
    <w:rsid w:val="00497459"/>
    <w:rsid w:val="004A053C"/>
    <w:rsid w:val="004A3161"/>
    <w:rsid w:val="004A32DC"/>
    <w:rsid w:val="004A4B42"/>
    <w:rsid w:val="004A5E4A"/>
    <w:rsid w:val="004A6058"/>
    <w:rsid w:val="004A6FB6"/>
    <w:rsid w:val="004B0468"/>
    <w:rsid w:val="004B2A29"/>
    <w:rsid w:val="004B3C1C"/>
    <w:rsid w:val="004B3D1F"/>
    <w:rsid w:val="004B3D5B"/>
    <w:rsid w:val="004B4A43"/>
    <w:rsid w:val="004B5EC2"/>
    <w:rsid w:val="004B6C78"/>
    <w:rsid w:val="004C0BB7"/>
    <w:rsid w:val="004C1CD0"/>
    <w:rsid w:val="004C1E6B"/>
    <w:rsid w:val="004C20C0"/>
    <w:rsid w:val="004C2700"/>
    <w:rsid w:val="004C4985"/>
    <w:rsid w:val="004C4BD2"/>
    <w:rsid w:val="004C56A3"/>
    <w:rsid w:val="004C6857"/>
    <w:rsid w:val="004C6A52"/>
    <w:rsid w:val="004D4903"/>
    <w:rsid w:val="004D49B0"/>
    <w:rsid w:val="004D53AD"/>
    <w:rsid w:val="004D55B8"/>
    <w:rsid w:val="004D5BE0"/>
    <w:rsid w:val="004D7CED"/>
    <w:rsid w:val="004E04B3"/>
    <w:rsid w:val="004E08FC"/>
    <w:rsid w:val="004E644C"/>
    <w:rsid w:val="004F00D4"/>
    <w:rsid w:val="004F0696"/>
    <w:rsid w:val="004F1104"/>
    <w:rsid w:val="004F17C0"/>
    <w:rsid w:val="004F67A8"/>
    <w:rsid w:val="004F68E0"/>
    <w:rsid w:val="004F6FDE"/>
    <w:rsid w:val="004F767E"/>
    <w:rsid w:val="00500D3D"/>
    <w:rsid w:val="00502120"/>
    <w:rsid w:val="005031A6"/>
    <w:rsid w:val="005040E8"/>
    <w:rsid w:val="00505A12"/>
    <w:rsid w:val="00506B45"/>
    <w:rsid w:val="00506CAB"/>
    <w:rsid w:val="00510047"/>
    <w:rsid w:val="00510628"/>
    <w:rsid w:val="00512490"/>
    <w:rsid w:val="00513895"/>
    <w:rsid w:val="005147B5"/>
    <w:rsid w:val="00514819"/>
    <w:rsid w:val="00515A9A"/>
    <w:rsid w:val="00516016"/>
    <w:rsid w:val="00516B78"/>
    <w:rsid w:val="00517BE6"/>
    <w:rsid w:val="00520735"/>
    <w:rsid w:val="005211DC"/>
    <w:rsid w:val="005217DE"/>
    <w:rsid w:val="00521BC6"/>
    <w:rsid w:val="005277B3"/>
    <w:rsid w:val="005301A4"/>
    <w:rsid w:val="00530B47"/>
    <w:rsid w:val="00531887"/>
    <w:rsid w:val="00533B88"/>
    <w:rsid w:val="00534B05"/>
    <w:rsid w:val="00536255"/>
    <w:rsid w:val="00536EA9"/>
    <w:rsid w:val="00537C8B"/>
    <w:rsid w:val="005401EB"/>
    <w:rsid w:val="0054079B"/>
    <w:rsid w:val="00541809"/>
    <w:rsid w:val="005423C8"/>
    <w:rsid w:val="00542DF9"/>
    <w:rsid w:val="005430C7"/>
    <w:rsid w:val="00546E38"/>
    <w:rsid w:val="00551BFD"/>
    <w:rsid w:val="00552CA0"/>
    <w:rsid w:val="005532C6"/>
    <w:rsid w:val="0055384B"/>
    <w:rsid w:val="00553ADA"/>
    <w:rsid w:val="0055591C"/>
    <w:rsid w:val="005561C0"/>
    <w:rsid w:val="005565E0"/>
    <w:rsid w:val="00557D83"/>
    <w:rsid w:val="00562826"/>
    <w:rsid w:val="00563648"/>
    <w:rsid w:val="00563923"/>
    <w:rsid w:val="00563A5A"/>
    <w:rsid w:val="00565C45"/>
    <w:rsid w:val="005662B9"/>
    <w:rsid w:val="005713F5"/>
    <w:rsid w:val="005724BE"/>
    <w:rsid w:val="00574018"/>
    <w:rsid w:val="005740B4"/>
    <w:rsid w:val="00574B4C"/>
    <w:rsid w:val="00576EB6"/>
    <w:rsid w:val="00576FEC"/>
    <w:rsid w:val="00580286"/>
    <w:rsid w:val="00580CD2"/>
    <w:rsid w:val="0058276D"/>
    <w:rsid w:val="00582ED6"/>
    <w:rsid w:val="00583936"/>
    <w:rsid w:val="00583F86"/>
    <w:rsid w:val="005847D8"/>
    <w:rsid w:val="00585D35"/>
    <w:rsid w:val="0059111C"/>
    <w:rsid w:val="005925F1"/>
    <w:rsid w:val="00593853"/>
    <w:rsid w:val="00594C09"/>
    <w:rsid w:val="00597443"/>
    <w:rsid w:val="005A04C2"/>
    <w:rsid w:val="005A23AC"/>
    <w:rsid w:val="005A57F6"/>
    <w:rsid w:val="005A66DD"/>
    <w:rsid w:val="005B0218"/>
    <w:rsid w:val="005B2973"/>
    <w:rsid w:val="005B437B"/>
    <w:rsid w:val="005B469B"/>
    <w:rsid w:val="005B61EF"/>
    <w:rsid w:val="005B62B5"/>
    <w:rsid w:val="005B634C"/>
    <w:rsid w:val="005B6634"/>
    <w:rsid w:val="005B6759"/>
    <w:rsid w:val="005B6A84"/>
    <w:rsid w:val="005C10C4"/>
    <w:rsid w:val="005C2524"/>
    <w:rsid w:val="005C26AA"/>
    <w:rsid w:val="005C2E01"/>
    <w:rsid w:val="005C41C7"/>
    <w:rsid w:val="005C4D8E"/>
    <w:rsid w:val="005C6554"/>
    <w:rsid w:val="005C6653"/>
    <w:rsid w:val="005D0694"/>
    <w:rsid w:val="005D07BD"/>
    <w:rsid w:val="005D1BE1"/>
    <w:rsid w:val="005D4B18"/>
    <w:rsid w:val="005D5035"/>
    <w:rsid w:val="005D5DC7"/>
    <w:rsid w:val="005D5FCA"/>
    <w:rsid w:val="005E065C"/>
    <w:rsid w:val="005E0EA7"/>
    <w:rsid w:val="005E4551"/>
    <w:rsid w:val="005E53C0"/>
    <w:rsid w:val="005E5A27"/>
    <w:rsid w:val="005E6D22"/>
    <w:rsid w:val="005E7376"/>
    <w:rsid w:val="005E7F94"/>
    <w:rsid w:val="005F00D6"/>
    <w:rsid w:val="005F25E5"/>
    <w:rsid w:val="005F4FB8"/>
    <w:rsid w:val="005F5502"/>
    <w:rsid w:val="005F5BBA"/>
    <w:rsid w:val="00600DA8"/>
    <w:rsid w:val="00601AA2"/>
    <w:rsid w:val="00602639"/>
    <w:rsid w:val="006028D4"/>
    <w:rsid w:val="00603414"/>
    <w:rsid w:val="00603F75"/>
    <w:rsid w:val="006047F7"/>
    <w:rsid w:val="00605210"/>
    <w:rsid w:val="0060553D"/>
    <w:rsid w:val="00611698"/>
    <w:rsid w:val="0061198C"/>
    <w:rsid w:val="00612CD2"/>
    <w:rsid w:val="006142F3"/>
    <w:rsid w:val="00616A28"/>
    <w:rsid w:val="0062571B"/>
    <w:rsid w:val="00627E9A"/>
    <w:rsid w:val="006305C7"/>
    <w:rsid w:val="00631B91"/>
    <w:rsid w:val="00633088"/>
    <w:rsid w:val="00634CBD"/>
    <w:rsid w:val="00635C8B"/>
    <w:rsid w:val="006364EC"/>
    <w:rsid w:val="00636DE8"/>
    <w:rsid w:val="00636ECB"/>
    <w:rsid w:val="00642D13"/>
    <w:rsid w:val="00642E22"/>
    <w:rsid w:val="00643506"/>
    <w:rsid w:val="00646592"/>
    <w:rsid w:val="00647130"/>
    <w:rsid w:val="006474D3"/>
    <w:rsid w:val="00647E8E"/>
    <w:rsid w:val="0065393E"/>
    <w:rsid w:val="00655D8A"/>
    <w:rsid w:val="00656ED7"/>
    <w:rsid w:val="0065720D"/>
    <w:rsid w:val="00660FEF"/>
    <w:rsid w:val="00662525"/>
    <w:rsid w:val="00662F46"/>
    <w:rsid w:val="00663834"/>
    <w:rsid w:val="00663F12"/>
    <w:rsid w:val="00664A28"/>
    <w:rsid w:val="00664F20"/>
    <w:rsid w:val="006653A6"/>
    <w:rsid w:val="00665D53"/>
    <w:rsid w:val="00671026"/>
    <w:rsid w:val="0067412F"/>
    <w:rsid w:val="0067507C"/>
    <w:rsid w:val="00676870"/>
    <w:rsid w:val="0067698B"/>
    <w:rsid w:val="00677395"/>
    <w:rsid w:val="006800BB"/>
    <w:rsid w:val="006808D4"/>
    <w:rsid w:val="0068104D"/>
    <w:rsid w:val="00681C53"/>
    <w:rsid w:val="00684B48"/>
    <w:rsid w:val="00687122"/>
    <w:rsid w:val="006901AE"/>
    <w:rsid w:val="00692344"/>
    <w:rsid w:val="006936BD"/>
    <w:rsid w:val="00693BEE"/>
    <w:rsid w:val="00694823"/>
    <w:rsid w:val="0069566C"/>
    <w:rsid w:val="00695A3D"/>
    <w:rsid w:val="00696A39"/>
    <w:rsid w:val="0069767A"/>
    <w:rsid w:val="006A059E"/>
    <w:rsid w:val="006A0DB3"/>
    <w:rsid w:val="006A1CCB"/>
    <w:rsid w:val="006A2966"/>
    <w:rsid w:val="006A3804"/>
    <w:rsid w:val="006A596C"/>
    <w:rsid w:val="006A6125"/>
    <w:rsid w:val="006B06FA"/>
    <w:rsid w:val="006B2580"/>
    <w:rsid w:val="006B48B6"/>
    <w:rsid w:val="006B4FED"/>
    <w:rsid w:val="006B5185"/>
    <w:rsid w:val="006B5A19"/>
    <w:rsid w:val="006B6CF4"/>
    <w:rsid w:val="006B713C"/>
    <w:rsid w:val="006C063D"/>
    <w:rsid w:val="006C0C43"/>
    <w:rsid w:val="006C372A"/>
    <w:rsid w:val="006C3BEA"/>
    <w:rsid w:val="006C40E9"/>
    <w:rsid w:val="006C4D67"/>
    <w:rsid w:val="006C7180"/>
    <w:rsid w:val="006D0BB2"/>
    <w:rsid w:val="006D2CB9"/>
    <w:rsid w:val="006D347A"/>
    <w:rsid w:val="006D34E8"/>
    <w:rsid w:val="006D402E"/>
    <w:rsid w:val="006D43B6"/>
    <w:rsid w:val="006D53EF"/>
    <w:rsid w:val="006D73D3"/>
    <w:rsid w:val="006D79BC"/>
    <w:rsid w:val="006E0FDB"/>
    <w:rsid w:val="006E173B"/>
    <w:rsid w:val="006E3542"/>
    <w:rsid w:val="006E3B0A"/>
    <w:rsid w:val="006E4FA3"/>
    <w:rsid w:val="006E577B"/>
    <w:rsid w:val="006E6BB2"/>
    <w:rsid w:val="006E6C24"/>
    <w:rsid w:val="006E71AE"/>
    <w:rsid w:val="006E7A8C"/>
    <w:rsid w:val="006F0242"/>
    <w:rsid w:val="006F5D1C"/>
    <w:rsid w:val="006F6EB0"/>
    <w:rsid w:val="00701DEC"/>
    <w:rsid w:val="00703621"/>
    <w:rsid w:val="007038B5"/>
    <w:rsid w:val="00704706"/>
    <w:rsid w:val="00705316"/>
    <w:rsid w:val="00705652"/>
    <w:rsid w:val="007068D3"/>
    <w:rsid w:val="00706C02"/>
    <w:rsid w:val="007103BF"/>
    <w:rsid w:val="00710A7C"/>
    <w:rsid w:val="007129F2"/>
    <w:rsid w:val="00714032"/>
    <w:rsid w:val="007159E4"/>
    <w:rsid w:val="00715D48"/>
    <w:rsid w:val="007165AD"/>
    <w:rsid w:val="007176D4"/>
    <w:rsid w:val="0072099E"/>
    <w:rsid w:val="00721996"/>
    <w:rsid w:val="00724153"/>
    <w:rsid w:val="007244AD"/>
    <w:rsid w:val="00724906"/>
    <w:rsid w:val="007277B8"/>
    <w:rsid w:val="007308C6"/>
    <w:rsid w:val="00731B85"/>
    <w:rsid w:val="00735EC6"/>
    <w:rsid w:val="0073662F"/>
    <w:rsid w:val="00737503"/>
    <w:rsid w:val="00740B1C"/>
    <w:rsid w:val="00740FD9"/>
    <w:rsid w:val="00742222"/>
    <w:rsid w:val="0074227F"/>
    <w:rsid w:val="007427A7"/>
    <w:rsid w:val="00742DD9"/>
    <w:rsid w:val="00744583"/>
    <w:rsid w:val="007454E8"/>
    <w:rsid w:val="00747A08"/>
    <w:rsid w:val="00750686"/>
    <w:rsid w:val="007509A6"/>
    <w:rsid w:val="007516F0"/>
    <w:rsid w:val="00752444"/>
    <w:rsid w:val="00752B04"/>
    <w:rsid w:val="00752E09"/>
    <w:rsid w:val="00752F37"/>
    <w:rsid w:val="00752FD7"/>
    <w:rsid w:val="00754766"/>
    <w:rsid w:val="00754AD6"/>
    <w:rsid w:val="007569AD"/>
    <w:rsid w:val="00757A46"/>
    <w:rsid w:val="007602EA"/>
    <w:rsid w:val="00761E11"/>
    <w:rsid w:val="007639A4"/>
    <w:rsid w:val="00763C31"/>
    <w:rsid w:val="007646B1"/>
    <w:rsid w:val="00764EFC"/>
    <w:rsid w:val="00765088"/>
    <w:rsid w:val="00767213"/>
    <w:rsid w:val="00767D7E"/>
    <w:rsid w:val="00771B69"/>
    <w:rsid w:val="0077206C"/>
    <w:rsid w:val="00772272"/>
    <w:rsid w:val="007747CE"/>
    <w:rsid w:val="00775550"/>
    <w:rsid w:val="007771E9"/>
    <w:rsid w:val="007775FC"/>
    <w:rsid w:val="0078006A"/>
    <w:rsid w:val="007802E7"/>
    <w:rsid w:val="007803AC"/>
    <w:rsid w:val="007807AA"/>
    <w:rsid w:val="007808AE"/>
    <w:rsid w:val="007816DF"/>
    <w:rsid w:val="007822A3"/>
    <w:rsid w:val="00783CBD"/>
    <w:rsid w:val="0078647D"/>
    <w:rsid w:val="00787349"/>
    <w:rsid w:val="00791342"/>
    <w:rsid w:val="00791A34"/>
    <w:rsid w:val="00793899"/>
    <w:rsid w:val="007942EF"/>
    <w:rsid w:val="0079595C"/>
    <w:rsid w:val="00797126"/>
    <w:rsid w:val="00797556"/>
    <w:rsid w:val="007A0C3C"/>
    <w:rsid w:val="007A10BF"/>
    <w:rsid w:val="007A18E3"/>
    <w:rsid w:val="007A1DA4"/>
    <w:rsid w:val="007A2767"/>
    <w:rsid w:val="007A326C"/>
    <w:rsid w:val="007A598D"/>
    <w:rsid w:val="007B0569"/>
    <w:rsid w:val="007B0C3A"/>
    <w:rsid w:val="007B1DA6"/>
    <w:rsid w:val="007B2DC7"/>
    <w:rsid w:val="007B46AB"/>
    <w:rsid w:val="007B6D1A"/>
    <w:rsid w:val="007C1760"/>
    <w:rsid w:val="007C343E"/>
    <w:rsid w:val="007C5590"/>
    <w:rsid w:val="007C58D1"/>
    <w:rsid w:val="007D01EE"/>
    <w:rsid w:val="007D10BB"/>
    <w:rsid w:val="007D12DB"/>
    <w:rsid w:val="007D182E"/>
    <w:rsid w:val="007D2599"/>
    <w:rsid w:val="007D438A"/>
    <w:rsid w:val="007D4984"/>
    <w:rsid w:val="007D5257"/>
    <w:rsid w:val="007D61ED"/>
    <w:rsid w:val="007D6D0D"/>
    <w:rsid w:val="007D6F64"/>
    <w:rsid w:val="007D772D"/>
    <w:rsid w:val="007E1532"/>
    <w:rsid w:val="007E2757"/>
    <w:rsid w:val="007E3364"/>
    <w:rsid w:val="007E4493"/>
    <w:rsid w:val="007E4EB2"/>
    <w:rsid w:val="007E5070"/>
    <w:rsid w:val="007E56E4"/>
    <w:rsid w:val="007E662B"/>
    <w:rsid w:val="007E76A6"/>
    <w:rsid w:val="007F0553"/>
    <w:rsid w:val="007F0EFE"/>
    <w:rsid w:val="007F264C"/>
    <w:rsid w:val="007F330D"/>
    <w:rsid w:val="007F3E34"/>
    <w:rsid w:val="007F44B9"/>
    <w:rsid w:val="007F4B5D"/>
    <w:rsid w:val="00803847"/>
    <w:rsid w:val="00803ED4"/>
    <w:rsid w:val="00804904"/>
    <w:rsid w:val="008061BE"/>
    <w:rsid w:val="00806BBA"/>
    <w:rsid w:val="00807824"/>
    <w:rsid w:val="008104EB"/>
    <w:rsid w:val="00811F8D"/>
    <w:rsid w:val="00812ABE"/>
    <w:rsid w:val="008134E2"/>
    <w:rsid w:val="00813F27"/>
    <w:rsid w:val="0081438E"/>
    <w:rsid w:val="00816193"/>
    <w:rsid w:val="00816A3D"/>
    <w:rsid w:val="00816D3A"/>
    <w:rsid w:val="0081773C"/>
    <w:rsid w:val="008177DB"/>
    <w:rsid w:val="00821DA9"/>
    <w:rsid w:val="00824D30"/>
    <w:rsid w:val="008250D5"/>
    <w:rsid w:val="00825E16"/>
    <w:rsid w:val="008265F2"/>
    <w:rsid w:val="0083247C"/>
    <w:rsid w:val="008368C2"/>
    <w:rsid w:val="00836F11"/>
    <w:rsid w:val="008426B7"/>
    <w:rsid w:val="00843E30"/>
    <w:rsid w:val="00845AD9"/>
    <w:rsid w:val="00845C73"/>
    <w:rsid w:val="00847B13"/>
    <w:rsid w:val="00851182"/>
    <w:rsid w:val="00851EF8"/>
    <w:rsid w:val="00851F4D"/>
    <w:rsid w:val="0085345A"/>
    <w:rsid w:val="00854700"/>
    <w:rsid w:val="00856287"/>
    <w:rsid w:val="00861757"/>
    <w:rsid w:val="008620D9"/>
    <w:rsid w:val="008624B5"/>
    <w:rsid w:val="00862956"/>
    <w:rsid w:val="008630B9"/>
    <w:rsid w:val="00863114"/>
    <w:rsid w:val="0086314B"/>
    <w:rsid w:val="008653BA"/>
    <w:rsid w:val="0087163A"/>
    <w:rsid w:val="00871F79"/>
    <w:rsid w:val="00873E2A"/>
    <w:rsid w:val="008743D5"/>
    <w:rsid w:val="008757FD"/>
    <w:rsid w:val="008759DA"/>
    <w:rsid w:val="00875B23"/>
    <w:rsid w:val="00876A19"/>
    <w:rsid w:val="0087749F"/>
    <w:rsid w:val="00881232"/>
    <w:rsid w:val="00881394"/>
    <w:rsid w:val="00882021"/>
    <w:rsid w:val="00883FA8"/>
    <w:rsid w:val="0088467A"/>
    <w:rsid w:val="00884761"/>
    <w:rsid w:val="00884CB3"/>
    <w:rsid w:val="008855E2"/>
    <w:rsid w:val="008859BB"/>
    <w:rsid w:val="00885F1F"/>
    <w:rsid w:val="00886A4A"/>
    <w:rsid w:val="008878C3"/>
    <w:rsid w:val="00890779"/>
    <w:rsid w:val="00890808"/>
    <w:rsid w:val="00892811"/>
    <w:rsid w:val="00892D65"/>
    <w:rsid w:val="00892FD4"/>
    <w:rsid w:val="008936A6"/>
    <w:rsid w:val="0089462E"/>
    <w:rsid w:val="008961D3"/>
    <w:rsid w:val="0089710F"/>
    <w:rsid w:val="00897F39"/>
    <w:rsid w:val="008A13C9"/>
    <w:rsid w:val="008A16C3"/>
    <w:rsid w:val="008A2A6E"/>
    <w:rsid w:val="008A2B52"/>
    <w:rsid w:val="008A30AB"/>
    <w:rsid w:val="008A36E1"/>
    <w:rsid w:val="008A4171"/>
    <w:rsid w:val="008A7C34"/>
    <w:rsid w:val="008B015E"/>
    <w:rsid w:val="008B6C10"/>
    <w:rsid w:val="008B7184"/>
    <w:rsid w:val="008C0236"/>
    <w:rsid w:val="008C038E"/>
    <w:rsid w:val="008C08D9"/>
    <w:rsid w:val="008C0A35"/>
    <w:rsid w:val="008C674F"/>
    <w:rsid w:val="008C6C14"/>
    <w:rsid w:val="008C7FC6"/>
    <w:rsid w:val="008D0F18"/>
    <w:rsid w:val="008D1247"/>
    <w:rsid w:val="008D2590"/>
    <w:rsid w:val="008D45B3"/>
    <w:rsid w:val="008D4619"/>
    <w:rsid w:val="008D73B1"/>
    <w:rsid w:val="008D765C"/>
    <w:rsid w:val="008E01C8"/>
    <w:rsid w:val="008E1603"/>
    <w:rsid w:val="008E1E90"/>
    <w:rsid w:val="008E2ADA"/>
    <w:rsid w:val="008E2B88"/>
    <w:rsid w:val="008E49D8"/>
    <w:rsid w:val="008E70E5"/>
    <w:rsid w:val="008E7938"/>
    <w:rsid w:val="008F0397"/>
    <w:rsid w:val="008F12E5"/>
    <w:rsid w:val="008F223F"/>
    <w:rsid w:val="008F3FCD"/>
    <w:rsid w:val="008F4077"/>
    <w:rsid w:val="008F5904"/>
    <w:rsid w:val="008F5A0D"/>
    <w:rsid w:val="008F6634"/>
    <w:rsid w:val="008F6BA7"/>
    <w:rsid w:val="008F752C"/>
    <w:rsid w:val="008F7806"/>
    <w:rsid w:val="0090136D"/>
    <w:rsid w:val="00902B4B"/>
    <w:rsid w:val="00902B94"/>
    <w:rsid w:val="00902D14"/>
    <w:rsid w:val="0090373A"/>
    <w:rsid w:val="00904B4F"/>
    <w:rsid w:val="00910C30"/>
    <w:rsid w:val="009121D7"/>
    <w:rsid w:val="00912509"/>
    <w:rsid w:val="00912B59"/>
    <w:rsid w:val="00914F79"/>
    <w:rsid w:val="0091759F"/>
    <w:rsid w:val="009179A6"/>
    <w:rsid w:val="00920287"/>
    <w:rsid w:val="009208FB"/>
    <w:rsid w:val="00922A7D"/>
    <w:rsid w:val="00924902"/>
    <w:rsid w:val="0092794B"/>
    <w:rsid w:val="00927C79"/>
    <w:rsid w:val="00932B12"/>
    <w:rsid w:val="00933534"/>
    <w:rsid w:val="00936AD3"/>
    <w:rsid w:val="0093702C"/>
    <w:rsid w:val="0094036B"/>
    <w:rsid w:val="00940411"/>
    <w:rsid w:val="0094191C"/>
    <w:rsid w:val="00941CA5"/>
    <w:rsid w:val="00942D94"/>
    <w:rsid w:val="00942EA0"/>
    <w:rsid w:val="009452A0"/>
    <w:rsid w:val="0094644F"/>
    <w:rsid w:val="00947805"/>
    <w:rsid w:val="009505DF"/>
    <w:rsid w:val="00950BD1"/>
    <w:rsid w:val="009525E5"/>
    <w:rsid w:val="0095281D"/>
    <w:rsid w:val="00953888"/>
    <w:rsid w:val="00953A97"/>
    <w:rsid w:val="009557F3"/>
    <w:rsid w:val="00957642"/>
    <w:rsid w:val="00957C1D"/>
    <w:rsid w:val="0096041F"/>
    <w:rsid w:val="0096099E"/>
    <w:rsid w:val="00960C7A"/>
    <w:rsid w:val="00961213"/>
    <w:rsid w:val="00961DD2"/>
    <w:rsid w:val="009651AC"/>
    <w:rsid w:val="00966F5C"/>
    <w:rsid w:val="0096779E"/>
    <w:rsid w:val="0097100A"/>
    <w:rsid w:val="00971D86"/>
    <w:rsid w:val="0097215E"/>
    <w:rsid w:val="009721CE"/>
    <w:rsid w:val="00974A35"/>
    <w:rsid w:val="00974A96"/>
    <w:rsid w:val="00976E59"/>
    <w:rsid w:val="0097707D"/>
    <w:rsid w:val="00977668"/>
    <w:rsid w:val="009805AA"/>
    <w:rsid w:val="0098105E"/>
    <w:rsid w:val="00981EAC"/>
    <w:rsid w:val="009873D0"/>
    <w:rsid w:val="009904EE"/>
    <w:rsid w:val="00992120"/>
    <w:rsid w:val="009936BE"/>
    <w:rsid w:val="009969B2"/>
    <w:rsid w:val="009A1CF6"/>
    <w:rsid w:val="009A2A0D"/>
    <w:rsid w:val="009A4000"/>
    <w:rsid w:val="009A6772"/>
    <w:rsid w:val="009A7BFC"/>
    <w:rsid w:val="009B017C"/>
    <w:rsid w:val="009B0CA4"/>
    <w:rsid w:val="009B1039"/>
    <w:rsid w:val="009B1DC5"/>
    <w:rsid w:val="009B206D"/>
    <w:rsid w:val="009B22A4"/>
    <w:rsid w:val="009B253C"/>
    <w:rsid w:val="009B2E18"/>
    <w:rsid w:val="009B58A0"/>
    <w:rsid w:val="009B620B"/>
    <w:rsid w:val="009B6866"/>
    <w:rsid w:val="009B6E92"/>
    <w:rsid w:val="009B7301"/>
    <w:rsid w:val="009B7D94"/>
    <w:rsid w:val="009C00B2"/>
    <w:rsid w:val="009C1770"/>
    <w:rsid w:val="009C20B9"/>
    <w:rsid w:val="009C36D5"/>
    <w:rsid w:val="009C38BD"/>
    <w:rsid w:val="009C39AF"/>
    <w:rsid w:val="009C4019"/>
    <w:rsid w:val="009C560D"/>
    <w:rsid w:val="009C6CA8"/>
    <w:rsid w:val="009D0487"/>
    <w:rsid w:val="009D0818"/>
    <w:rsid w:val="009D1621"/>
    <w:rsid w:val="009D5B94"/>
    <w:rsid w:val="009D60B5"/>
    <w:rsid w:val="009D6A7D"/>
    <w:rsid w:val="009D6FBD"/>
    <w:rsid w:val="009E1D1E"/>
    <w:rsid w:val="009E2FDC"/>
    <w:rsid w:val="009E334B"/>
    <w:rsid w:val="009E4D41"/>
    <w:rsid w:val="009E543E"/>
    <w:rsid w:val="009E5478"/>
    <w:rsid w:val="009E6631"/>
    <w:rsid w:val="009E6AA3"/>
    <w:rsid w:val="009E7450"/>
    <w:rsid w:val="009F05F1"/>
    <w:rsid w:val="009F0A61"/>
    <w:rsid w:val="009F1778"/>
    <w:rsid w:val="009F4B99"/>
    <w:rsid w:val="009F5B01"/>
    <w:rsid w:val="009F6157"/>
    <w:rsid w:val="009F6227"/>
    <w:rsid w:val="009F7D45"/>
    <w:rsid w:val="00A002FF"/>
    <w:rsid w:val="00A02901"/>
    <w:rsid w:val="00A04A10"/>
    <w:rsid w:val="00A04C75"/>
    <w:rsid w:val="00A0595B"/>
    <w:rsid w:val="00A05DC3"/>
    <w:rsid w:val="00A06397"/>
    <w:rsid w:val="00A10873"/>
    <w:rsid w:val="00A11277"/>
    <w:rsid w:val="00A12817"/>
    <w:rsid w:val="00A129BF"/>
    <w:rsid w:val="00A15839"/>
    <w:rsid w:val="00A16459"/>
    <w:rsid w:val="00A215B1"/>
    <w:rsid w:val="00A247EE"/>
    <w:rsid w:val="00A30A4A"/>
    <w:rsid w:val="00A33639"/>
    <w:rsid w:val="00A341AA"/>
    <w:rsid w:val="00A3569A"/>
    <w:rsid w:val="00A374B0"/>
    <w:rsid w:val="00A37D81"/>
    <w:rsid w:val="00A37E2B"/>
    <w:rsid w:val="00A403AF"/>
    <w:rsid w:val="00A40648"/>
    <w:rsid w:val="00A41E0E"/>
    <w:rsid w:val="00A42CDF"/>
    <w:rsid w:val="00A44080"/>
    <w:rsid w:val="00A45DA8"/>
    <w:rsid w:val="00A522F5"/>
    <w:rsid w:val="00A53F39"/>
    <w:rsid w:val="00A5430E"/>
    <w:rsid w:val="00A543EC"/>
    <w:rsid w:val="00A5447A"/>
    <w:rsid w:val="00A54C15"/>
    <w:rsid w:val="00A553CD"/>
    <w:rsid w:val="00A55754"/>
    <w:rsid w:val="00A55761"/>
    <w:rsid w:val="00A55F7C"/>
    <w:rsid w:val="00A564D8"/>
    <w:rsid w:val="00A60C11"/>
    <w:rsid w:val="00A61520"/>
    <w:rsid w:val="00A6289D"/>
    <w:rsid w:val="00A64BF2"/>
    <w:rsid w:val="00A714F4"/>
    <w:rsid w:val="00A718B2"/>
    <w:rsid w:val="00A71C02"/>
    <w:rsid w:val="00A74B4F"/>
    <w:rsid w:val="00A74BF8"/>
    <w:rsid w:val="00A76582"/>
    <w:rsid w:val="00A77B74"/>
    <w:rsid w:val="00A80631"/>
    <w:rsid w:val="00A81556"/>
    <w:rsid w:val="00A81C7B"/>
    <w:rsid w:val="00A81E7F"/>
    <w:rsid w:val="00A8210A"/>
    <w:rsid w:val="00A82593"/>
    <w:rsid w:val="00A8283C"/>
    <w:rsid w:val="00A871B7"/>
    <w:rsid w:val="00A87240"/>
    <w:rsid w:val="00A8724C"/>
    <w:rsid w:val="00A87F04"/>
    <w:rsid w:val="00A91154"/>
    <w:rsid w:val="00A9186D"/>
    <w:rsid w:val="00A93C1A"/>
    <w:rsid w:val="00A93F66"/>
    <w:rsid w:val="00A94D0A"/>
    <w:rsid w:val="00A9564E"/>
    <w:rsid w:val="00A970F7"/>
    <w:rsid w:val="00A973AB"/>
    <w:rsid w:val="00A97A4B"/>
    <w:rsid w:val="00AA33EF"/>
    <w:rsid w:val="00AA3A01"/>
    <w:rsid w:val="00AA79C0"/>
    <w:rsid w:val="00AB1F5B"/>
    <w:rsid w:val="00AB201E"/>
    <w:rsid w:val="00AB2CAD"/>
    <w:rsid w:val="00AB3443"/>
    <w:rsid w:val="00AB504D"/>
    <w:rsid w:val="00AB5111"/>
    <w:rsid w:val="00AB5974"/>
    <w:rsid w:val="00AB6D00"/>
    <w:rsid w:val="00AC35F9"/>
    <w:rsid w:val="00AC3B71"/>
    <w:rsid w:val="00AC49FA"/>
    <w:rsid w:val="00AC508B"/>
    <w:rsid w:val="00AC56C0"/>
    <w:rsid w:val="00AC5C35"/>
    <w:rsid w:val="00AC7D99"/>
    <w:rsid w:val="00AD013E"/>
    <w:rsid w:val="00AD01F2"/>
    <w:rsid w:val="00AD1301"/>
    <w:rsid w:val="00AD2987"/>
    <w:rsid w:val="00AD3E48"/>
    <w:rsid w:val="00AD4CBC"/>
    <w:rsid w:val="00AD52CF"/>
    <w:rsid w:val="00AD65A2"/>
    <w:rsid w:val="00AE180C"/>
    <w:rsid w:val="00AE3132"/>
    <w:rsid w:val="00AE39FF"/>
    <w:rsid w:val="00AE3CC8"/>
    <w:rsid w:val="00AE4645"/>
    <w:rsid w:val="00AE6085"/>
    <w:rsid w:val="00AE6402"/>
    <w:rsid w:val="00AF0AAF"/>
    <w:rsid w:val="00AF1B27"/>
    <w:rsid w:val="00AF4F1A"/>
    <w:rsid w:val="00AF5683"/>
    <w:rsid w:val="00AF656E"/>
    <w:rsid w:val="00AF69BC"/>
    <w:rsid w:val="00AF75C0"/>
    <w:rsid w:val="00B01B33"/>
    <w:rsid w:val="00B03070"/>
    <w:rsid w:val="00B0370E"/>
    <w:rsid w:val="00B03E70"/>
    <w:rsid w:val="00B05B6C"/>
    <w:rsid w:val="00B0762E"/>
    <w:rsid w:val="00B07AA1"/>
    <w:rsid w:val="00B07C07"/>
    <w:rsid w:val="00B1385F"/>
    <w:rsid w:val="00B17694"/>
    <w:rsid w:val="00B17D1D"/>
    <w:rsid w:val="00B227F0"/>
    <w:rsid w:val="00B233A8"/>
    <w:rsid w:val="00B24C80"/>
    <w:rsid w:val="00B256C3"/>
    <w:rsid w:val="00B265C1"/>
    <w:rsid w:val="00B26CD4"/>
    <w:rsid w:val="00B30C82"/>
    <w:rsid w:val="00B3165B"/>
    <w:rsid w:val="00B316C7"/>
    <w:rsid w:val="00B318F6"/>
    <w:rsid w:val="00B31A56"/>
    <w:rsid w:val="00B31B7A"/>
    <w:rsid w:val="00B34C2A"/>
    <w:rsid w:val="00B362AF"/>
    <w:rsid w:val="00B3666F"/>
    <w:rsid w:val="00B37762"/>
    <w:rsid w:val="00B4175C"/>
    <w:rsid w:val="00B42477"/>
    <w:rsid w:val="00B42580"/>
    <w:rsid w:val="00B42C29"/>
    <w:rsid w:val="00B4433A"/>
    <w:rsid w:val="00B46064"/>
    <w:rsid w:val="00B4725A"/>
    <w:rsid w:val="00B478BD"/>
    <w:rsid w:val="00B55263"/>
    <w:rsid w:val="00B603B0"/>
    <w:rsid w:val="00B6406D"/>
    <w:rsid w:val="00B64BFA"/>
    <w:rsid w:val="00B650E0"/>
    <w:rsid w:val="00B660DA"/>
    <w:rsid w:val="00B706EB"/>
    <w:rsid w:val="00B709D2"/>
    <w:rsid w:val="00B74073"/>
    <w:rsid w:val="00B741C5"/>
    <w:rsid w:val="00B75EB3"/>
    <w:rsid w:val="00B776E3"/>
    <w:rsid w:val="00B77F17"/>
    <w:rsid w:val="00B802D5"/>
    <w:rsid w:val="00B80784"/>
    <w:rsid w:val="00B81309"/>
    <w:rsid w:val="00B840BD"/>
    <w:rsid w:val="00B8439D"/>
    <w:rsid w:val="00B84BA0"/>
    <w:rsid w:val="00B855CF"/>
    <w:rsid w:val="00B85CAD"/>
    <w:rsid w:val="00B8617C"/>
    <w:rsid w:val="00B86F3D"/>
    <w:rsid w:val="00B87D12"/>
    <w:rsid w:val="00B90673"/>
    <w:rsid w:val="00B90F73"/>
    <w:rsid w:val="00B911AF"/>
    <w:rsid w:val="00B92A43"/>
    <w:rsid w:val="00B92A53"/>
    <w:rsid w:val="00B93A12"/>
    <w:rsid w:val="00B95D40"/>
    <w:rsid w:val="00B971A1"/>
    <w:rsid w:val="00B97688"/>
    <w:rsid w:val="00BA00D8"/>
    <w:rsid w:val="00BA01DC"/>
    <w:rsid w:val="00BA0696"/>
    <w:rsid w:val="00BA0D1E"/>
    <w:rsid w:val="00BA0EB4"/>
    <w:rsid w:val="00BA110F"/>
    <w:rsid w:val="00BA4AA1"/>
    <w:rsid w:val="00BA53A4"/>
    <w:rsid w:val="00BA5718"/>
    <w:rsid w:val="00BA585B"/>
    <w:rsid w:val="00BA65D9"/>
    <w:rsid w:val="00BA731D"/>
    <w:rsid w:val="00BB0B7F"/>
    <w:rsid w:val="00BB11B4"/>
    <w:rsid w:val="00BB2853"/>
    <w:rsid w:val="00BB2CF7"/>
    <w:rsid w:val="00BB4C86"/>
    <w:rsid w:val="00BB4EAD"/>
    <w:rsid w:val="00BB5511"/>
    <w:rsid w:val="00BB5B64"/>
    <w:rsid w:val="00BB5DEF"/>
    <w:rsid w:val="00BB7993"/>
    <w:rsid w:val="00BB7DFF"/>
    <w:rsid w:val="00BC00EF"/>
    <w:rsid w:val="00BC0218"/>
    <w:rsid w:val="00BC0D13"/>
    <w:rsid w:val="00BC2C03"/>
    <w:rsid w:val="00BC31FF"/>
    <w:rsid w:val="00BC5901"/>
    <w:rsid w:val="00BC7821"/>
    <w:rsid w:val="00BD1B5B"/>
    <w:rsid w:val="00BD2BBC"/>
    <w:rsid w:val="00BD2F16"/>
    <w:rsid w:val="00BD4579"/>
    <w:rsid w:val="00BD4B94"/>
    <w:rsid w:val="00BD67E8"/>
    <w:rsid w:val="00BD714B"/>
    <w:rsid w:val="00BE0FE6"/>
    <w:rsid w:val="00BE1736"/>
    <w:rsid w:val="00BE21D5"/>
    <w:rsid w:val="00BE2B94"/>
    <w:rsid w:val="00BE2E07"/>
    <w:rsid w:val="00BE356D"/>
    <w:rsid w:val="00BE529C"/>
    <w:rsid w:val="00BE58A2"/>
    <w:rsid w:val="00BE62E8"/>
    <w:rsid w:val="00BF0222"/>
    <w:rsid w:val="00BF0A21"/>
    <w:rsid w:val="00BF0D1D"/>
    <w:rsid w:val="00BF1512"/>
    <w:rsid w:val="00BF20E4"/>
    <w:rsid w:val="00BF27E9"/>
    <w:rsid w:val="00BF3499"/>
    <w:rsid w:val="00BF40A4"/>
    <w:rsid w:val="00BF4231"/>
    <w:rsid w:val="00BF691A"/>
    <w:rsid w:val="00C00646"/>
    <w:rsid w:val="00C00CCF"/>
    <w:rsid w:val="00C0128E"/>
    <w:rsid w:val="00C01BDE"/>
    <w:rsid w:val="00C0311C"/>
    <w:rsid w:val="00C0313B"/>
    <w:rsid w:val="00C036B1"/>
    <w:rsid w:val="00C0395C"/>
    <w:rsid w:val="00C04081"/>
    <w:rsid w:val="00C0484F"/>
    <w:rsid w:val="00C0508D"/>
    <w:rsid w:val="00C05FBC"/>
    <w:rsid w:val="00C062B8"/>
    <w:rsid w:val="00C0738B"/>
    <w:rsid w:val="00C07903"/>
    <w:rsid w:val="00C07D23"/>
    <w:rsid w:val="00C10F7F"/>
    <w:rsid w:val="00C11378"/>
    <w:rsid w:val="00C114A6"/>
    <w:rsid w:val="00C115E6"/>
    <w:rsid w:val="00C12A2C"/>
    <w:rsid w:val="00C13649"/>
    <w:rsid w:val="00C13988"/>
    <w:rsid w:val="00C167D1"/>
    <w:rsid w:val="00C17EC3"/>
    <w:rsid w:val="00C21CAA"/>
    <w:rsid w:val="00C22AFF"/>
    <w:rsid w:val="00C254A8"/>
    <w:rsid w:val="00C27857"/>
    <w:rsid w:val="00C27B9F"/>
    <w:rsid w:val="00C30B91"/>
    <w:rsid w:val="00C30CBA"/>
    <w:rsid w:val="00C3166E"/>
    <w:rsid w:val="00C31DA4"/>
    <w:rsid w:val="00C33AF0"/>
    <w:rsid w:val="00C34616"/>
    <w:rsid w:val="00C34C5F"/>
    <w:rsid w:val="00C3590F"/>
    <w:rsid w:val="00C369B6"/>
    <w:rsid w:val="00C36B6B"/>
    <w:rsid w:val="00C36C6C"/>
    <w:rsid w:val="00C42F7B"/>
    <w:rsid w:val="00C44E8F"/>
    <w:rsid w:val="00C4572B"/>
    <w:rsid w:val="00C460D4"/>
    <w:rsid w:val="00C470F5"/>
    <w:rsid w:val="00C51739"/>
    <w:rsid w:val="00C527BE"/>
    <w:rsid w:val="00C52BF8"/>
    <w:rsid w:val="00C54C33"/>
    <w:rsid w:val="00C54C4D"/>
    <w:rsid w:val="00C55607"/>
    <w:rsid w:val="00C55C15"/>
    <w:rsid w:val="00C62C36"/>
    <w:rsid w:val="00C65118"/>
    <w:rsid w:val="00C66371"/>
    <w:rsid w:val="00C70E7D"/>
    <w:rsid w:val="00C70FBA"/>
    <w:rsid w:val="00C7128E"/>
    <w:rsid w:val="00C72DE1"/>
    <w:rsid w:val="00C74604"/>
    <w:rsid w:val="00C7721A"/>
    <w:rsid w:val="00C77E05"/>
    <w:rsid w:val="00C80528"/>
    <w:rsid w:val="00C8195E"/>
    <w:rsid w:val="00C94152"/>
    <w:rsid w:val="00C94711"/>
    <w:rsid w:val="00C97DC3"/>
    <w:rsid w:val="00CA0969"/>
    <w:rsid w:val="00CA159F"/>
    <w:rsid w:val="00CA1E29"/>
    <w:rsid w:val="00CA26D8"/>
    <w:rsid w:val="00CA2D0E"/>
    <w:rsid w:val="00CA444B"/>
    <w:rsid w:val="00CA4995"/>
    <w:rsid w:val="00CA4DC8"/>
    <w:rsid w:val="00CA5A8C"/>
    <w:rsid w:val="00CA7B66"/>
    <w:rsid w:val="00CB0590"/>
    <w:rsid w:val="00CB0979"/>
    <w:rsid w:val="00CB1353"/>
    <w:rsid w:val="00CB38BD"/>
    <w:rsid w:val="00CB3CB2"/>
    <w:rsid w:val="00CB3FAB"/>
    <w:rsid w:val="00CB4791"/>
    <w:rsid w:val="00CB5A8F"/>
    <w:rsid w:val="00CB776B"/>
    <w:rsid w:val="00CC0529"/>
    <w:rsid w:val="00CC102B"/>
    <w:rsid w:val="00CC34A7"/>
    <w:rsid w:val="00CC5916"/>
    <w:rsid w:val="00CD0B45"/>
    <w:rsid w:val="00CD10DC"/>
    <w:rsid w:val="00CD2138"/>
    <w:rsid w:val="00CD53AD"/>
    <w:rsid w:val="00CD7293"/>
    <w:rsid w:val="00CE082C"/>
    <w:rsid w:val="00CE26DC"/>
    <w:rsid w:val="00CE371C"/>
    <w:rsid w:val="00CE3AD5"/>
    <w:rsid w:val="00CE4514"/>
    <w:rsid w:val="00CE5EAC"/>
    <w:rsid w:val="00CE6691"/>
    <w:rsid w:val="00CE69AF"/>
    <w:rsid w:val="00CE6DBB"/>
    <w:rsid w:val="00CF01FD"/>
    <w:rsid w:val="00CF1CA0"/>
    <w:rsid w:val="00CF29A3"/>
    <w:rsid w:val="00CF3935"/>
    <w:rsid w:val="00CF3A49"/>
    <w:rsid w:val="00CF4F8B"/>
    <w:rsid w:val="00CF7BB2"/>
    <w:rsid w:val="00D0275A"/>
    <w:rsid w:val="00D05E4B"/>
    <w:rsid w:val="00D06369"/>
    <w:rsid w:val="00D06DC0"/>
    <w:rsid w:val="00D073E8"/>
    <w:rsid w:val="00D073EB"/>
    <w:rsid w:val="00D07DBC"/>
    <w:rsid w:val="00D11508"/>
    <w:rsid w:val="00D11930"/>
    <w:rsid w:val="00D1401B"/>
    <w:rsid w:val="00D14DEB"/>
    <w:rsid w:val="00D16951"/>
    <w:rsid w:val="00D20114"/>
    <w:rsid w:val="00D205C9"/>
    <w:rsid w:val="00D206F5"/>
    <w:rsid w:val="00D20AFD"/>
    <w:rsid w:val="00D22562"/>
    <w:rsid w:val="00D22612"/>
    <w:rsid w:val="00D22AC4"/>
    <w:rsid w:val="00D243DC"/>
    <w:rsid w:val="00D24F38"/>
    <w:rsid w:val="00D2547C"/>
    <w:rsid w:val="00D27023"/>
    <w:rsid w:val="00D27F87"/>
    <w:rsid w:val="00D3014C"/>
    <w:rsid w:val="00D30C1B"/>
    <w:rsid w:val="00D30E11"/>
    <w:rsid w:val="00D33B5D"/>
    <w:rsid w:val="00D345D1"/>
    <w:rsid w:val="00D35BF4"/>
    <w:rsid w:val="00D35D22"/>
    <w:rsid w:val="00D36C30"/>
    <w:rsid w:val="00D40EF1"/>
    <w:rsid w:val="00D44275"/>
    <w:rsid w:val="00D453BE"/>
    <w:rsid w:val="00D4622B"/>
    <w:rsid w:val="00D47EFA"/>
    <w:rsid w:val="00D51AAD"/>
    <w:rsid w:val="00D52AEE"/>
    <w:rsid w:val="00D54D35"/>
    <w:rsid w:val="00D54D7B"/>
    <w:rsid w:val="00D55C4F"/>
    <w:rsid w:val="00D5721A"/>
    <w:rsid w:val="00D579CC"/>
    <w:rsid w:val="00D60850"/>
    <w:rsid w:val="00D614C4"/>
    <w:rsid w:val="00D6237D"/>
    <w:rsid w:val="00D63456"/>
    <w:rsid w:val="00D63D21"/>
    <w:rsid w:val="00D63EAD"/>
    <w:rsid w:val="00D6545F"/>
    <w:rsid w:val="00D66F62"/>
    <w:rsid w:val="00D672DA"/>
    <w:rsid w:val="00D706B7"/>
    <w:rsid w:val="00D7385E"/>
    <w:rsid w:val="00D76CFF"/>
    <w:rsid w:val="00D76FBC"/>
    <w:rsid w:val="00D771B2"/>
    <w:rsid w:val="00D77207"/>
    <w:rsid w:val="00D803CF"/>
    <w:rsid w:val="00D83CCB"/>
    <w:rsid w:val="00D84D24"/>
    <w:rsid w:val="00D8703E"/>
    <w:rsid w:val="00D87311"/>
    <w:rsid w:val="00D916D0"/>
    <w:rsid w:val="00D92171"/>
    <w:rsid w:val="00D92510"/>
    <w:rsid w:val="00D9385D"/>
    <w:rsid w:val="00D941EA"/>
    <w:rsid w:val="00D94B52"/>
    <w:rsid w:val="00D95F26"/>
    <w:rsid w:val="00D972A1"/>
    <w:rsid w:val="00D97875"/>
    <w:rsid w:val="00DA0902"/>
    <w:rsid w:val="00DA113C"/>
    <w:rsid w:val="00DA30CE"/>
    <w:rsid w:val="00DA44C3"/>
    <w:rsid w:val="00DA45E5"/>
    <w:rsid w:val="00DA551E"/>
    <w:rsid w:val="00DA55D5"/>
    <w:rsid w:val="00DB0740"/>
    <w:rsid w:val="00DB1450"/>
    <w:rsid w:val="00DB1EB4"/>
    <w:rsid w:val="00DB213A"/>
    <w:rsid w:val="00DB21B5"/>
    <w:rsid w:val="00DB227D"/>
    <w:rsid w:val="00DB2E01"/>
    <w:rsid w:val="00DB3FDE"/>
    <w:rsid w:val="00DB441B"/>
    <w:rsid w:val="00DB45BF"/>
    <w:rsid w:val="00DB58FE"/>
    <w:rsid w:val="00DB5D68"/>
    <w:rsid w:val="00DB6072"/>
    <w:rsid w:val="00DB78E3"/>
    <w:rsid w:val="00DC0907"/>
    <w:rsid w:val="00DC1293"/>
    <w:rsid w:val="00DC18ED"/>
    <w:rsid w:val="00DC2538"/>
    <w:rsid w:val="00DC2997"/>
    <w:rsid w:val="00DC31CE"/>
    <w:rsid w:val="00DC3F59"/>
    <w:rsid w:val="00DC4157"/>
    <w:rsid w:val="00DC65A9"/>
    <w:rsid w:val="00DC7EB8"/>
    <w:rsid w:val="00DD0BF2"/>
    <w:rsid w:val="00DD2607"/>
    <w:rsid w:val="00DD4C2F"/>
    <w:rsid w:val="00DD4D11"/>
    <w:rsid w:val="00DD5EA2"/>
    <w:rsid w:val="00DD65EF"/>
    <w:rsid w:val="00DE0D5B"/>
    <w:rsid w:val="00DE16EB"/>
    <w:rsid w:val="00DE2925"/>
    <w:rsid w:val="00DE4131"/>
    <w:rsid w:val="00DE758B"/>
    <w:rsid w:val="00DE7EEA"/>
    <w:rsid w:val="00DF223E"/>
    <w:rsid w:val="00DF237C"/>
    <w:rsid w:val="00DF397E"/>
    <w:rsid w:val="00DF6819"/>
    <w:rsid w:val="00E00D86"/>
    <w:rsid w:val="00E00E48"/>
    <w:rsid w:val="00E00EE7"/>
    <w:rsid w:val="00E01A81"/>
    <w:rsid w:val="00E02709"/>
    <w:rsid w:val="00E02FE2"/>
    <w:rsid w:val="00E035C1"/>
    <w:rsid w:val="00E036BD"/>
    <w:rsid w:val="00E03E28"/>
    <w:rsid w:val="00E0535B"/>
    <w:rsid w:val="00E05670"/>
    <w:rsid w:val="00E1206E"/>
    <w:rsid w:val="00E14A6C"/>
    <w:rsid w:val="00E14CA7"/>
    <w:rsid w:val="00E17E6A"/>
    <w:rsid w:val="00E2263C"/>
    <w:rsid w:val="00E22963"/>
    <w:rsid w:val="00E24515"/>
    <w:rsid w:val="00E251D1"/>
    <w:rsid w:val="00E25B0D"/>
    <w:rsid w:val="00E26F56"/>
    <w:rsid w:val="00E303D3"/>
    <w:rsid w:val="00E30615"/>
    <w:rsid w:val="00E31BF2"/>
    <w:rsid w:val="00E32E17"/>
    <w:rsid w:val="00E361F1"/>
    <w:rsid w:val="00E402A4"/>
    <w:rsid w:val="00E43847"/>
    <w:rsid w:val="00E441A2"/>
    <w:rsid w:val="00E44522"/>
    <w:rsid w:val="00E445E0"/>
    <w:rsid w:val="00E45FAF"/>
    <w:rsid w:val="00E4696E"/>
    <w:rsid w:val="00E47347"/>
    <w:rsid w:val="00E479F0"/>
    <w:rsid w:val="00E52A73"/>
    <w:rsid w:val="00E541CA"/>
    <w:rsid w:val="00E55C0F"/>
    <w:rsid w:val="00E5661E"/>
    <w:rsid w:val="00E57750"/>
    <w:rsid w:val="00E57E33"/>
    <w:rsid w:val="00E61036"/>
    <w:rsid w:val="00E6167A"/>
    <w:rsid w:val="00E62046"/>
    <w:rsid w:val="00E63482"/>
    <w:rsid w:val="00E64B7C"/>
    <w:rsid w:val="00E650DA"/>
    <w:rsid w:val="00E651BF"/>
    <w:rsid w:val="00E66696"/>
    <w:rsid w:val="00E70303"/>
    <w:rsid w:val="00E721DC"/>
    <w:rsid w:val="00E729A2"/>
    <w:rsid w:val="00E73F7D"/>
    <w:rsid w:val="00E763B7"/>
    <w:rsid w:val="00E7641E"/>
    <w:rsid w:val="00E767F0"/>
    <w:rsid w:val="00E77033"/>
    <w:rsid w:val="00E77356"/>
    <w:rsid w:val="00E8002D"/>
    <w:rsid w:val="00E80465"/>
    <w:rsid w:val="00E8124C"/>
    <w:rsid w:val="00E81374"/>
    <w:rsid w:val="00E81FC7"/>
    <w:rsid w:val="00E82038"/>
    <w:rsid w:val="00E837FE"/>
    <w:rsid w:val="00E85648"/>
    <w:rsid w:val="00E85DB8"/>
    <w:rsid w:val="00E861C1"/>
    <w:rsid w:val="00E90548"/>
    <w:rsid w:val="00E92A64"/>
    <w:rsid w:val="00E92B80"/>
    <w:rsid w:val="00E932C2"/>
    <w:rsid w:val="00E93970"/>
    <w:rsid w:val="00E949E9"/>
    <w:rsid w:val="00E95102"/>
    <w:rsid w:val="00E95F31"/>
    <w:rsid w:val="00E97EBA"/>
    <w:rsid w:val="00EA1FF8"/>
    <w:rsid w:val="00EA3A24"/>
    <w:rsid w:val="00EA453E"/>
    <w:rsid w:val="00EA5541"/>
    <w:rsid w:val="00EA6382"/>
    <w:rsid w:val="00EA6619"/>
    <w:rsid w:val="00EA68CA"/>
    <w:rsid w:val="00EA760E"/>
    <w:rsid w:val="00EB059E"/>
    <w:rsid w:val="00EB56F8"/>
    <w:rsid w:val="00EB65BC"/>
    <w:rsid w:val="00EC137B"/>
    <w:rsid w:val="00EC5ED2"/>
    <w:rsid w:val="00EC6203"/>
    <w:rsid w:val="00ED07EF"/>
    <w:rsid w:val="00ED0A61"/>
    <w:rsid w:val="00ED12DE"/>
    <w:rsid w:val="00ED159F"/>
    <w:rsid w:val="00ED1C4B"/>
    <w:rsid w:val="00ED6EB8"/>
    <w:rsid w:val="00ED73C6"/>
    <w:rsid w:val="00ED79A9"/>
    <w:rsid w:val="00EE0C5D"/>
    <w:rsid w:val="00EE143E"/>
    <w:rsid w:val="00EE25BC"/>
    <w:rsid w:val="00EE2DDA"/>
    <w:rsid w:val="00EE5CB9"/>
    <w:rsid w:val="00EE6C4F"/>
    <w:rsid w:val="00EE78D0"/>
    <w:rsid w:val="00EE7FB7"/>
    <w:rsid w:val="00EF04AF"/>
    <w:rsid w:val="00EF124C"/>
    <w:rsid w:val="00EF1A24"/>
    <w:rsid w:val="00EF317F"/>
    <w:rsid w:val="00EF5FE1"/>
    <w:rsid w:val="00EF613E"/>
    <w:rsid w:val="00EF6976"/>
    <w:rsid w:val="00EF7110"/>
    <w:rsid w:val="00EF7494"/>
    <w:rsid w:val="00F0051D"/>
    <w:rsid w:val="00F005BE"/>
    <w:rsid w:val="00F005F3"/>
    <w:rsid w:val="00F0070A"/>
    <w:rsid w:val="00F00AEA"/>
    <w:rsid w:val="00F00D8E"/>
    <w:rsid w:val="00F019E5"/>
    <w:rsid w:val="00F01BAD"/>
    <w:rsid w:val="00F0272B"/>
    <w:rsid w:val="00F041CD"/>
    <w:rsid w:val="00F049FE"/>
    <w:rsid w:val="00F04C35"/>
    <w:rsid w:val="00F06B2B"/>
    <w:rsid w:val="00F103DD"/>
    <w:rsid w:val="00F10D6B"/>
    <w:rsid w:val="00F111C8"/>
    <w:rsid w:val="00F11B59"/>
    <w:rsid w:val="00F136F2"/>
    <w:rsid w:val="00F13A33"/>
    <w:rsid w:val="00F162CC"/>
    <w:rsid w:val="00F20E4D"/>
    <w:rsid w:val="00F216BC"/>
    <w:rsid w:val="00F222B8"/>
    <w:rsid w:val="00F22464"/>
    <w:rsid w:val="00F22781"/>
    <w:rsid w:val="00F23624"/>
    <w:rsid w:val="00F23BF8"/>
    <w:rsid w:val="00F24A8F"/>
    <w:rsid w:val="00F24DA0"/>
    <w:rsid w:val="00F328D9"/>
    <w:rsid w:val="00F32DA0"/>
    <w:rsid w:val="00F332E2"/>
    <w:rsid w:val="00F33EDB"/>
    <w:rsid w:val="00F37F72"/>
    <w:rsid w:val="00F4058A"/>
    <w:rsid w:val="00F4067C"/>
    <w:rsid w:val="00F41378"/>
    <w:rsid w:val="00F44D06"/>
    <w:rsid w:val="00F45641"/>
    <w:rsid w:val="00F506A6"/>
    <w:rsid w:val="00F51106"/>
    <w:rsid w:val="00F538F5"/>
    <w:rsid w:val="00F54326"/>
    <w:rsid w:val="00F54584"/>
    <w:rsid w:val="00F54688"/>
    <w:rsid w:val="00F548ED"/>
    <w:rsid w:val="00F550E9"/>
    <w:rsid w:val="00F61029"/>
    <w:rsid w:val="00F62A20"/>
    <w:rsid w:val="00F63771"/>
    <w:rsid w:val="00F662E5"/>
    <w:rsid w:val="00F66604"/>
    <w:rsid w:val="00F673C0"/>
    <w:rsid w:val="00F70CAD"/>
    <w:rsid w:val="00F70F99"/>
    <w:rsid w:val="00F71B2B"/>
    <w:rsid w:val="00F72088"/>
    <w:rsid w:val="00F723FA"/>
    <w:rsid w:val="00F739AF"/>
    <w:rsid w:val="00F74647"/>
    <w:rsid w:val="00F74E2D"/>
    <w:rsid w:val="00F75A92"/>
    <w:rsid w:val="00F76001"/>
    <w:rsid w:val="00F768D7"/>
    <w:rsid w:val="00F76D82"/>
    <w:rsid w:val="00F77312"/>
    <w:rsid w:val="00F81B01"/>
    <w:rsid w:val="00F834E9"/>
    <w:rsid w:val="00F83695"/>
    <w:rsid w:val="00F83F3F"/>
    <w:rsid w:val="00F847E3"/>
    <w:rsid w:val="00F849C9"/>
    <w:rsid w:val="00F85D26"/>
    <w:rsid w:val="00F914D7"/>
    <w:rsid w:val="00F91806"/>
    <w:rsid w:val="00F933A4"/>
    <w:rsid w:val="00F93998"/>
    <w:rsid w:val="00F93AE3"/>
    <w:rsid w:val="00F9508E"/>
    <w:rsid w:val="00F97D2D"/>
    <w:rsid w:val="00FA004E"/>
    <w:rsid w:val="00FA06D3"/>
    <w:rsid w:val="00FA08A7"/>
    <w:rsid w:val="00FA12A9"/>
    <w:rsid w:val="00FA609F"/>
    <w:rsid w:val="00FA6CDA"/>
    <w:rsid w:val="00FA7796"/>
    <w:rsid w:val="00FB1CA2"/>
    <w:rsid w:val="00FB1DF1"/>
    <w:rsid w:val="00FB4F5D"/>
    <w:rsid w:val="00FB5726"/>
    <w:rsid w:val="00FB67F2"/>
    <w:rsid w:val="00FB69ED"/>
    <w:rsid w:val="00FB79F5"/>
    <w:rsid w:val="00FC11C1"/>
    <w:rsid w:val="00FC144F"/>
    <w:rsid w:val="00FC4CD9"/>
    <w:rsid w:val="00FC4F40"/>
    <w:rsid w:val="00FC52B3"/>
    <w:rsid w:val="00FC66E2"/>
    <w:rsid w:val="00FD13D2"/>
    <w:rsid w:val="00FD1F23"/>
    <w:rsid w:val="00FD343A"/>
    <w:rsid w:val="00FD3777"/>
    <w:rsid w:val="00FD46E5"/>
    <w:rsid w:val="00FD5EB1"/>
    <w:rsid w:val="00FD61E3"/>
    <w:rsid w:val="00FD6720"/>
    <w:rsid w:val="00FD716F"/>
    <w:rsid w:val="00FD738D"/>
    <w:rsid w:val="00FE42B3"/>
    <w:rsid w:val="00FE5CA8"/>
    <w:rsid w:val="00FE6054"/>
    <w:rsid w:val="00FE618D"/>
    <w:rsid w:val="00FE6DB9"/>
    <w:rsid w:val="00FF19A6"/>
    <w:rsid w:val="00FF481D"/>
    <w:rsid w:val="00FF4CB7"/>
    <w:rsid w:val="00FF4FEF"/>
    <w:rsid w:val="00FF526F"/>
    <w:rsid w:val="00FF5AF6"/>
    <w:rsid w:val="00FF741B"/>
    <w:rsid w:val="010024C0"/>
    <w:rsid w:val="018133FF"/>
    <w:rsid w:val="01EB1077"/>
    <w:rsid w:val="01F20367"/>
    <w:rsid w:val="020133B0"/>
    <w:rsid w:val="020E3052"/>
    <w:rsid w:val="02794BCC"/>
    <w:rsid w:val="02822F57"/>
    <w:rsid w:val="02877AAC"/>
    <w:rsid w:val="02990299"/>
    <w:rsid w:val="029B364A"/>
    <w:rsid w:val="02AA0AD7"/>
    <w:rsid w:val="036F0FD9"/>
    <w:rsid w:val="03AF4B72"/>
    <w:rsid w:val="03C94953"/>
    <w:rsid w:val="03CE6832"/>
    <w:rsid w:val="03D0355A"/>
    <w:rsid w:val="03D55CA4"/>
    <w:rsid w:val="03D77CBA"/>
    <w:rsid w:val="040E3D78"/>
    <w:rsid w:val="04281854"/>
    <w:rsid w:val="042B1657"/>
    <w:rsid w:val="045739AA"/>
    <w:rsid w:val="04610B65"/>
    <w:rsid w:val="0470317E"/>
    <w:rsid w:val="04783ACC"/>
    <w:rsid w:val="04AE6573"/>
    <w:rsid w:val="04BC1868"/>
    <w:rsid w:val="04DF553A"/>
    <w:rsid w:val="04E03D3F"/>
    <w:rsid w:val="04E879DB"/>
    <w:rsid w:val="04EB13B1"/>
    <w:rsid w:val="050944B8"/>
    <w:rsid w:val="058508A2"/>
    <w:rsid w:val="058F1B52"/>
    <w:rsid w:val="05D16BCC"/>
    <w:rsid w:val="05D61E34"/>
    <w:rsid w:val="05D7794D"/>
    <w:rsid w:val="05F93E0C"/>
    <w:rsid w:val="06182284"/>
    <w:rsid w:val="06536622"/>
    <w:rsid w:val="065F2111"/>
    <w:rsid w:val="066E5845"/>
    <w:rsid w:val="0670426C"/>
    <w:rsid w:val="069A21AD"/>
    <w:rsid w:val="06FB3EEE"/>
    <w:rsid w:val="074776AB"/>
    <w:rsid w:val="07975177"/>
    <w:rsid w:val="07C70E15"/>
    <w:rsid w:val="07CF4757"/>
    <w:rsid w:val="07FF056F"/>
    <w:rsid w:val="08157656"/>
    <w:rsid w:val="081D4392"/>
    <w:rsid w:val="082519CE"/>
    <w:rsid w:val="08333794"/>
    <w:rsid w:val="08396C83"/>
    <w:rsid w:val="084105C8"/>
    <w:rsid w:val="085346A0"/>
    <w:rsid w:val="085A6DCD"/>
    <w:rsid w:val="085C23FC"/>
    <w:rsid w:val="08744F34"/>
    <w:rsid w:val="08860D77"/>
    <w:rsid w:val="08B43E6D"/>
    <w:rsid w:val="08C35C5A"/>
    <w:rsid w:val="08D444D2"/>
    <w:rsid w:val="093C74AB"/>
    <w:rsid w:val="095D5F2C"/>
    <w:rsid w:val="09C11E56"/>
    <w:rsid w:val="09DC5B17"/>
    <w:rsid w:val="09EC4CDA"/>
    <w:rsid w:val="0A034D99"/>
    <w:rsid w:val="0A051096"/>
    <w:rsid w:val="0A245D80"/>
    <w:rsid w:val="0A2A7308"/>
    <w:rsid w:val="0A376563"/>
    <w:rsid w:val="0A64344F"/>
    <w:rsid w:val="0A6C6DA1"/>
    <w:rsid w:val="0A7C756C"/>
    <w:rsid w:val="0A9945D5"/>
    <w:rsid w:val="0A9F0430"/>
    <w:rsid w:val="0AFC6110"/>
    <w:rsid w:val="0B0127A7"/>
    <w:rsid w:val="0B3C3AB1"/>
    <w:rsid w:val="0B3F14D4"/>
    <w:rsid w:val="0B5B1BA4"/>
    <w:rsid w:val="0B7B7B9F"/>
    <w:rsid w:val="0B8D3EE2"/>
    <w:rsid w:val="0BA25F39"/>
    <w:rsid w:val="0BAC5649"/>
    <w:rsid w:val="0BE22B40"/>
    <w:rsid w:val="0BE4417C"/>
    <w:rsid w:val="0BFE7C41"/>
    <w:rsid w:val="0C051C76"/>
    <w:rsid w:val="0C495E98"/>
    <w:rsid w:val="0C6E1095"/>
    <w:rsid w:val="0C7A37E4"/>
    <w:rsid w:val="0C8C4164"/>
    <w:rsid w:val="0C992F47"/>
    <w:rsid w:val="0C9E686F"/>
    <w:rsid w:val="0CA15986"/>
    <w:rsid w:val="0CAA22A9"/>
    <w:rsid w:val="0CB23EC4"/>
    <w:rsid w:val="0CCF2C7B"/>
    <w:rsid w:val="0D043E9F"/>
    <w:rsid w:val="0D632A83"/>
    <w:rsid w:val="0D661169"/>
    <w:rsid w:val="0D971E84"/>
    <w:rsid w:val="0DA46C14"/>
    <w:rsid w:val="0DAF753A"/>
    <w:rsid w:val="0DCB0A3A"/>
    <w:rsid w:val="0E026F97"/>
    <w:rsid w:val="0E0C2A2D"/>
    <w:rsid w:val="0E132893"/>
    <w:rsid w:val="0E317A23"/>
    <w:rsid w:val="0E3E5A73"/>
    <w:rsid w:val="0E4E6777"/>
    <w:rsid w:val="0E5F59F9"/>
    <w:rsid w:val="0E6134C3"/>
    <w:rsid w:val="0E676DE8"/>
    <w:rsid w:val="0EA423E3"/>
    <w:rsid w:val="0EC26EEE"/>
    <w:rsid w:val="0EF756D6"/>
    <w:rsid w:val="0F130FC8"/>
    <w:rsid w:val="0F91175C"/>
    <w:rsid w:val="0F924AFD"/>
    <w:rsid w:val="0FDA4528"/>
    <w:rsid w:val="10006DC4"/>
    <w:rsid w:val="102656AD"/>
    <w:rsid w:val="102B4182"/>
    <w:rsid w:val="103112F1"/>
    <w:rsid w:val="10756DAB"/>
    <w:rsid w:val="10A30706"/>
    <w:rsid w:val="10A3451C"/>
    <w:rsid w:val="10D217BC"/>
    <w:rsid w:val="10D350CD"/>
    <w:rsid w:val="10DA0FA0"/>
    <w:rsid w:val="10E71C82"/>
    <w:rsid w:val="10F14B18"/>
    <w:rsid w:val="11027246"/>
    <w:rsid w:val="110C1A83"/>
    <w:rsid w:val="112D4E88"/>
    <w:rsid w:val="114C1617"/>
    <w:rsid w:val="119E1216"/>
    <w:rsid w:val="11A7392F"/>
    <w:rsid w:val="11AD1972"/>
    <w:rsid w:val="11B76E17"/>
    <w:rsid w:val="11BA56C5"/>
    <w:rsid w:val="11CD1B07"/>
    <w:rsid w:val="11D307AD"/>
    <w:rsid w:val="11ED2C4E"/>
    <w:rsid w:val="121A457A"/>
    <w:rsid w:val="122D67E1"/>
    <w:rsid w:val="12751938"/>
    <w:rsid w:val="1291070F"/>
    <w:rsid w:val="12B17D12"/>
    <w:rsid w:val="12B502CE"/>
    <w:rsid w:val="12C302B3"/>
    <w:rsid w:val="12E92981"/>
    <w:rsid w:val="13202F55"/>
    <w:rsid w:val="13293E97"/>
    <w:rsid w:val="135C2367"/>
    <w:rsid w:val="13A648B1"/>
    <w:rsid w:val="13B2014C"/>
    <w:rsid w:val="13E71E54"/>
    <w:rsid w:val="143570DB"/>
    <w:rsid w:val="14363727"/>
    <w:rsid w:val="143D5F13"/>
    <w:rsid w:val="14660A8E"/>
    <w:rsid w:val="1479459E"/>
    <w:rsid w:val="147B765A"/>
    <w:rsid w:val="148A7E4F"/>
    <w:rsid w:val="148F45B4"/>
    <w:rsid w:val="14973C54"/>
    <w:rsid w:val="14F31C27"/>
    <w:rsid w:val="150F29C3"/>
    <w:rsid w:val="15241540"/>
    <w:rsid w:val="152F7354"/>
    <w:rsid w:val="156E3DFE"/>
    <w:rsid w:val="15783F61"/>
    <w:rsid w:val="15991D3E"/>
    <w:rsid w:val="15B47800"/>
    <w:rsid w:val="15F44218"/>
    <w:rsid w:val="15FA04B5"/>
    <w:rsid w:val="162D60DF"/>
    <w:rsid w:val="16641753"/>
    <w:rsid w:val="16811307"/>
    <w:rsid w:val="169009CA"/>
    <w:rsid w:val="16EA3300"/>
    <w:rsid w:val="16FF4B04"/>
    <w:rsid w:val="171F1AA1"/>
    <w:rsid w:val="173818A3"/>
    <w:rsid w:val="173877C1"/>
    <w:rsid w:val="175F579C"/>
    <w:rsid w:val="176B15B5"/>
    <w:rsid w:val="177D50B8"/>
    <w:rsid w:val="17B5693F"/>
    <w:rsid w:val="17B9162D"/>
    <w:rsid w:val="17EC3A06"/>
    <w:rsid w:val="17EE2F46"/>
    <w:rsid w:val="181C5681"/>
    <w:rsid w:val="182826D3"/>
    <w:rsid w:val="183D22D4"/>
    <w:rsid w:val="184051EE"/>
    <w:rsid w:val="184437A0"/>
    <w:rsid w:val="18453FC7"/>
    <w:rsid w:val="184F7C04"/>
    <w:rsid w:val="185D4D39"/>
    <w:rsid w:val="18730846"/>
    <w:rsid w:val="188C4878"/>
    <w:rsid w:val="18B919D6"/>
    <w:rsid w:val="18C95C78"/>
    <w:rsid w:val="18C97001"/>
    <w:rsid w:val="18CE0745"/>
    <w:rsid w:val="18D50F93"/>
    <w:rsid w:val="18E90A65"/>
    <w:rsid w:val="199166E2"/>
    <w:rsid w:val="19922A30"/>
    <w:rsid w:val="1998658F"/>
    <w:rsid w:val="199A1741"/>
    <w:rsid w:val="199D1439"/>
    <w:rsid w:val="19EC69B2"/>
    <w:rsid w:val="1A1F39FE"/>
    <w:rsid w:val="1A776DCD"/>
    <w:rsid w:val="1A8465F0"/>
    <w:rsid w:val="1AB72EC3"/>
    <w:rsid w:val="1ABD09A0"/>
    <w:rsid w:val="1AFD3DA1"/>
    <w:rsid w:val="1B0E6EC1"/>
    <w:rsid w:val="1B5F1F58"/>
    <w:rsid w:val="1B9158F5"/>
    <w:rsid w:val="1BAA7F4D"/>
    <w:rsid w:val="1BB86343"/>
    <w:rsid w:val="1BC27109"/>
    <w:rsid w:val="1BF048A5"/>
    <w:rsid w:val="1C063FE8"/>
    <w:rsid w:val="1C35246B"/>
    <w:rsid w:val="1C395ACC"/>
    <w:rsid w:val="1CB62BB8"/>
    <w:rsid w:val="1D235D6F"/>
    <w:rsid w:val="1D2A22F8"/>
    <w:rsid w:val="1D2B3667"/>
    <w:rsid w:val="1D617C47"/>
    <w:rsid w:val="1D9F6575"/>
    <w:rsid w:val="1DE2341A"/>
    <w:rsid w:val="1DF039AC"/>
    <w:rsid w:val="1E582C9E"/>
    <w:rsid w:val="1E6A7830"/>
    <w:rsid w:val="1E900F80"/>
    <w:rsid w:val="1E9B6F8D"/>
    <w:rsid w:val="1EC61C08"/>
    <w:rsid w:val="1EE15A6C"/>
    <w:rsid w:val="1EFF6455"/>
    <w:rsid w:val="1F071572"/>
    <w:rsid w:val="1F285740"/>
    <w:rsid w:val="1F401128"/>
    <w:rsid w:val="1F572DBF"/>
    <w:rsid w:val="1F7B665A"/>
    <w:rsid w:val="1F986E19"/>
    <w:rsid w:val="1FA707AE"/>
    <w:rsid w:val="1FAA6915"/>
    <w:rsid w:val="1FAF0A75"/>
    <w:rsid w:val="1FBB0F18"/>
    <w:rsid w:val="1FBE26A9"/>
    <w:rsid w:val="1FD11194"/>
    <w:rsid w:val="1FD2444C"/>
    <w:rsid w:val="1FEE3884"/>
    <w:rsid w:val="201C5C34"/>
    <w:rsid w:val="202C559A"/>
    <w:rsid w:val="2045209E"/>
    <w:rsid w:val="20C505F3"/>
    <w:rsid w:val="20D44289"/>
    <w:rsid w:val="20FB74CD"/>
    <w:rsid w:val="215235F3"/>
    <w:rsid w:val="216A5F37"/>
    <w:rsid w:val="21891CC9"/>
    <w:rsid w:val="21A0615D"/>
    <w:rsid w:val="21AE669D"/>
    <w:rsid w:val="21B9387E"/>
    <w:rsid w:val="22273399"/>
    <w:rsid w:val="224B201B"/>
    <w:rsid w:val="227468C1"/>
    <w:rsid w:val="22910E5E"/>
    <w:rsid w:val="22A22694"/>
    <w:rsid w:val="22E81E51"/>
    <w:rsid w:val="22FB035F"/>
    <w:rsid w:val="234D2500"/>
    <w:rsid w:val="23631A35"/>
    <w:rsid w:val="23655EE7"/>
    <w:rsid w:val="2375196B"/>
    <w:rsid w:val="23910A72"/>
    <w:rsid w:val="23917F36"/>
    <w:rsid w:val="23A725D3"/>
    <w:rsid w:val="23C34B32"/>
    <w:rsid w:val="240D1AE9"/>
    <w:rsid w:val="24107A5A"/>
    <w:rsid w:val="242D3236"/>
    <w:rsid w:val="24300A23"/>
    <w:rsid w:val="24961549"/>
    <w:rsid w:val="249E030F"/>
    <w:rsid w:val="249E10B9"/>
    <w:rsid w:val="24A66B40"/>
    <w:rsid w:val="24AE2E7E"/>
    <w:rsid w:val="24EC23AC"/>
    <w:rsid w:val="25556717"/>
    <w:rsid w:val="2572277A"/>
    <w:rsid w:val="25A04ED7"/>
    <w:rsid w:val="25A14B58"/>
    <w:rsid w:val="25A15355"/>
    <w:rsid w:val="25AD7536"/>
    <w:rsid w:val="25CA7A33"/>
    <w:rsid w:val="26045CC9"/>
    <w:rsid w:val="263B2E0A"/>
    <w:rsid w:val="26895A05"/>
    <w:rsid w:val="26995981"/>
    <w:rsid w:val="26DC3C68"/>
    <w:rsid w:val="27170D36"/>
    <w:rsid w:val="27175E34"/>
    <w:rsid w:val="271E664F"/>
    <w:rsid w:val="27296E28"/>
    <w:rsid w:val="27596213"/>
    <w:rsid w:val="27625DAA"/>
    <w:rsid w:val="27942637"/>
    <w:rsid w:val="279E6F6B"/>
    <w:rsid w:val="27B366D6"/>
    <w:rsid w:val="2800796B"/>
    <w:rsid w:val="28077EB4"/>
    <w:rsid w:val="28186E67"/>
    <w:rsid w:val="284F38A1"/>
    <w:rsid w:val="285F7579"/>
    <w:rsid w:val="28795EF5"/>
    <w:rsid w:val="28BF33C8"/>
    <w:rsid w:val="28C23159"/>
    <w:rsid w:val="28CE4389"/>
    <w:rsid w:val="28F42DB4"/>
    <w:rsid w:val="2917171A"/>
    <w:rsid w:val="2935357B"/>
    <w:rsid w:val="295B0D0A"/>
    <w:rsid w:val="2980775C"/>
    <w:rsid w:val="299A0D21"/>
    <w:rsid w:val="29A50A24"/>
    <w:rsid w:val="29B01C40"/>
    <w:rsid w:val="29C33577"/>
    <w:rsid w:val="29D131C4"/>
    <w:rsid w:val="2A4404F6"/>
    <w:rsid w:val="2A6F1A1A"/>
    <w:rsid w:val="2A6F7348"/>
    <w:rsid w:val="2A8B7E3A"/>
    <w:rsid w:val="2AA4131F"/>
    <w:rsid w:val="2AB24E04"/>
    <w:rsid w:val="2ABB7997"/>
    <w:rsid w:val="2AD1445C"/>
    <w:rsid w:val="2ADA7AD8"/>
    <w:rsid w:val="2B09087A"/>
    <w:rsid w:val="2B261835"/>
    <w:rsid w:val="2B49550C"/>
    <w:rsid w:val="2B696426"/>
    <w:rsid w:val="2BA508F9"/>
    <w:rsid w:val="2BB156BC"/>
    <w:rsid w:val="2BFF071B"/>
    <w:rsid w:val="2C2178AE"/>
    <w:rsid w:val="2C29642F"/>
    <w:rsid w:val="2C577E57"/>
    <w:rsid w:val="2C5936D0"/>
    <w:rsid w:val="2C6B16F0"/>
    <w:rsid w:val="2C707F46"/>
    <w:rsid w:val="2C8D6329"/>
    <w:rsid w:val="2C8E59C0"/>
    <w:rsid w:val="2CB50A49"/>
    <w:rsid w:val="2CB63198"/>
    <w:rsid w:val="2CB865A5"/>
    <w:rsid w:val="2D144733"/>
    <w:rsid w:val="2D1C121E"/>
    <w:rsid w:val="2D4B660B"/>
    <w:rsid w:val="2D646495"/>
    <w:rsid w:val="2D68270F"/>
    <w:rsid w:val="2D703A18"/>
    <w:rsid w:val="2D9C328E"/>
    <w:rsid w:val="2E1E689E"/>
    <w:rsid w:val="2E317B2C"/>
    <w:rsid w:val="2E386FCB"/>
    <w:rsid w:val="2E480528"/>
    <w:rsid w:val="2E520ACF"/>
    <w:rsid w:val="2E540772"/>
    <w:rsid w:val="2E5E39BC"/>
    <w:rsid w:val="2E6A7D67"/>
    <w:rsid w:val="2E8A18CC"/>
    <w:rsid w:val="2EB859C7"/>
    <w:rsid w:val="2F0958E6"/>
    <w:rsid w:val="2F336B62"/>
    <w:rsid w:val="2F4252DD"/>
    <w:rsid w:val="2F5C0FCA"/>
    <w:rsid w:val="2FBB2F70"/>
    <w:rsid w:val="2FBF067C"/>
    <w:rsid w:val="2FD62421"/>
    <w:rsid w:val="300264A9"/>
    <w:rsid w:val="30116EBC"/>
    <w:rsid w:val="304727C0"/>
    <w:rsid w:val="305963C3"/>
    <w:rsid w:val="30964F3A"/>
    <w:rsid w:val="30C42E4A"/>
    <w:rsid w:val="310D77B2"/>
    <w:rsid w:val="31120AE4"/>
    <w:rsid w:val="314210BD"/>
    <w:rsid w:val="3144402E"/>
    <w:rsid w:val="319573B7"/>
    <w:rsid w:val="31BF1F11"/>
    <w:rsid w:val="31C201F2"/>
    <w:rsid w:val="31C90065"/>
    <w:rsid w:val="31E60D5C"/>
    <w:rsid w:val="320D23D9"/>
    <w:rsid w:val="322434FE"/>
    <w:rsid w:val="32485077"/>
    <w:rsid w:val="32504574"/>
    <w:rsid w:val="326C7309"/>
    <w:rsid w:val="327A26AB"/>
    <w:rsid w:val="32B2364F"/>
    <w:rsid w:val="32D7589C"/>
    <w:rsid w:val="32F53C0D"/>
    <w:rsid w:val="32F846E0"/>
    <w:rsid w:val="33007CD9"/>
    <w:rsid w:val="334006EC"/>
    <w:rsid w:val="33623A27"/>
    <w:rsid w:val="339A7F03"/>
    <w:rsid w:val="341052C8"/>
    <w:rsid w:val="348002E4"/>
    <w:rsid w:val="34B81194"/>
    <w:rsid w:val="34CB2D60"/>
    <w:rsid w:val="34D900A2"/>
    <w:rsid w:val="3501345B"/>
    <w:rsid w:val="35415593"/>
    <w:rsid w:val="35483398"/>
    <w:rsid w:val="354F4117"/>
    <w:rsid w:val="3575252C"/>
    <w:rsid w:val="35C0052A"/>
    <w:rsid w:val="35C967A8"/>
    <w:rsid w:val="35D02A0B"/>
    <w:rsid w:val="35E4422F"/>
    <w:rsid w:val="35F371D2"/>
    <w:rsid w:val="35F638E3"/>
    <w:rsid w:val="36140CE4"/>
    <w:rsid w:val="36423845"/>
    <w:rsid w:val="365F6D50"/>
    <w:rsid w:val="36891E42"/>
    <w:rsid w:val="36D10C87"/>
    <w:rsid w:val="36F81836"/>
    <w:rsid w:val="371D6374"/>
    <w:rsid w:val="375A5940"/>
    <w:rsid w:val="376C3A07"/>
    <w:rsid w:val="377018EB"/>
    <w:rsid w:val="3773512E"/>
    <w:rsid w:val="377932BD"/>
    <w:rsid w:val="37906A90"/>
    <w:rsid w:val="37B05F85"/>
    <w:rsid w:val="37B118E1"/>
    <w:rsid w:val="37B77A9E"/>
    <w:rsid w:val="37C2757A"/>
    <w:rsid w:val="38523EBC"/>
    <w:rsid w:val="38553382"/>
    <w:rsid w:val="385B0C0D"/>
    <w:rsid w:val="386B367D"/>
    <w:rsid w:val="38A3672A"/>
    <w:rsid w:val="38A44BB0"/>
    <w:rsid w:val="38B069E3"/>
    <w:rsid w:val="38C47DC0"/>
    <w:rsid w:val="38D80476"/>
    <w:rsid w:val="38E10CB2"/>
    <w:rsid w:val="38F92FF3"/>
    <w:rsid w:val="391505BB"/>
    <w:rsid w:val="395E30F0"/>
    <w:rsid w:val="3A0F25FF"/>
    <w:rsid w:val="3A3E6D39"/>
    <w:rsid w:val="3A4D3EBB"/>
    <w:rsid w:val="3ABC2503"/>
    <w:rsid w:val="3AE56AD2"/>
    <w:rsid w:val="3AF57B79"/>
    <w:rsid w:val="3B126D09"/>
    <w:rsid w:val="3B4F3D26"/>
    <w:rsid w:val="3B661DC6"/>
    <w:rsid w:val="3BAA0772"/>
    <w:rsid w:val="3BDB744D"/>
    <w:rsid w:val="3C3149BA"/>
    <w:rsid w:val="3CB420A1"/>
    <w:rsid w:val="3CB503C8"/>
    <w:rsid w:val="3CEA1DFE"/>
    <w:rsid w:val="3CEB76C2"/>
    <w:rsid w:val="3CF5345A"/>
    <w:rsid w:val="3CF87251"/>
    <w:rsid w:val="3CFB51E3"/>
    <w:rsid w:val="3D6242E8"/>
    <w:rsid w:val="3D6A4CE3"/>
    <w:rsid w:val="3D8C3C7A"/>
    <w:rsid w:val="3DB5089F"/>
    <w:rsid w:val="3DDD201D"/>
    <w:rsid w:val="3E023EFB"/>
    <w:rsid w:val="3E07088E"/>
    <w:rsid w:val="3E1D0952"/>
    <w:rsid w:val="3E92745F"/>
    <w:rsid w:val="3E931703"/>
    <w:rsid w:val="3EA4526D"/>
    <w:rsid w:val="3EBB0A9B"/>
    <w:rsid w:val="3EEA3E3A"/>
    <w:rsid w:val="3F0B6538"/>
    <w:rsid w:val="3F126715"/>
    <w:rsid w:val="3F1F4B9F"/>
    <w:rsid w:val="3F2D6A8C"/>
    <w:rsid w:val="3F696F1A"/>
    <w:rsid w:val="3F7629A2"/>
    <w:rsid w:val="3F7C2A11"/>
    <w:rsid w:val="3F9B4C16"/>
    <w:rsid w:val="3FB041E4"/>
    <w:rsid w:val="3FB800A7"/>
    <w:rsid w:val="40155116"/>
    <w:rsid w:val="40214A99"/>
    <w:rsid w:val="4038168B"/>
    <w:rsid w:val="405F6D3D"/>
    <w:rsid w:val="406D690B"/>
    <w:rsid w:val="40842CA6"/>
    <w:rsid w:val="40C61DC5"/>
    <w:rsid w:val="40E87EC9"/>
    <w:rsid w:val="4115718D"/>
    <w:rsid w:val="41180465"/>
    <w:rsid w:val="412864C3"/>
    <w:rsid w:val="415B0F57"/>
    <w:rsid w:val="41BC6BD9"/>
    <w:rsid w:val="41FF434E"/>
    <w:rsid w:val="42422BBE"/>
    <w:rsid w:val="42606666"/>
    <w:rsid w:val="42677230"/>
    <w:rsid w:val="428B4C49"/>
    <w:rsid w:val="42A95E56"/>
    <w:rsid w:val="42DB7F00"/>
    <w:rsid w:val="42DF7269"/>
    <w:rsid w:val="42EE26EF"/>
    <w:rsid w:val="42FE77CE"/>
    <w:rsid w:val="430E2F1C"/>
    <w:rsid w:val="434B43BD"/>
    <w:rsid w:val="43556ACB"/>
    <w:rsid w:val="43742FF7"/>
    <w:rsid w:val="438C5C58"/>
    <w:rsid w:val="439E7CA0"/>
    <w:rsid w:val="43B43C57"/>
    <w:rsid w:val="43BE39B2"/>
    <w:rsid w:val="43CD16DB"/>
    <w:rsid w:val="43E25278"/>
    <w:rsid w:val="442E51BF"/>
    <w:rsid w:val="443006EC"/>
    <w:rsid w:val="4437270B"/>
    <w:rsid w:val="4452193B"/>
    <w:rsid w:val="445B7787"/>
    <w:rsid w:val="44BC3610"/>
    <w:rsid w:val="44C17D0F"/>
    <w:rsid w:val="44CC37E0"/>
    <w:rsid w:val="44DB2B2D"/>
    <w:rsid w:val="45264767"/>
    <w:rsid w:val="45444BB9"/>
    <w:rsid w:val="455A1C9D"/>
    <w:rsid w:val="45766C82"/>
    <w:rsid w:val="457E5B7A"/>
    <w:rsid w:val="45844175"/>
    <w:rsid w:val="459353A0"/>
    <w:rsid w:val="459E0E60"/>
    <w:rsid w:val="45D10FEC"/>
    <w:rsid w:val="45D84ACF"/>
    <w:rsid w:val="45D86F92"/>
    <w:rsid w:val="460B7798"/>
    <w:rsid w:val="461A6FC1"/>
    <w:rsid w:val="46A824E8"/>
    <w:rsid w:val="46BB4527"/>
    <w:rsid w:val="470D2182"/>
    <w:rsid w:val="473D6176"/>
    <w:rsid w:val="47661A5A"/>
    <w:rsid w:val="4777702F"/>
    <w:rsid w:val="477E685D"/>
    <w:rsid w:val="47A45765"/>
    <w:rsid w:val="47CD77C0"/>
    <w:rsid w:val="47E7021F"/>
    <w:rsid w:val="48016F78"/>
    <w:rsid w:val="48066EDF"/>
    <w:rsid w:val="48066FF9"/>
    <w:rsid w:val="48145F98"/>
    <w:rsid w:val="483C1B6F"/>
    <w:rsid w:val="483E39F6"/>
    <w:rsid w:val="484262F4"/>
    <w:rsid w:val="484B1417"/>
    <w:rsid w:val="486A6177"/>
    <w:rsid w:val="487F2935"/>
    <w:rsid w:val="48A004E2"/>
    <w:rsid w:val="48C74A7E"/>
    <w:rsid w:val="48F00552"/>
    <w:rsid w:val="49127CB6"/>
    <w:rsid w:val="492E3CA1"/>
    <w:rsid w:val="49B47D7B"/>
    <w:rsid w:val="4A383EAC"/>
    <w:rsid w:val="4A4B229D"/>
    <w:rsid w:val="4AE77B61"/>
    <w:rsid w:val="4AF21CFE"/>
    <w:rsid w:val="4AF8168D"/>
    <w:rsid w:val="4AFD23BB"/>
    <w:rsid w:val="4B1600F4"/>
    <w:rsid w:val="4B1E6235"/>
    <w:rsid w:val="4B282B3C"/>
    <w:rsid w:val="4B4734B2"/>
    <w:rsid w:val="4B5B7B05"/>
    <w:rsid w:val="4B7F4C6C"/>
    <w:rsid w:val="4B827D40"/>
    <w:rsid w:val="4B952FC1"/>
    <w:rsid w:val="4BA03241"/>
    <w:rsid w:val="4BF24193"/>
    <w:rsid w:val="4C233E12"/>
    <w:rsid w:val="4C555DD8"/>
    <w:rsid w:val="4C5D455E"/>
    <w:rsid w:val="4C623167"/>
    <w:rsid w:val="4C955006"/>
    <w:rsid w:val="4CA71B47"/>
    <w:rsid w:val="4CBB1051"/>
    <w:rsid w:val="4CC05148"/>
    <w:rsid w:val="4CD6583B"/>
    <w:rsid w:val="4D1B43E5"/>
    <w:rsid w:val="4D1D3412"/>
    <w:rsid w:val="4D25635E"/>
    <w:rsid w:val="4D3325E1"/>
    <w:rsid w:val="4D394FDF"/>
    <w:rsid w:val="4D4768DE"/>
    <w:rsid w:val="4D4A1023"/>
    <w:rsid w:val="4D6806C9"/>
    <w:rsid w:val="4DB30FD2"/>
    <w:rsid w:val="4DC14918"/>
    <w:rsid w:val="4DC84F16"/>
    <w:rsid w:val="4DE97220"/>
    <w:rsid w:val="4E470D71"/>
    <w:rsid w:val="4E6C19F0"/>
    <w:rsid w:val="4EA92836"/>
    <w:rsid w:val="4EB3149A"/>
    <w:rsid w:val="4EE0713C"/>
    <w:rsid w:val="4F4A54C2"/>
    <w:rsid w:val="4F857423"/>
    <w:rsid w:val="4F8F6EC1"/>
    <w:rsid w:val="4F9F1B0F"/>
    <w:rsid w:val="4FB57559"/>
    <w:rsid w:val="4FB8061F"/>
    <w:rsid w:val="4FCB2E18"/>
    <w:rsid w:val="50134B6A"/>
    <w:rsid w:val="50C76B0C"/>
    <w:rsid w:val="512161F7"/>
    <w:rsid w:val="51462C4B"/>
    <w:rsid w:val="515D34D4"/>
    <w:rsid w:val="516E6CAD"/>
    <w:rsid w:val="518F4BE7"/>
    <w:rsid w:val="51F03093"/>
    <w:rsid w:val="52407C56"/>
    <w:rsid w:val="52472684"/>
    <w:rsid w:val="5266714D"/>
    <w:rsid w:val="52913A78"/>
    <w:rsid w:val="52C11D9C"/>
    <w:rsid w:val="52D40E5F"/>
    <w:rsid w:val="52D727A3"/>
    <w:rsid w:val="52DC5286"/>
    <w:rsid w:val="530049A0"/>
    <w:rsid w:val="53302336"/>
    <w:rsid w:val="533F2F88"/>
    <w:rsid w:val="5342736C"/>
    <w:rsid w:val="53440C26"/>
    <w:rsid w:val="5351325D"/>
    <w:rsid w:val="53601246"/>
    <w:rsid w:val="536B1B33"/>
    <w:rsid w:val="538A1BC8"/>
    <w:rsid w:val="53A01EBE"/>
    <w:rsid w:val="53BA125B"/>
    <w:rsid w:val="53C33499"/>
    <w:rsid w:val="53F37899"/>
    <w:rsid w:val="541B6113"/>
    <w:rsid w:val="54363E9E"/>
    <w:rsid w:val="5480581A"/>
    <w:rsid w:val="54835873"/>
    <w:rsid w:val="54861C7B"/>
    <w:rsid w:val="54867CA8"/>
    <w:rsid w:val="548A2E87"/>
    <w:rsid w:val="548A3A2A"/>
    <w:rsid w:val="549E3FD5"/>
    <w:rsid w:val="549F3358"/>
    <w:rsid w:val="54AD37C7"/>
    <w:rsid w:val="54CE40BF"/>
    <w:rsid w:val="54E04BDE"/>
    <w:rsid w:val="54EE2F43"/>
    <w:rsid w:val="54FF4642"/>
    <w:rsid w:val="552E4011"/>
    <w:rsid w:val="55405A74"/>
    <w:rsid w:val="5549466F"/>
    <w:rsid w:val="555D7BCF"/>
    <w:rsid w:val="556E7FB9"/>
    <w:rsid w:val="557F67C9"/>
    <w:rsid w:val="55A32E00"/>
    <w:rsid w:val="55AA379C"/>
    <w:rsid w:val="55BC1F68"/>
    <w:rsid w:val="55CB6DA3"/>
    <w:rsid w:val="56350580"/>
    <w:rsid w:val="567B3662"/>
    <w:rsid w:val="567B64D2"/>
    <w:rsid w:val="568E64EA"/>
    <w:rsid w:val="569A1209"/>
    <w:rsid w:val="56CA778A"/>
    <w:rsid w:val="56CD19CD"/>
    <w:rsid w:val="57307507"/>
    <w:rsid w:val="5744467E"/>
    <w:rsid w:val="576B57E4"/>
    <w:rsid w:val="576F1F99"/>
    <w:rsid w:val="57AA7D00"/>
    <w:rsid w:val="58105E52"/>
    <w:rsid w:val="581F7E04"/>
    <w:rsid w:val="583F612C"/>
    <w:rsid w:val="584A41F8"/>
    <w:rsid w:val="586955BC"/>
    <w:rsid w:val="586F5D67"/>
    <w:rsid w:val="5871787F"/>
    <w:rsid w:val="58764F9D"/>
    <w:rsid w:val="588000AE"/>
    <w:rsid w:val="58806C6C"/>
    <w:rsid w:val="58881D82"/>
    <w:rsid w:val="589B50CA"/>
    <w:rsid w:val="58E01BC6"/>
    <w:rsid w:val="58FD18B9"/>
    <w:rsid w:val="592956FB"/>
    <w:rsid w:val="593341A8"/>
    <w:rsid w:val="5947066D"/>
    <w:rsid w:val="59522203"/>
    <w:rsid w:val="595C3B79"/>
    <w:rsid w:val="596C4B3A"/>
    <w:rsid w:val="59AD050E"/>
    <w:rsid w:val="59D97406"/>
    <w:rsid w:val="59DB0529"/>
    <w:rsid w:val="59EE1605"/>
    <w:rsid w:val="59F20A8D"/>
    <w:rsid w:val="5A3957E9"/>
    <w:rsid w:val="5A5836E3"/>
    <w:rsid w:val="5A5C3334"/>
    <w:rsid w:val="5A8E05A9"/>
    <w:rsid w:val="5AB86732"/>
    <w:rsid w:val="5B1E28BA"/>
    <w:rsid w:val="5B2A7A2E"/>
    <w:rsid w:val="5B3A7850"/>
    <w:rsid w:val="5B473EEB"/>
    <w:rsid w:val="5B5E7533"/>
    <w:rsid w:val="5B901046"/>
    <w:rsid w:val="5B9C7559"/>
    <w:rsid w:val="5BD57FCD"/>
    <w:rsid w:val="5C4111B4"/>
    <w:rsid w:val="5C675A64"/>
    <w:rsid w:val="5C82259C"/>
    <w:rsid w:val="5C955469"/>
    <w:rsid w:val="5C9C67FE"/>
    <w:rsid w:val="5CA644DC"/>
    <w:rsid w:val="5CC62B7E"/>
    <w:rsid w:val="5D2E7A7F"/>
    <w:rsid w:val="5D4E389D"/>
    <w:rsid w:val="5D4F6933"/>
    <w:rsid w:val="5D583A16"/>
    <w:rsid w:val="5D61677D"/>
    <w:rsid w:val="5D662EF9"/>
    <w:rsid w:val="5D713D3A"/>
    <w:rsid w:val="5D8015F0"/>
    <w:rsid w:val="5D8E69F0"/>
    <w:rsid w:val="5D943B0E"/>
    <w:rsid w:val="5DED7311"/>
    <w:rsid w:val="5DFA216D"/>
    <w:rsid w:val="5E006328"/>
    <w:rsid w:val="5E26561F"/>
    <w:rsid w:val="5E3A0111"/>
    <w:rsid w:val="5E3A232E"/>
    <w:rsid w:val="5E4577B4"/>
    <w:rsid w:val="5E733E0D"/>
    <w:rsid w:val="5EA001F6"/>
    <w:rsid w:val="5EA95C14"/>
    <w:rsid w:val="5ED00A89"/>
    <w:rsid w:val="5F3A67B5"/>
    <w:rsid w:val="5F4751EB"/>
    <w:rsid w:val="5F76133C"/>
    <w:rsid w:val="5FA17EAC"/>
    <w:rsid w:val="5FA543A3"/>
    <w:rsid w:val="5FD33C23"/>
    <w:rsid w:val="5FFB4582"/>
    <w:rsid w:val="6011196C"/>
    <w:rsid w:val="605B375A"/>
    <w:rsid w:val="605B5364"/>
    <w:rsid w:val="606102A9"/>
    <w:rsid w:val="607B4EE9"/>
    <w:rsid w:val="607B6BE6"/>
    <w:rsid w:val="60A206C0"/>
    <w:rsid w:val="60EA0B65"/>
    <w:rsid w:val="60F00DC9"/>
    <w:rsid w:val="60FA6B02"/>
    <w:rsid w:val="61110403"/>
    <w:rsid w:val="61272A27"/>
    <w:rsid w:val="61462568"/>
    <w:rsid w:val="616458A3"/>
    <w:rsid w:val="616967E0"/>
    <w:rsid w:val="61C017C6"/>
    <w:rsid w:val="62020347"/>
    <w:rsid w:val="62060E30"/>
    <w:rsid w:val="62161768"/>
    <w:rsid w:val="625673BA"/>
    <w:rsid w:val="626B762E"/>
    <w:rsid w:val="627346DE"/>
    <w:rsid w:val="629F3DF2"/>
    <w:rsid w:val="62AC1810"/>
    <w:rsid w:val="62EA1500"/>
    <w:rsid w:val="6356070F"/>
    <w:rsid w:val="63565F76"/>
    <w:rsid w:val="635B7F24"/>
    <w:rsid w:val="63665704"/>
    <w:rsid w:val="63697B5E"/>
    <w:rsid w:val="637D2608"/>
    <w:rsid w:val="63880A3A"/>
    <w:rsid w:val="63A86BDB"/>
    <w:rsid w:val="63B25DE8"/>
    <w:rsid w:val="63B53743"/>
    <w:rsid w:val="63B764E8"/>
    <w:rsid w:val="63C33BC6"/>
    <w:rsid w:val="63C81FB5"/>
    <w:rsid w:val="63E70E85"/>
    <w:rsid w:val="645C2367"/>
    <w:rsid w:val="646D393A"/>
    <w:rsid w:val="647C543D"/>
    <w:rsid w:val="649B6C81"/>
    <w:rsid w:val="64B572BD"/>
    <w:rsid w:val="64BD6867"/>
    <w:rsid w:val="64C03C61"/>
    <w:rsid w:val="64D47230"/>
    <w:rsid w:val="65191532"/>
    <w:rsid w:val="65276836"/>
    <w:rsid w:val="653D51AD"/>
    <w:rsid w:val="65635F88"/>
    <w:rsid w:val="6578553A"/>
    <w:rsid w:val="657B3100"/>
    <w:rsid w:val="65876D1F"/>
    <w:rsid w:val="659901FA"/>
    <w:rsid w:val="65AB2953"/>
    <w:rsid w:val="65B13F40"/>
    <w:rsid w:val="65B17DA1"/>
    <w:rsid w:val="65DF5F4B"/>
    <w:rsid w:val="65F2052C"/>
    <w:rsid w:val="660006F3"/>
    <w:rsid w:val="6607290F"/>
    <w:rsid w:val="661B1495"/>
    <w:rsid w:val="661B77D9"/>
    <w:rsid w:val="66292447"/>
    <w:rsid w:val="668A3A00"/>
    <w:rsid w:val="668F10D1"/>
    <w:rsid w:val="66972ED0"/>
    <w:rsid w:val="66BC3A20"/>
    <w:rsid w:val="66D640C2"/>
    <w:rsid w:val="66F7726F"/>
    <w:rsid w:val="66FA7514"/>
    <w:rsid w:val="66FA7642"/>
    <w:rsid w:val="67083A62"/>
    <w:rsid w:val="67206C39"/>
    <w:rsid w:val="672568F4"/>
    <w:rsid w:val="672F6033"/>
    <w:rsid w:val="6771101B"/>
    <w:rsid w:val="67B049D1"/>
    <w:rsid w:val="67BF1672"/>
    <w:rsid w:val="67D738E4"/>
    <w:rsid w:val="67DA1CCA"/>
    <w:rsid w:val="67F52814"/>
    <w:rsid w:val="67FC7777"/>
    <w:rsid w:val="67FF5506"/>
    <w:rsid w:val="680E38D1"/>
    <w:rsid w:val="684D7D24"/>
    <w:rsid w:val="686E1563"/>
    <w:rsid w:val="68B65AA7"/>
    <w:rsid w:val="68C446DF"/>
    <w:rsid w:val="68CA0D12"/>
    <w:rsid w:val="68DB72BC"/>
    <w:rsid w:val="68E6485F"/>
    <w:rsid w:val="68F27F54"/>
    <w:rsid w:val="68FC084B"/>
    <w:rsid w:val="69086624"/>
    <w:rsid w:val="690A594E"/>
    <w:rsid w:val="690C2899"/>
    <w:rsid w:val="69143B4D"/>
    <w:rsid w:val="69176B88"/>
    <w:rsid w:val="693764BC"/>
    <w:rsid w:val="695F52E7"/>
    <w:rsid w:val="69A36DCA"/>
    <w:rsid w:val="69B57EAE"/>
    <w:rsid w:val="69CB087D"/>
    <w:rsid w:val="6A560FA0"/>
    <w:rsid w:val="6A906318"/>
    <w:rsid w:val="6A9431FC"/>
    <w:rsid w:val="6ADB6CEB"/>
    <w:rsid w:val="6AE45BE9"/>
    <w:rsid w:val="6B505295"/>
    <w:rsid w:val="6B746078"/>
    <w:rsid w:val="6B7B25AA"/>
    <w:rsid w:val="6B840FE7"/>
    <w:rsid w:val="6BAD0566"/>
    <w:rsid w:val="6BCC7014"/>
    <w:rsid w:val="6C003EA1"/>
    <w:rsid w:val="6C007D43"/>
    <w:rsid w:val="6C135BB1"/>
    <w:rsid w:val="6C247609"/>
    <w:rsid w:val="6C4B7E16"/>
    <w:rsid w:val="6C794640"/>
    <w:rsid w:val="6C8C6B1F"/>
    <w:rsid w:val="6CA5417C"/>
    <w:rsid w:val="6CAB6BE5"/>
    <w:rsid w:val="6CD3287E"/>
    <w:rsid w:val="6CF260F1"/>
    <w:rsid w:val="6D301BAD"/>
    <w:rsid w:val="6DB233ED"/>
    <w:rsid w:val="6DE317C2"/>
    <w:rsid w:val="6E08699C"/>
    <w:rsid w:val="6E2378FE"/>
    <w:rsid w:val="6E414065"/>
    <w:rsid w:val="6E56697D"/>
    <w:rsid w:val="6E6201F2"/>
    <w:rsid w:val="6E8F4898"/>
    <w:rsid w:val="6E901F8A"/>
    <w:rsid w:val="6EAB22CE"/>
    <w:rsid w:val="6F4354CE"/>
    <w:rsid w:val="6F464217"/>
    <w:rsid w:val="6F4F4E0B"/>
    <w:rsid w:val="6F6162B7"/>
    <w:rsid w:val="6F7E560D"/>
    <w:rsid w:val="6F815608"/>
    <w:rsid w:val="6FB3153E"/>
    <w:rsid w:val="6FD6416B"/>
    <w:rsid w:val="701D01BA"/>
    <w:rsid w:val="703017A5"/>
    <w:rsid w:val="70395BC4"/>
    <w:rsid w:val="70655736"/>
    <w:rsid w:val="70861F04"/>
    <w:rsid w:val="70E74003"/>
    <w:rsid w:val="710B31B5"/>
    <w:rsid w:val="7117297F"/>
    <w:rsid w:val="713E1946"/>
    <w:rsid w:val="71507CEB"/>
    <w:rsid w:val="71A74D60"/>
    <w:rsid w:val="71E146E6"/>
    <w:rsid w:val="71F421E0"/>
    <w:rsid w:val="71F75FD4"/>
    <w:rsid w:val="72116E6A"/>
    <w:rsid w:val="721274C3"/>
    <w:rsid w:val="7214119D"/>
    <w:rsid w:val="723008C6"/>
    <w:rsid w:val="723603ED"/>
    <w:rsid w:val="72443961"/>
    <w:rsid w:val="7294750C"/>
    <w:rsid w:val="72CA2DF4"/>
    <w:rsid w:val="72D255E4"/>
    <w:rsid w:val="73114ADC"/>
    <w:rsid w:val="73241213"/>
    <w:rsid w:val="73283C8A"/>
    <w:rsid w:val="73411B46"/>
    <w:rsid w:val="73555EBD"/>
    <w:rsid w:val="73667253"/>
    <w:rsid w:val="73773408"/>
    <w:rsid w:val="7384031E"/>
    <w:rsid w:val="73906D18"/>
    <w:rsid w:val="73AC2616"/>
    <w:rsid w:val="73B00753"/>
    <w:rsid w:val="73B21799"/>
    <w:rsid w:val="73C250E5"/>
    <w:rsid w:val="73C30F3E"/>
    <w:rsid w:val="73D2004D"/>
    <w:rsid w:val="73FB212A"/>
    <w:rsid w:val="742D3647"/>
    <w:rsid w:val="743457F2"/>
    <w:rsid w:val="7499301C"/>
    <w:rsid w:val="74E20AE9"/>
    <w:rsid w:val="74FB219B"/>
    <w:rsid w:val="74FF76E6"/>
    <w:rsid w:val="75775463"/>
    <w:rsid w:val="75827013"/>
    <w:rsid w:val="75A90742"/>
    <w:rsid w:val="75AD094C"/>
    <w:rsid w:val="75C24773"/>
    <w:rsid w:val="7605447D"/>
    <w:rsid w:val="762336BA"/>
    <w:rsid w:val="763C67DD"/>
    <w:rsid w:val="76466139"/>
    <w:rsid w:val="764C77FE"/>
    <w:rsid w:val="764D1D1E"/>
    <w:rsid w:val="767F51D5"/>
    <w:rsid w:val="768261E9"/>
    <w:rsid w:val="76D34653"/>
    <w:rsid w:val="76E401F8"/>
    <w:rsid w:val="76F96D50"/>
    <w:rsid w:val="77012372"/>
    <w:rsid w:val="773B311F"/>
    <w:rsid w:val="77423548"/>
    <w:rsid w:val="7767120C"/>
    <w:rsid w:val="776B0E8C"/>
    <w:rsid w:val="779414D2"/>
    <w:rsid w:val="77B90424"/>
    <w:rsid w:val="77CE4923"/>
    <w:rsid w:val="77D475DD"/>
    <w:rsid w:val="77DE7CDE"/>
    <w:rsid w:val="77E14103"/>
    <w:rsid w:val="77EC31E5"/>
    <w:rsid w:val="7829560E"/>
    <w:rsid w:val="784F4642"/>
    <w:rsid w:val="78630824"/>
    <w:rsid w:val="788E7928"/>
    <w:rsid w:val="78AE6561"/>
    <w:rsid w:val="78E9195F"/>
    <w:rsid w:val="78F826AB"/>
    <w:rsid w:val="792F023E"/>
    <w:rsid w:val="79453590"/>
    <w:rsid w:val="794B0CEA"/>
    <w:rsid w:val="798305E2"/>
    <w:rsid w:val="798B293D"/>
    <w:rsid w:val="79AF2C61"/>
    <w:rsid w:val="79B6174E"/>
    <w:rsid w:val="79BB15A5"/>
    <w:rsid w:val="79BC4EE7"/>
    <w:rsid w:val="79C7156E"/>
    <w:rsid w:val="79CA39A8"/>
    <w:rsid w:val="79CB1758"/>
    <w:rsid w:val="79E87392"/>
    <w:rsid w:val="79E979EF"/>
    <w:rsid w:val="7A06722C"/>
    <w:rsid w:val="7A2A65F3"/>
    <w:rsid w:val="7A6129B9"/>
    <w:rsid w:val="7A6676D6"/>
    <w:rsid w:val="7A78020D"/>
    <w:rsid w:val="7A7E2784"/>
    <w:rsid w:val="7A964D1B"/>
    <w:rsid w:val="7AC64793"/>
    <w:rsid w:val="7ADC1D9C"/>
    <w:rsid w:val="7B333023"/>
    <w:rsid w:val="7B4545CE"/>
    <w:rsid w:val="7B66335D"/>
    <w:rsid w:val="7B6745AB"/>
    <w:rsid w:val="7B683586"/>
    <w:rsid w:val="7B711D02"/>
    <w:rsid w:val="7B7D15A9"/>
    <w:rsid w:val="7BAC1B14"/>
    <w:rsid w:val="7BC0677E"/>
    <w:rsid w:val="7BE44D4F"/>
    <w:rsid w:val="7BE927D0"/>
    <w:rsid w:val="7C38272A"/>
    <w:rsid w:val="7C585349"/>
    <w:rsid w:val="7C613B24"/>
    <w:rsid w:val="7C7335F0"/>
    <w:rsid w:val="7C873C54"/>
    <w:rsid w:val="7C935AC9"/>
    <w:rsid w:val="7CBA7525"/>
    <w:rsid w:val="7CD26441"/>
    <w:rsid w:val="7D2B7D09"/>
    <w:rsid w:val="7D39180E"/>
    <w:rsid w:val="7D461984"/>
    <w:rsid w:val="7D5F6F30"/>
    <w:rsid w:val="7D626F3C"/>
    <w:rsid w:val="7D814EB5"/>
    <w:rsid w:val="7D902D35"/>
    <w:rsid w:val="7DA708C8"/>
    <w:rsid w:val="7DEB588B"/>
    <w:rsid w:val="7DF82266"/>
    <w:rsid w:val="7E1F72CA"/>
    <w:rsid w:val="7E374E4F"/>
    <w:rsid w:val="7E7476EE"/>
    <w:rsid w:val="7E9F0308"/>
    <w:rsid w:val="7EA77660"/>
    <w:rsid w:val="7EA96C28"/>
    <w:rsid w:val="7EAC6CF2"/>
    <w:rsid w:val="7EC23DC7"/>
    <w:rsid w:val="7EEC6DDB"/>
    <w:rsid w:val="7EF319E8"/>
    <w:rsid w:val="7F192E0E"/>
    <w:rsid w:val="7F4778FC"/>
    <w:rsid w:val="7F7435D0"/>
    <w:rsid w:val="7FAD7FB4"/>
    <w:rsid w:val="7FBD2280"/>
    <w:rsid w:val="7FE94C01"/>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iPriority="39"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before="120" w:after="120" w:line="360" w:lineRule="auto"/>
      <w:ind w:firstLine="200" w:firstLineChars="200"/>
    </w:pPr>
    <w:rPr>
      <w:rFonts w:ascii="Times New Roman" w:hAnsi="Times New Roman" w:eastAsia="仿宋" w:cs="Times New Roman"/>
      <w:kern w:val="2"/>
      <w:sz w:val="28"/>
      <w:szCs w:val="22"/>
      <w:lang w:val="en-US" w:eastAsia="zh-CN" w:bidi="ar-SA"/>
    </w:rPr>
  </w:style>
  <w:style w:type="paragraph" w:styleId="2">
    <w:name w:val="heading 1"/>
    <w:next w:val="1"/>
    <w:link w:val="26"/>
    <w:autoRedefine/>
    <w:qFormat/>
    <w:uiPriority w:val="9"/>
    <w:pPr>
      <w:keepNext/>
      <w:keepLines/>
      <w:spacing w:before="120" w:after="120"/>
      <w:ind w:left="420" w:hanging="420"/>
      <w:outlineLvl w:val="0"/>
    </w:pPr>
    <w:rPr>
      <w:rFonts w:ascii="Times New Roman" w:hAnsi="Times New Roman" w:eastAsia="黑体" w:cs="Times New Roman"/>
      <w:bCs/>
      <w:kern w:val="44"/>
      <w:sz w:val="32"/>
      <w:szCs w:val="44"/>
      <w:lang w:val="en-US" w:eastAsia="zh-CN" w:bidi="ar-SA"/>
    </w:rPr>
  </w:style>
  <w:style w:type="paragraph" w:styleId="3">
    <w:name w:val="heading 2"/>
    <w:basedOn w:val="1"/>
    <w:next w:val="1"/>
    <w:link w:val="27"/>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8"/>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6"/>
    <w:autoRedefine/>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0">
    <w:name w:val="Default Paragraph Font"/>
    <w:autoRedefine/>
    <w:semiHidden/>
    <w:unhideWhenUsed/>
    <w:qFormat/>
    <w:uiPriority w:val="1"/>
  </w:style>
  <w:style w:type="table" w:default="1" w:styleId="18">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semiHidden/>
    <w:unhideWhenUsed/>
    <w:qFormat/>
    <w:uiPriority w:val="35"/>
    <w:rPr>
      <w:rFonts w:ascii="Arial" w:hAnsi="Arial" w:eastAsia="黑体"/>
      <w:sz w:val="20"/>
    </w:rPr>
  </w:style>
  <w:style w:type="paragraph" w:styleId="7">
    <w:name w:val="annotation text"/>
    <w:basedOn w:val="1"/>
    <w:link w:val="34"/>
    <w:autoRedefine/>
    <w:unhideWhenUsed/>
    <w:qFormat/>
    <w:uiPriority w:val="99"/>
  </w:style>
  <w:style w:type="paragraph" w:styleId="8">
    <w:name w:val="Body Text"/>
    <w:basedOn w:val="1"/>
    <w:next w:val="9"/>
    <w:qFormat/>
    <w:uiPriority w:val="1"/>
    <w:pPr>
      <w:autoSpaceDE w:val="0"/>
      <w:autoSpaceDN w:val="0"/>
      <w:spacing w:after="120" w:afterLines="50" w:line="360" w:lineRule="auto"/>
      <w:ind w:firstLine="560" w:firstLineChars="200"/>
    </w:pPr>
    <w:rPr>
      <w:rFonts w:eastAsia="宋体" w:cs="宋体"/>
      <w:kern w:val="0"/>
      <w:szCs w:val="28"/>
      <w:lang w:eastAsia="en-US"/>
    </w:rPr>
  </w:style>
  <w:style w:type="paragraph" w:styleId="9">
    <w:name w:val="toc 5"/>
    <w:basedOn w:val="1"/>
    <w:next w:val="1"/>
    <w:unhideWhenUsed/>
    <w:qFormat/>
    <w:uiPriority w:val="39"/>
    <w:pPr>
      <w:ind w:left="1680" w:leftChars="800"/>
    </w:pPr>
  </w:style>
  <w:style w:type="paragraph" w:styleId="10">
    <w:name w:val="toc 3"/>
    <w:basedOn w:val="1"/>
    <w:next w:val="1"/>
    <w:autoRedefine/>
    <w:unhideWhenUsed/>
    <w:qFormat/>
    <w:uiPriority w:val="39"/>
    <w:pPr>
      <w:ind w:left="840" w:leftChars="400"/>
    </w:pPr>
  </w:style>
  <w:style w:type="paragraph" w:styleId="11">
    <w:name w:val="Balloon Text"/>
    <w:basedOn w:val="1"/>
    <w:link w:val="35"/>
    <w:autoRedefine/>
    <w:unhideWhenUsed/>
    <w:qFormat/>
    <w:uiPriority w:val="99"/>
    <w:pPr>
      <w:spacing w:before="0" w:after="0" w:line="240" w:lineRule="auto"/>
    </w:pPr>
    <w:rPr>
      <w:sz w:val="18"/>
      <w:szCs w:val="18"/>
    </w:rPr>
  </w:style>
  <w:style w:type="paragraph" w:styleId="12">
    <w:name w:val="footer"/>
    <w:basedOn w:val="1"/>
    <w:link w:val="32"/>
    <w:autoRedefine/>
    <w:unhideWhenUsed/>
    <w:qFormat/>
    <w:uiPriority w:val="99"/>
    <w:pPr>
      <w:tabs>
        <w:tab w:val="center" w:pos="4153"/>
        <w:tab w:val="right" w:pos="8306"/>
      </w:tabs>
      <w:snapToGrid w:val="0"/>
      <w:spacing w:line="240" w:lineRule="auto"/>
    </w:pPr>
    <w:rPr>
      <w:sz w:val="18"/>
      <w:szCs w:val="18"/>
    </w:rPr>
  </w:style>
  <w:style w:type="paragraph" w:styleId="13">
    <w:name w:val="header"/>
    <w:basedOn w:val="1"/>
    <w:link w:val="31"/>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autoRedefine/>
    <w:unhideWhenUsed/>
    <w:qFormat/>
    <w:uiPriority w:val="39"/>
  </w:style>
  <w:style w:type="paragraph" w:styleId="15">
    <w:name w:val="toc 2"/>
    <w:basedOn w:val="1"/>
    <w:next w:val="1"/>
    <w:autoRedefine/>
    <w:unhideWhenUsed/>
    <w:qFormat/>
    <w:uiPriority w:val="39"/>
    <w:pPr>
      <w:ind w:left="420" w:leftChars="200"/>
    </w:pPr>
  </w:style>
  <w:style w:type="paragraph" w:styleId="16">
    <w:name w:val="Normal (Web)"/>
    <w:basedOn w:val="1"/>
    <w:autoRedefine/>
    <w:qFormat/>
    <w:uiPriority w:val="0"/>
    <w:pPr>
      <w:spacing w:before="0" w:beforeAutospacing="1" w:after="0" w:afterAutospacing="1"/>
    </w:pPr>
    <w:rPr>
      <w:kern w:val="0"/>
      <w:sz w:val="24"/>
    </w:rPr>
  </w:style>
  <w:style w:type="paragraph" w:styleId="17">
    <w:name w:val="annotation subject"/>
    <w:basedOn w:val="7"/>
    <w:next w:val="7"/>
    <w:link w:val="36"/>
    <w:autoRedefine/>
    <w:unhideWhenUsed/>
    <w:qFormat/>
    <w:uiPriority w:val="99"/>
    <w:rPr>
      <w:b/>
      <w:bCs/>
    </w:rPr>
  </w:style>
  <w:style w:type="table" w:styleId="19">
    <w:name w:val="Table Grid"/>
    <w:basedOn w:val="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autoRedefine/>
    <w:qFormat/>
    <w:uiPriority w:val="0"/>
    <w:rPr>
      <w:b/>
    </w:rPr>
  </w:style>
  <w:style w:type="character" w:styleId="22">
    <w:name w:val="Emphasis"/>
    <w:basedOn w:val="20"/>
    <w:autoRedefine/>
    <w:qFormat/>
    <w:uiPriority w:val="20"/>
    <w:rPr>
      <w:i/>
      <w:iCs/>
    </w:rPr>
  </w:style>
  <w:style w:type="character" w:styleId="23">
    <w:name w:val="Hyperlink"/>
    <w:basedOn w:val="20"/>
    <w:autoRedefine/>
    <w:unhideWhenUsed/>
    <w:qFormat/>
    <w:uiPriority w:val="99"/>
    <w:rPr>
      <w:color w:val="0563C1" w:themeColor="hyperlink"/>
      <w:u w:val="single"/>
      <w14:textFill>
        <w14:solidFill>
          <w14:schemeClr w14:val="hlink"/>
        </w14:solidFill>
      </w14:textFill>
    </w:rPr>
  </w:style>
  <w:style w:type="character" w:styleId="24">
    <w:name w:val="annotation reference"/>
    <w:autoRedefine/>
    <w:unhideWhenUsed/>
    <w:qFormat/>
    <w:uiPriority w:val="99"/>
    <w:rPr>
      <w:sz w:val="21"/>
      <w:szCs w:val="21"/>
    </w:rPr>
  </w:style>
  <w:style w:type="character" w:customStyle="1" w:styleId="25">
    <w:name w:val="标题 1 Char"/>
    <w:basedOn w:val="20"/>
    <w:autoRedefine/>
    <w:qFormat/>
    <w:uiPriority w:val="9"/>
    <w:rPr>
      <w:rFonts w:ascii="Times New Roman" w:hAnsi="Times New Roman" w:eastAsia="仿宋" w:cs="Times New Roman"/>
      <w:b/>
      <w:bCs/>
      <w:kern w:val="44"/>
      <w:sz w:val="44"/>
      <w:szCs w:val="44"/>
    </w:rPr>
  </w:style>
  <w:style w:type="character" w:customStyle="1" w:styleId="26">
    <w:name w:val="标题 1 字符"/>
    <w:link w:val="2"/>
    <w:autoRedefine/>
    <w:qFormat/>
    <w:uiPriority w:val="9"/>
    <w:rPr>
      <w:rFonts w:ascii="Times New Roman" w:hAnsi="Times New Roman" w:eastAsia="黑体" w:cs="Times New Roman"/>
      <w:bCs/>
      <w:kern w:val="44"/>
      <w:sz w:val="32"/>
      <w:szCs w:val="44"/>
    </w:rPr>
  </w:style>
  <w:style w:type="character" w:customStyle="1" w:styleId="27">
    <w:name w:val="标题 2 字符1"/>
    <w:basedOn w:val="20"/>
    <w:link w:val="3"/>
    <w:autoRedefine/>
    <w:semiHidden/>
    <w:qFormat/>
    <w:uiPriority w:val="9"/>
    <w:rPr>
      <w:rFonts w:asciiTheme="majorHAnsi" w:hAnsiTheme="majorHAnsi" w:eastAsiaTheme="majorEastAsia" w:cstheme="majorBidi"/>
      <w:b/>
      <w:bCs/>
      <w:sz w:val="32"/>
      <w:szCs w:val="32"/>
    </w:rPr>
  </w:style>
  <w:style w:type="character" w:customStyle="1" w:styleId="28">
    <w:name w:val="标题 3 字符1"/>
    <w:basedOn w:val="20"/>
    <w:link w:val="4"/>
    <w:autoRedefine/>
    <w:qFormat/>
    <w:uiPriority w:val="9"/>
    <w:rPr>
      <w:rFonts w:ascii="Times New Roman" w:hAnsi="Times New Roman" w:eastAsia="仿宋" w:cs="Times New Roman"/>
      <w:b/>
      <w:bCs/>
      <w:sz w:val="32"/>
      <w:szCs w:val="32"/>
    </w:rPr>
  </w:style>
  <w:style w:type="character" w:customStyle="1" w:styleId="29">
    <w:name w:val="标题 2 字符"/>
    <w:autoRedefine/>
    <w:qFormat/>
    <w:uiPriority w:val="9"/>
    <w:rPr>
      <w:rFonts w:ascii="Calibri Light" w:hAnsi="Calibri Light" w:eastAsia="楷体"/>
      <w:b/>
      <w:bCs/>
      <w:kern w:val="2"/>
      <w:sz w:val="32"/>
      <w:szCs w:val="32"/>
    </w:rPr>
  </w:style>
  <w:style w:type="character" w:customStyle="1" w:styleId="30">
    <w:name w:val="标题 3 字符"/>
    <w:autoRedefine/>
    <w:qFormat/>
    <w:uiPriority w:val="9"/>
    <w:rPr>
      <w:rFonts w:eastAsia="仿宋"/>
      <w:b/>
      <w:bCs/>
      <w:kern w:val="2"/>
      <w:sz w:val="28"/>
      <w:szCs w:val="32"/>
    </w:rPr>
  </w:style>
  <w:style w:type="character" w:customStyle="1" w:styleId="31">
    <w:name w:val="页眉 字符"/>
    <w:basedOn w:val="20"/>
    <w:link w:val="13"/>
    <w:autoRedefine/>
    <w:qFormat/>
    <w:uiPriority w:val="99"/>
    <w:rPr>
      <w:rFonts w:ascii="Times New Roman" w:hAnsi="Times New Roman" w:eastAsia="仿宋" w:cs="Times New Roman"/>
      <w:sz w:val="18"/>
      <w:szCs w:val="18"/>
    </w:rPr>
  </w:style>
  <w:style w:type="character" w:customStyle="1" w:styleId="32">
    <w:name w:val="页脚 字符"/>
    <w:basedOn w:val="20"/>
    <w:link w:val="12"/>
    <w:autoRedefine/>
    <w:qFormat/>
    <w:uiPriority w:val="99"/>
    <w:rPr>
      <w:rFonts w:ascii="Times New Roman" w:hAnsi="Times New Roman" w:eastAsia="仿宋" w:cs="Times New Roman"/>
      <w:sz w:val="18"/>
      <w:szCs w:val="18"/>
    </w:rPr>
  </w:style>
  <w:style w:type="character" w:customStyle="1" w:styleId="33">
    <w:name w:val="批注文字 Char"/>
    <w:basedOn w:val="20"/>
    <w:autoRedefine/>
    <w:semiHidden/>
    <w:qFormat/>
    <w:uiPriority w:val="99"/>
    <w:rPr>
      <w:rFonts w:ascii="Times New Roman" w:hAnsi="Times New Roman" w:eastAsia="仿宋" w:cs="Times New Roman"/>
      <w:sz w:val="28"/>
    </w:rPr>
  </w:style>
  <w:style w:type="character" w:customStyle="1" w:styleId="34">
    <w:name w:val="批注文字 字符1"/>
    <w:link w:val="7"/>
    <w:autoRedefine/>
    <w:qFormat/>
    <w:uiPriority w:val="99"/>
    <w:rPr>
      <w:rFonts w:ascii="Times New Roman" w:hAnsi="Times New Roman" w:eastAsia="仿宋" w:cs="Times New Roman"/>
      <w:sz w:val="28"/>
    </w:rPr>
  </w:style>
  <w:style w:type="character" w:customStyle="1" w:styleId="35">
    <w:name w:val="批注框文本 字符"/>
    <w:basedOn w:val="20"/>
    <w:link w:val="11"/>
    <w:autoRedefine/>
    <w:semiHidden/>
    <w:qFormat/>
    <w:uiPriority w:val="99"/>
    <w:rPr>
      <w:rFonts w:ascii="Times New Roman" w:hAnsi="Times New Roman" w:eastAsia="仿宋" w:cs="Times New Roman"/>
      <w:sz w:val="18"/>
      <w:szCs w:val="18"/>
    </w:rPr>
  </w:style>
  <w:style w:type="character" w:customStyle="1" w:styleId="36">
    <w:name w:val="批注主题 字符"/>
    <w:basedOn w:val="34"/>
    <w:link w:val="17"/>
    <w:autoRedefine/>
    <w:semiHidden/>
    <w:qFormat/>
    <w:uiPriority w:val="99"/>
    <w:rPr>
      <w:rFonts w:ascii="Times New Roman" w:hAnsi="Times New Roman" w:eastAsia="仿宋" w:cs="Times New Roman"/>
      <w:b/>
      <w:bCs/>
      <w:sz w:val="28"/>
    </w:rPr>
  </w:style>
  <w:style w:type="character" w:customStyle="1" w:styleId="37">
    <w:name w:val="批注文字 字符"/>
    <w:autoRedefine/>
    <w:qFormat/>
    <w:uiPriority w:val="99"/>
    <w:rPr>
      <w:kern w:val="2"/>
      <w:sz w:val="21"/>
      <w:szCs w:val="22"/>
    </w:rPr>
  </w:style>
  <w:style w:type="paragraph" w:customStyle="1" w:styleId="38">
    <w:name w:val="列出段落1"/>
    <w:basedOn w:val="1"/>
    <w:autoRedefine/>
    <w:qFormat/>
    <w:uiPriority w:val="34"/>
    <w:pPr>
      <w:ind w:firstLine="420"/>
    </w:pPr>
  </w:style>
  <w:style w:type="paragraph" w:customStyle="1" w:styleId="39">
    <w:name w:val="TOC 标题1"/>
    <w:basedOn w:val="2"/>
    <w:next w:val="1"/>
    <w:autoRedefine/>
    <w:unhideWhenUsed/>
    <w:qFormat/>
    <w:uiPriority w:val="39"/>
    <w:pPr>
      <w:spacing w:before="240" w:after="0" w:line="259" w:lineRule="auto"/>
      <w:ind w:left="0" w:firstLine="0"/>
      <w:outlineLvl w:val="9"/>
    </w:pPr>
    <w:rPr>
      <w:rFonts w:asciiTheme="majorHAnsi" w:hAnsiTheme="majorHAnsi" w:eastAsiaTheme="majorEastAsia" w:cstheme="majorBidi"/>
      <w:bCs w:val="0"/>
      <w:color w:val="2E75B6" w:themeColor="accent1" w:themeShade="BF"/>
      <w:kern w:val="0"/>
      <w:szCs w:val="32"/>
    </w:rPr>
  </w:style>
  <w:style w:type="paragraph" w:customStyle="1" w:styleId="40">
    <w:name w:val="修订1"/>
    <w:autoRedefine/>
    <w:hidden/>
    <w:semiHidden/>
    <w:qFormat/>
    <w:uiPriority w:val="99"/>
    <w:rPr>
      <w:rFonts w:ascii="Times New Roman" w:hAnsi="Times New Roman" w:eastAsia="仿宋" w:cs="Times New Roman"/>
      <w:kern w:val="2"/>
      <w:sz w:val="28"/>
      <w:szCs w:val="22"/>
      <w:lang w:val="en-US" w:eastAsia="zh-CN" w:bidi="ar-SA"/>
    </w:rPr>
  </w:style>
  <w:style w:type="character" w:customStyle="1" w:styleId="41">
    <w:name w:val="font11"/>
    <w:basedOn w:val="20"/>
    <w:autoRedefine/>
    <w:qFormat/>
    <w:uiPriority w:val="0"/>
    <w:rPr>
      <w:rFonts w:hint="eastAsia" w:ascii="仿宋" w:hAnsi="仿宋" w:eastAsia="仿宋" w:cs="仿宋"/>
      <w:b/>
      <w:color w:val="000000"/>
      <w:sz w:val="24"/>
      <w:szCs w:val="24"/>
      <w:u w:val="none"/>
    </w:rPr>
  </w:style>
  <w:style w:type="character" w:customStyle="1" w:styleId="42">
    <w:name w:val="font51"/>
    <w:basedOn w:val="20"/>
    <w:autoRedefine/>
    <w:qFormat/>
    <w:uiPriority w:val="0"/>
    <w:rPr>
      <w:rFonts w:hint="eastAsia" w:ascii="仿宋" w:hAnsi="仿宋" w:eastAsia="仿宋" w:cs="仿宋"/>
      <w:color w:val="000000"/>
      <w:sz w:val="24"/>
      <w:szCs w:val="24"/>
      <w:u w:val="none"/>
    </w:rPr>
  </w:style>
  <w:style w:type="character" w:customStyle="1" w:styleId="43">
    <w:name w:val="font41"/>
    <w:basedOn w:val="20"/>
    <w:autoRedefine/>
    <w:qFormat/>
    <w:uiPriority w:val="0"/>
    <w:rPr>
      <w:rFonts w:hint="default" w:ascii="Times New Roman" w:hAnsi="Times New Roman" w:cs="Times New Roman"/>
      <w:color w:val="000000"/>
      <w:sz w:val="24"/>
      <w:szCs w:val="24"/>
      <w:u w:val="none"/>
    </w:rPr>
  </w:style>
  <w:style w:type="character" w:customStyle="1" w:styleId="44">
    <w:name w:val="font31"/>
    <w:basedOn w:val="20"/>
    <w:autoRedefine/>
    <w:qFormat/>
    <w:uiPriority w:val="0"/>
    <w:rPr>
      <w:rFonts w:hint="default" w:ascii="Times New Roman" w:hAnsi="Times New Roman" w:cs="Times New Roman"/>
      <w:color w:val="000000"/>
      <w:sz w:val="24"/>
      <w:szCs w:val="24"/>
      <w:u w:val="none"/>
    </w:rPr>
  </w:style>
  <w:style w:type="character" w:customStyle="1" w:styleId="45">
    <w:name w:val="font21"/>
    <w:basedOn w:val="20"/>
    <w:autoRedefine/>
    <w:qFormat/>
    <w:uiPriority w:val="0"/>
    <w:rPr>
      <w:rFonts w:hint="eastAsia" w:ascii="仿宋" w:hAnsi="仿宋" w:eastAsia="仿宋" w:cs="仿宋"/>
      <w:color w:val="000000"/>
      <w:sz w:val="24"/>
      <w:szCs w:val="24"/>
      <w:u w:val="none"/>
    </w:rPr>
  </w:style>
  <w:style w:type="character" w:customStyle="1" w:styleId="46">
    <w:name w:val="标题 4 字符"/>
    <w:basedOn w:val="20"/>
    <w:link w:val="5"/>
    <w:autoRedefine/>
    <w:qFormat/>
    <w:uiPriority w:val="9"/>
    <w:rPr>
      <w:rFonts w:asciiTheme="majorHAnsi" w:hAnsiTheme="majorHAnsi" w:eastAsiaTheme="majorEastAsia" w:cstheme="majorBidi"/>
      <w:b/>
      <w:bCs/>
      <w:kern w:val="2"/>
      <w:sz w:val="28"/>
      <w:szCs w:val="28"/>
    </w:rPr>
  </w:style>
  <w:style w:type="character" w:customStyle="1" w:styleId="47">
    <w:name w:val="font01"/>
    <w:basedOn w:val="20"/>
    <w:autoRedefine/>
    <w:qFormat/>
    <w:uiPriority w:val="0"/>
    <w:rPr>
      <w:rFonts w:hint="default" w:ascii="Times New Roman" w:hAnsi="Times New Roman" w:cs="Times New Roman"/>
      <w:color w:val="000000"/>
      <w:sz w:val="22"/>
      <w:szCs w:val="22"/>
      <w:u w:val="none"/>
    </w:rPr>
  </w:style>
  <w:style w:type="character" w:customStyle="1" w:styleId="48">
    <w:name w:val="font61"/>
    <w:basedOn w:val="20"/>
    <w:autoRedefine/>
    <w:qFormat/>
    <w:uiPriority w:val="0"/>
    <w:rPr>
      <w:rFonts w:hint="eastAsia" w:ascii="仿宋" w:hAnsi="仿宋" w:eastAsia="仿宋" w:cs="仿宋"/>
      <w:color w:val="000000"/>
      <w:sz w:val="22"/>
      <w:szCs w:val="22"/>
      <w:u w:val="none"/>
    </w:rPr>
  </w:style>
  <w:style w:type="paragraph" w:customStyle="1" w:styleId="49">
    <w:name w:val="修订2"/>
    <w:autoRedefine/>
    <w:hidden/>
    <w:semiHidden/>
    <w:qFormat/>
    <w:uiPriority w:val="99"/>
    <w:rPr>
      <w:rFonts w:ascii="Times New Roman" w:hAnsi="Times New Roman" w:eastAsia="仿宋" w:cs="Times New Roman"/>
      <w:kern w:val="2"/>
      <w:sz w:val="28"/>
      <w:szCs w:val="22"/>
      <w:lang w:val="en-US" w:eastAsia="zh-CN" w:bidi="ar-SA"/>
    </w:rPr>
  </w:style>
  <w:style w:type="paragraph" w:customStyle="1" w:styleId="50">
    <w:name w:val="表格内容"/>
    <w:basedOn w:val="1"/>
    <w:link w:val="51"/>
    <w:autoRedefine/>
    <w:qFormat/>
    <w:uiPriority w:val="0"/>
    <w:pPr>
      <w:wordWrap w:val="0"/>
      <w:spacing w:before="0" w:after="0" w:line="240" w:lineRule="auto"/>
      <w:ind w:firstLine="0" w:firstLineChars="0"/>
      <w:jc w:val="center"/>
    </w:pPr>
    <w:rPr>
      <w:sz w:val="21"/>
      <w:szCs w:val="21"/>
    </w:rPr>
  </w:style>
  <w:style w:type="character" w:customStyle="1" w:styleId="51">
    <w:name w:val="表格内容 字符"/>
    <w:link w:val="50"/>
    <w:autoRedefine/>
    <w:qFormat/>
    <w:uiPriority w:val="0"/>
    <w:rPr>
      <w:rFonts w:eastAsia="仿宋"/>
      <w:kern w:val="2"/>
      <w:sz w:val="21"/>
      <w:szCs w:val="21"/>
    </w:rPr>
  </w:style>
  <w:style w:type="table" w:customStyle="1" w:styleId="52">
    <w:name w:val="网格型1"/>
    <w:basedOn w:val="1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3">
    <w:name w:val="网格型2"/>
    <w:basedOn w:val="18"/>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4">
    <w:name w:val="Revision"/>
    <w:autoRedefine/>
    <w:hidden/>
    <w:semiHidden/>
    <w:qFormat/>
    <w:uiPriority w:val="99"/>
    <w:rPr>
      <w:rFonts w:ascii="Times New Roman" w:hAnsi="Times New Roman" w:eastAsia="仿宋" w:cs="Times New Roman"/>
      <w:kern w:val="2"/>
      <w:sz w:val="28"/>
      <w:szCs w:val="22"/>
      <w:lang w:val="en-US" w:eastAsia="zh-CN" w:bidi="ar-SA"/>
    </w:rPr>
  </w:style>
  <w:style w:type="paragraph" w:customStyle="1" w:styleId="55">
    <w:name w:val="列表段落1"/>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7754</Words>
  <Characters>8335</Characters>
  <Lines>1</Lines>
  <Paragraphs>1</Paragraphs>
  <TotalTime>1596</TotalTime>
  <ScaleCrop>false</ScaleCrop>
  <LinksUpToDate>false</LinksUpToDate>
  <CharactersWithSpaces>8341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2023-03-23T02:44:00Z</dcterms:created>
  <dc:creator>user</dc:creator>
  <cp:lastModifiedBy>LW</cp:lastModifiedBy>
  <cp:lastPrinted>2022-12-05T02:23:00Z</cp:lastPrinted>
  <dcterms:modified xsi:type="dcterms:W3CDTF">2025-11-09T06:54:58Z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031D5EF826CD484993D2FBA8EAEE8901_13</vt:lpwstr>
  </property>
  <property fmtid="{D5CDD505-2E9C-101B-9397-08002B2CF9AE}" pid="4" name="KSOTemplateDocerSaveRecord">
    <vt:lpwstr>eyJoZGlkIjoiOWU1MDdiOWVmOWQ2NjNkNTVkMTY3MTdlZWRiM2JiNWMiLCJ1c2VySWQiOiI2NTgwNDUyMjAifQ==</vt:lpwstr>
  </property>
</Properties>
</file>