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82220">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bookmarkStart w:id="6" w:name="_GoBack"/>
      <w:bookmarkEnd w:id="6"/>
    </w:p>
    <w:p w14:paraId="1DB176B2">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435</w:t>
      </w:r>
      <w:r>
        <w:rPr>
          <w:rFonts w:hint="eastAsia" w:ascii="Times New Roman" w:hAnsi="Times New Roman" w:eastAsia="方正仿宋_GBK" w:cs="方正仿宋_GBK"/>
          <w:sz w:val="32"/>
          <w:szCs w:val="32"/>
        </w:rPr>
        <w:t>号</w:t>
      </w:r>
    </w:p>
    <w:p w14:paraId="0C6AA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val="0"/>
          <w:bCs w:val="0"/>
          <w:sz w:val="44"/>
          <w:szCs w:val="44"/>
        </w:rPr>
      </w:pPr>
      <w:bookmarkStart w:id="0" w:name="_Hlk72367435"/>
      <w:bookmarkEnd w:id="0"/>
      <w:bookmarkStart w:id="1" w:name="_Hlk70674848"/>
      <w:bookmarkEnd w:id="1"/>
    </w:p>
    <w:p w14:paraId="48141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2" w:name="OLE_LINK1"/>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4</w:t>
      </w:r>
      <w:r>
        <w:rPr>
          <w:rFonts w:hint="eastAsia" w:ascii="Times New Roman" w:hAnsi="Times New Roman" w:eastAsia="方正小标宋_GBK" w:cs="黑体"/>
          <w:b/>
          <w:bCs/>
          <w:sz w:val="44"/>
          <w:szCs w:val="44"/>
          <w:lang w:eastAsia="zh-CN"/>
        </w:rPr>
        <w:t>年度第六十四批次</w:t>
      </w:r>
    </w:p>
    <w:p w14:paraId="51C1A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bookmarkStart w:id="3" w:name="OLE_LINK2"/>
      <w:r>
        <w:rPr>
          <w:rFonts w:hint="eastAsia" w:ascii="Times New Roman" w:hAnsi="Times New Roman" w:eastAsia="方正小标宋_GBK" w:cs="黑体"/>
          <w:b/>
          <w:bCs/>
          <w:sz w:val="44"/>
          <w:szCs w:val="44"/>
        </w:rPr>
        <w:t>城镇建设用地征地补偿安置方案</w:t>
      </w:r>
    </w:p>
    <w:bookmarkEnd w:id="2"/>
    <w:bookmarkEnd w:id="3"/>
    <w:p w14:paraId="3DAFEB85">
      <w:pPr>
        <w:keepNext w:val="0"/>
        <w:keepLines w:val="0"/>
        <w:pageBreakBefore w:val="0"/>
        <w:tabs>
          <w:tab w:val="left" w:pos="1050"/>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sz w:val="32"/>
          <w:szCs w:val="32"/>
          <w:lang w:eastAsia="zh-CN"/>
        </w:rPr>
      </w:pPr>
    </w:p>
    <w:p w14:paraId="69B7E24C">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ascii="Times New Roman" w:hAnsi="Times New Roman" w:eastAsia="方正仿宋_GBK"/>
          <w:bCs/>
          <w:sz w:val="32"/>
          <w:szCs w:val="32"/>
        </w:rPr>
        <w:t>拟征收</w:t>
      </w:r>
      <w:r>
        <w:rPr>
          <w:rFonts w:hint="eastAsia" w:ascii="Times New Roman" w:hAnsi="Times New Roman" w:eastAsia="方正仿宋_GBK"/>
          <w:bCs/>
          <w:sz w:val="32"/>
          <w:szCs w:val="32"/>
        </w:rPr>
        <w:t>属惠州市惠阳区新圩镇花果村三角塘股份经济合作社、惠州市惠阳区新圩镇花果村刘屋股份经济合作社、惠州市惠阳区新圩镇花果村石头围股份经济合作社、惠州市惠阳区新圩镇花果村高屋股份经济合作社、惠州市惠阳区新圩镇花果村陶屋股份经济合作社、惠州市惠阳区新圩镇花果股份经济合作联合社所有的集体土地，面积合计1.0838公顷，作为惠州市惠阳区</w:t>
      </w:r>
      <w:r>
        <w:rPr>
          <w:rFonts w:hint="eastAsia" w:ascii="Times New Roman" w:hAnsi="Times New Roman" w:eastAsia="方正仿宋_GBK" w:cs="方正仿宋_GBK"/>
          <w:sz w:val="32"/>
          <w:szCs w:val="32"/>
        </w:rPr>
        <w:t>2024</w:t>
      </w:r>
      <w:r>
        <w:rPr>
          <w:rFonts w:hint="eastAsia" w:ascii="Times New Roman" w:hAnsi="Times New Roman" w:eastAsia="方正仿宋_GBK"/>
          <w:bCs/>
          <w:sz w:val="32"/>
          <w:szCs w:val="32"/>
        </w:rPr>
        <w:t>年度第</w:t>
      </w:r>
      <w:r>
        <w:rPr>
          <w:rFonts w:hint="eastAsia" w:ascii="Times New Roman" w:hAnsi="Times New Roman" w:eastAsia="方正仿宋_GBK"/>
          <w:bCs/>
          <w:sz w:val="32"/>
          <w:szCs w:val="32"/>
          <w:lang w:eastAsia="zh-CN"/>
        </w:rPr>
        <w:t>六十四</w:t>
      </w:r>
      <w:r>
        <w:rPr>
          <w:rFonts w:hint="eastAsia" w:ascii="Times New Roman" w:hAnsi="Times New Roman" w:eastAsia="方正仿宋_GBK"/>
          <w:bCs/>
          <w:sz w:val="32"/>
          <w:szCs w:val="32"/>
        </w:rPr>
        <w:t>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28755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14:paraId="4885CD5E">
      <w:pPr>
        <w:pStyle w:val="5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拟征收地块位于惠阳区新圩镇</w:t>
      </w:r>
      <w:bookmarkStart w:id="5" w:name="OLE_LINK5"/>
      <w:r>
        <w:rPr>
          <w:rFonts w:hint="default" w:ascii="Times New Roman" w:hAnsi="Times New Roman"/>
          <w:lang w:val="en-US" w:eastAsia="zh-CN"/>
        </w:rPr>
        <w:t>花</w:t>
      </w:r>
      <w:bookmarkEnd w:id="5"/>
      <w:r>
        <w:rPr>
          <w:rFonts w:hint="default" w:ascii="Times New Roman" w:hAnsi="Times New Roman"/>
          <w:lang w:val="en-US" w:eastAsia="zh-CN"/>
        </w:rPr>
        <w:t>果村地段，属惠州市惠阳区新圩镇花果村三角塘股份经济合作社、惠州市惠阳区新圩镇花果村刘屋股份经济合作社、惠州市惠阳区新圩镇花果村石头围股份经济合作社、惠州市惠阳区新圩镇花果村高屋股份经济合作社、惠州市惠阳区新圩镇花果村陶屋股份经济合作社、惠州市惠阳区新圩镇花果股份经济合作联合社所有的集体土地，面积合计1.0838公顷，</w:t>
      </w:r>
      <w:r>
        <w:rPr>
          <w:rFonts w:hint="eastAsia" w:ascii="Times New Roman" w:hAnsi="Times New Roman"/>
          <w:lang w:val="en-US" w:eastAsia="zh-CN"/>
        </w:rPr>
        <w:t>其中：耕地1.0804公顷，其他农用地0.0034公顷。</w:t>
      </w:r>
      <w:r>
        <w:rPr>
          <w:rFonts w:hint="default" w:ascii="Times New Roman" w:hAnsi="Times New Roman"/>
          <w:lang w:val="en-US" w:eastAsia="zh-CN"/>
        </w:rPr>
        <w:t>四至范围详见附件《被征地四至红线图（惠阳区2024年度第六十四批次）》。</w:t>
      </w:r>
    </w:p>
    <w:p w14:paraId="38870E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2866D2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bCs/>
          <w:sz w:val="32"/>
          <w:szCs w:val="32"/>
        </w:rPr>
        <w:t>本次拟征收土地用于道路项目建设</w:t>
      </w:r>
      <w:r>
        <w:rPr>
          <w:rFonts w:ascii="Times New Roman" w:hAnsi="Times New Roman" w:eastAsia="方正仿宋_GBK"/>
          <w:bCs/>
          <w:sz w:val="32"/>
          <w:szCs w:val="32"/>
        </w:rPr>
        <w:t>。</w:t>
      </w:r>
    </w:p>
    <w:p w14:paraId="62AFA6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3985F6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按照《惠州市人民政府关于公布实施征收农用地区片综合地价的公告》（惠府公〔2024〕1号）规定，拟征收土地属于区片一类：</w:t>
      </w:r>
    </w:p>
    <w:p w14:paraId="2A4D6818">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w:t>
      </w:r>
      <w:r>
        <w:rPr>
          <w:rFonts w:hint="eastAsia" w:ascii="Times New Roman" w:hAnsi="Times New Roman" w:eastAsia="方正仿宋_GBK"/>
          <w:bCs/>
          <w:sz w:val="32"/>
          <w:szCs w:val="32"/>
          <w:lang w:eastAsia="zh-CN"/>
        </w:rPr>
        <w:t>耕地1.0804</w:t>
      </w:r>
      <w:r>
        <w:rPr>
          <w:rFonts w:hint="eastAsia" w:ascii="Times New Roman" w:hAnsi="Times New Roman" w:eastAsia="方正仿宋_GBK" w:cs="方正仿宋_GBK"/>
          <w:bCs/>
          <w:sz w:val="32"/>
          <w:szCs w:val="32"/>
        </w:rPr>
        <w:t>公顷，土地补偿和安置补助费标准为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hint="eastAsia" w:ascii="Times New Roman" w:hAnsi="Times New Roman" w:eastAsia="方正仿宋_GBK" w:cs="方正仿宋_GBK"/>
          <w:bCs/>
          <w:sz w:val="32"/>
          <w:szCs w:val="32"/>
          <w:lang w:val="en-US" w:eastAsia="zh-CN"/>
        </w:rPr>
        <w:t>136.1304</w:t>
      </w:r>
      <w:r>
        <w:rPr>
          <w:rFonts w:hint="eastAsia" w:ascii="Times New Roman" w:hAnsi="Times New Roman" w:eastAsia="方正仿宋_GBK" w:cs="方正仿宋_GBK"/>
          <w:bCs/>
          <w:sz w:val="32"/>
          <w:szCs w:val="32"/>
        </w:rPr>
        <w:t>万元；</w:t>
      </w:r>
    </w:p>
    <w:p w14:paraId="3275CC6E">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w:t>
      </w:r>
      <w:r>
        <w:rPr>
          <w:rFonts w:hint="eastAsia" w:ascii="Times New Roman" w:hAnsi="Times New Roman" w:eastAsia="方正仿宋_GBK"/>
          <w:bCs/>
          <w:sz w:val="32"/>
          <w:szCs w:val="32"/>
        </w:rPr>
        <w:t>其他农用地0.0034公顷</w:t>
      </w:r>
      <w:r>
        <w:rPr>
          <w:rFonts w:hint="eastAsia" w:ascii="Times New Roman" w:hAnsi="Times New Roman" w:eastAsia="方正仿宋_GBK" w:cs="方正仿宋_GBK"/>
          <w:bCs/>
          <w:sz w:val="32"/>
          <w:szCs w:val="32"/>
        </w:rPr>
        <w:t>，土地补偿和安置补助费标准为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hint="eastAsia" w:ascii="Times New Roman" w:hAnsi="Times New Roman" w:eastAsia="方正仿宋_GBK" w:cs="方正仿宋_GBK"/>
          <w:bCs/>
          <w:sz w:val="32"/>
          <w:szCs w:val="32"/>
          <w:lang w:val="en-US" w:eastAsia="zh-CN"/>
        </w:rPr>
        <w:t>0.4284</w:t>
      </w:r>
      <w:r>
        <w:rPr>
          <w:rFonts w:hint="eastAsia" w:ascii="Times New Roman" w:hAnsi="Times New Roman" w:eastAsia="方正仿宋_GBK" w:cs="方正仿宋_GBK"/>
          <w:bCs/>
          <w:sz w:val="32"/>
          <w:szCs w:val="32"/>
        </w:rPr>
        <w:t>万元。</w:t>
      </w:r>
    </w:p>
    <w:p w14:paraId="29067FB6">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以上土地补偿及安置补助费共</w:t>
      </w:r>
      <w:r>
        <w:rPr>
          <w:rFonts w:hint="eastAsia" w:ascii="Times New Roman" w:hAnsi="Times New Roman" w:eastAsia="方正仿宋_GBK" w:cs="方正仿宋_GBK"/>
          <w:bCs/>
          <w:sz w:val="32"/>
          <w:szCs w:val="32"/>
          <w:lang w:val="en-US" w:eastAsia="zh-CN"/>
        </w:rPr>
        <w:t>136.5588</w:t>
      </w:r>
      <w:r>
        <w:rPr>
          <w:rFonts w:hint="eastAsia" w:ascii="Times New Roman" w:hAnsi="Times New Roman" w:eastAsia="方正仿宋_GBK" w:cs="方正仿宋_GBK"/>
          <w:sz w:val="32"/>
          <w:szCs w:val="32"/>
        </w:rPr>
        <w:t>万元。</w:t>
      </w:r>
    </w:p>
    <w:p w14:paraId="7B552D0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34592C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sz w:val="32"/>
          <w:szCs w:val="32"/>
        </w:rPr>
      </w:pPr>
      <w:r>
        <w:rPr>
          <w:rFonts w:hint="eastAsia" w:ascii="Times New Roman" w:hAnsi="Times New Roman" w:eastAsia="仿宋" w:cs="仿宋"/>
          <w:sz w:val="32"/>
          <w:szCs w:val="32"/>
        </w:rPr>
        <w:t>被征地上有荔枝、</w:t>
      </w:r>
      <w:r>
        <w:rPr>
          <w:rFonts w:hint="eastAsia" w:ascii="Times New Roman" w:hAnsi="Times New Roman" w:eastAsia="仿宋" w:cs="仿宋"/>
          <w:sz w:val="32"/>
          <w:szCs w:val="32"/>
          <w:lang w:eastAsia="zh-CN"/>
        </w:rPr>
        <w:t>水泥地板</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路灯</w:t>
      </w:r>
      <w:r>
        <w:rPr>
          <w:rFonts w:hint="eastAsia" w:ascii="Times New Roman" w:hAnsi="Times New Roman" w:eastAsia="仿宋" w:cs="仿宋"/>
          <w:sz w:val="32"/>
          <w:szCs w:val="32"/>
        </w:rPr>
        <w:t>等地上附着物，</w:t>
      </w:r>
      <w:r>
        <w:rPr>
          <w:rFonts w:hint="eastAsia" w:ascii="Times New Roman" w:hAnsi="Times New Roman" w:eastAsia="仿宋" w:cs="仿宋"/>
          <w:sz w:val="32"/>
          <w:szCs w:val="32"/>
          <w:lang w:eastAsia="zh-CN"/>
        </w:rPr>
        <w:t>参照</w:t>
      </w:r>
      <w:r>
        <w:rPr>
          <w:rFonts w:hint="eastAsia" w:ascii="Times New Roman" w:hAnsi="Times New Roman" w:eastAsia="仿宋" w:cs="仿宋"/>
          <w:sz w:val="32"/>
          <w:szCs w:val="32"/>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sz w:val="32"/>
          <w:szCs w:val="32"/>
        </w:rPr>
        <w:t>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方正仿宋_GBK"/>
          <w:bCs/>
          <w:sz w:val="32"/>
          <w:szCs w:val="32"/>
          <w:lang w:val="en-US" w:eastAsia="zh-CN"/>
        </w:rPr>
        <w:t>1.0847</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14:paraId="41D9AD6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07E1DE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sz w:val="32"/>
          <w:szCs w:val="32"/>
        </w:rPr>
        <w:t>征地留用地根据被征地村集体意愿，选择折算货币补偿的方式解决。按实际征地总面积的15%计算，面积为共0.</w:t>
      </w:r>
      <w:r>
        <w:rPr>
          <w:rFonts w:hint="eastAsia" w:ascii="Times New Roman" w:hAnsi="Times New Roman" w:eastAsia="方正仿宋_GBK"/>
          <w:sz w:val="32"/>
          <w:szCs w:val="32"/>
          <w:lang w:val="en-US" w:eastAsia="zh-CN"/>
        </w:rPr>
        <w:t>1626</w:t>
      </w:r>
      <w:r>
        <w:rPr>
          <w:rFonts w:hint="eastAsia" w:ascii="Times New Roman" w:hAnsi="Times New Roman" w:eastAsia="方正仿宋_GBK"/>
          <w:sz w:val="32"/>
          <w:szCs w:val="32"/>
        </w:rPr>
        <w:t>公顷（</w:t>
      </w:r>
      <w:r>
        <w:rPr>
          <w:rFonts w:hint="eastAsia" w:ascii="Times New Roman" w:hAnsi="Times New Roman" w:eastAsia="方正仿宋_GBK"/>
          <w:sz w:val="32"/>
          <w:szCs w:val="32"/>
          <w:lang w:val="en-US" w:eastAsia="zh-CN"/>
        </w:rPr>
        <w:t>1626</w:t>
      </w:r>
      <w:r>
        <w:rPr>
          <w:rFonts w:hint="eastAsia" w:ascii="Times New Roman" w:hAnsi="Times New Roman" w:eastAsia="方正仿宋_GBK"/>
          <w:sz w:val="32"/>
          <w:szCs w:val="32"/>
        </w:rPr>
        <w:t>平方米）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根据《惠州市惠阳区征地留用地折算货币补偿标准》（惠阳府〔2023〕30号），按1600元/平方米</w:t>
      </w:r>
      <w:r>
        <w:rPr>
          <w:rFonts w:hint="eastAsia" w:ascii="Times New Roman" w:hAnsi="Times New Roman" w:eastAsia="方正仿宋_GBK" w:cs="方正仿宋_GBK"/>
          <w:sz w:val="32"/>
          <w:szCs w:val="32"/>
          <w:lang w:eastAsia="zh-CN"/>
        </w:rPr>
        <w:t>标准</w:t>
      </w:r>
      <w:r>
        <w:rPr>
          <w:rFonts w:hint="eastAsia" w:ascii="Times New Roman" w:hAnsi="Times New Roman" w:eastAsia="方正仿宋_GBK" w:cs="方正仿宋_GBK"/>
          <w:sz w:val="32"/>
          <w:szCs w:val="32"/>
        </w:rPr>
        <w:t>计算，补偿款共</w:t>
      </w:r>
      <w:r>
        <w:rPr>
          <w:rFonts w:hint="eastAsia" w:ascii="Times New Roman" w:hAnsi="Times New Roman" w:eastAsia="方正仿宋_GBK"/>
          <w:sz w:val="32"/>
          <w:szCs w:val="32"/>
          <w:lang w:val="en-US" w:eastAsia="zh-CN"/>
        </w:rPr>
        <w:t>260.16</w:t>
      </w:r>
      <w:r>
        <w:rPr>
          <w:rFonts w:hint="eastAsia" w:ascii="Times New Roman" w:hAnsi="Times New Roman" w:eastAsia="方正仿宋_GBK" w:cs="方正仿宋_GBK"/>
          <w:sz w:val="32"/>
          <w:szCs w:val="32"/>
        </w:rPr>
        <w:t>万元，留用地折算货币补偿款已足额存入征地预存款专户。</w:t>
      </w:r>
    </w:p>
    <w:p w14:paraId="5B238B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9FAD3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2024年度第</w:t>
      </w:r>
      <w:r>
        <w:rPr>
          <w:rFonts w:hint="eastAsia" w:ascii="Times New Roman" w:hAnsi="Times New Roman" w:eastAsia="方正仿宋_GBK" w:cs="仿宋"/>
          <w:bCs/>
          <w:color w:val="000000"/>
          <w:sz w:val="32"/>
          <w:szCs w:val="32"/>
          <w:lang w:eastAsia="zh-CN"/>
        </w:rPr>
        <w:t>六十四</w:t>
      </w:r>
      <w:r>
        <w:rPr>
          <w:rFonts w:hint="eastAsia" w:ascii="Times New Roman" w:hAnsi="Times New Roman" w:eastAsia="方正仿宋_GBK" w:cs="仿宋"/>
          <w:bCs/>
          <w:color w:val="000000"/>
          <w:sz w:val="32"/>
          <w:szCs w:val="32"/>
        </w:rPr>
        <w:t>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hint="eastAsia" w:ascii="Times New Roman" w:hAnsi="Times New Roman" w:eastAsia="方正仿宋_GBK" w:cs="方正仿宋_GBK"/>
          <w:sz w:val="32"/>
          <w:szCs w:val="32"/>
          <w:lang w:val="en-US" w:eastAsia="zh-CN"/>
        </w:rPr>
        <w:t>397.8035</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，其中：土地补偿费和安置补助费</w:t>
      </w:r>
      <w:r>
        <w:rPr>
          <w:rFonts w:hint="eastAsia" w:ascii="Times New Roman" w:hAnsi="Times New Roman" w:eastAsia="方正仿宋_GBK" w:cs="方正仿宋_GBK"/>
          <w:bCs/>
          <w:sz w:val="32"/>
          <w:szCs w:val="32"/>
          <w:lang w:val="en-US" w:eastAsia="zh-CN"/>
        </w:rPr>
        <w:t>136.5588</w:t>
      </w:r>
      <w:r>
        <w:rPr>
          <w:rFonts w:hint="eastAsia" w:ascii="Times New Roman" w:hAnsi="Times New Roman" w:eastAsia="方正仿宋_GBK" w:cs="方正仿宋_GBK"/>
          <w:sz w:val="32"/>
          <w:szCs w:val="32"/>
        </w:rPr>
        <w:t>万元</w:t>
      </w:r>
      <w:r>
        <w:rPr>
          <w:rFonts w:hint="eastAsia" w:ascii="Times New Roman" w:hAnsi="Times New Roman" w:eastAsia="方正仿宋_GBK"/>
          <w:sz w:val="32"/>
          <w:szCs w:val="32"/>
        </w:rPr>
        <w:t>、地上附着物补偿款</w:t>
      </w:r>
      <w:r>
        <w:rPr>
          <w:rFonts w:hint="eastAsia" w:ascii="Times New Roman" w:hAnsi="Times New Roman" w:eastAsia="方正仿宋_GBK"/>
          <w:bCs/>
          <w:sz w:val="32"/>
          <w:szCs w:val="32"/>
          <w:lang w:val="en-US" w:eastAsia="zh-CN"/>
        </w:rPr>
        <w:t>1.0847</w:t>
      </w:r>
      <w:r>
        <w:rPr>
          <w:rFonts w:hint="eastAsia" w:ascii="Times New Roman" w:hAnsi="Times New Roman" w:eastAsia="方正仿宋_GBK"/>
          <w:sz w:val="32"/>
          <w:szCs w:val="32"/>
        </w:rPr>
        <w:t>万元、</w:t>
      </w:r>
      <w:r>
        <w:rPr>
          <w:rFonts w:hint="eastAsia" w:ascii="Times New Roman" w:hAnsi="Times New Roman" w:eastAsia="方正仿宋_GBK" w:cs="方正仿宋_GBK"/>
          <w:sz w:val="32"/>
          <w:szCs w:val="32"/>
        </w:rPr>
        <w:t>征地留用地折算货币补偿费</w:t>
      </w:r>
      <w:r>
        <w:rPr>
          <w:rFonts w:hint="eastAsia" w:ascii="Times New Roman" w:hAnsi="Times New Roman" w:eastAsia="方正仿宋_GBK"/>
          <w:sz w:val="32"/>
          <w:szCs w:val="32"/>
          <w:lang w:val="en-US" w:eastAsia="zh-CN"/>
        </w:rPr>
        <w:t>260.16</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14:paraId="3DF15283">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585BCBE1">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14:paraId="17C3F396">
      <w:pPr>
        <w:spacing w:line="580" w:lineRule="exact"/>
        <w:ind w:right="320" w:firstLine="630"/>
        <w:jc w:val="center"/>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37E54"/>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DDA05A2"/>
    <w:rsid w:val="0E237315"/>
    <w:rsid w:val="0E54344C"/>
    <w:rsid w:val="0E934868"/>
    <w:rsid w:val="0F03286F"/>
    <w:rsid w:val="0F3550C8"/>
    <w:rsid w:val="0F8044DF"/>
    <w:rsid w:val="0FCE0BD4"/>
    <w:rsid w:val="101E35F3"/>
    <w:rsid w:val="104925F5"/>
    <w:rsid w:val="10555EBD"/>
    <w:rsid w:val="10732665"/>
    <w:rsid w:val="107B0C4F"/>
    <w:rsid w:val="108E3394"/>
    <w:rsid w:val="1091092A"/>
    <w:rsid w:val="109435F9"/>
    <w:rsid w:val="10D2448F"/>
    <w:rsid w:val="10D76A30"/>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3D69"/>
    <w:rsid w:val="15A856C8"/>
    <w:rsid w:val="15CE3AFB"/>
    <w:rsid w:val="160B6B83"/>
    <w:rsid w:val="161174FF"/>
    <w:rsid w:val="16314FE7"/>
    <w:rsid w:val="16394467"/>
    <w:rsid w:val="16563EB0"/>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3A34F1"/>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A52ECE"/>
    <w:rsid w:val="1DB10397"/>
    <w:rsid w:val="1DC43A1B"/>
    <w:rsid w:val="1DCE07AF"/>
    <w:rsid w:val="1DD159A3"/>
    <w:rsid w:val="1DD61722"/>
    <w:rsid w:val="1E151CFD"/>
    <w:rsid w:val="1E30500B"/>
    <w:rsid w:val="1E352B1A"/>
    <w:rsid w:val="1E4D4766"/>
    <w:rsid w:val="1E87579E"/>
    <w:rsid w:val="1EAD7457"/>
    <w:rsid w:val="1EBD3BCE"/>
    <w:rsid w:val="1EDA24CC"/>
    <w:rsid w:val="1EFF2287"/>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5541E"/>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4E4AA7"/>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525969"/>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A51C9F"/>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5641F5"/>
    <w:rsid w:val="4F750B03"/>
    <w:rsid w:val="4F7D1FA5"/>
    <w:rsid w:val="4F8B6703"/>
    <w:rsid w:val="4FD73001"/>
    <w:rsid w:val="4FED64A9"/>
    <w:rsid w:val="500F43F6"/>
    <w:rsid w:val="50324081"/>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147DEB"/>
    <w:rsid w:val="5460684D"/>
    <w:rsid w:val="54620B26"/>
    <w:rsid w:val="548624B9"/>
    <w:rsid w:val="548904E9"/>
    <w:rsid w:val="548F3FF5"/>
    <w:rsid w:val="54B2501C"/>
    <w:rsid w:val="54C61FE8"/>
    <w:rsid w:val="54FB17D9"/>
    <w:rsid w:val="55013EDB"/>
    <w:rsid w:val="553A25E5"/>
    <w:rsid w:val="555678CA"/>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97C91"/>
    <w:rsid w:val="658A3EA0"/>
    <w:rsid w:val="658B7ACC"/>
    <w:rsid w:val="66331BF4"/>
    <w:rsid w:val="664420B9"/>
    <w:rsid w:val="664F6B82"/>
    <w:rsid w:val="66D40E00"/>
    <w:rsid w:val="66DC4AD3"/>
    <w:rsid w:val="6736514D"/>
    <w:rsid w:val="67532047"/>
    <w:rsid w:val="675B60CF"/>
    <w:rsid w:val="677E70D7"/>
    <w:rsid w:val="67AE2DD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425DA1"/>
    <w:rsid w:val="7B5958B9"/>
    <w:rsid w:val="7BD3061B"/>
    <w:rsid w:val="7BE74B60"/>
    <w:rsid w:val="7BE84FBA"/>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semiHidden/>
    <w:qFormat/>
    <w:uiPriority w:val="99"/>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1"/>
    <w:next w:val="1"/>
    <w:qFormat/>
    <w:uiPriority w:val="0"/>
    <w:pPr>
      <w:ind w:firstLine="420" w:firstLineChars="100"/>
    </w:pPr>
  </w:style>
  <w:style w:type="paragraph" w:styleId="24">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unhideWhenUsed/>
    <w:qFormat/>
    <w:uiPriority w:val="99"/>
  </w:style>
  <w:style w:type="character" w:styleId="29">
    <w:name w:val="Hyperlink"/>
    <w:basedOn w:val="27"/>
    <w:unhideWhenUsed/>
    <w:qFormat/>
    <w:uiPriority w:val="99"/>
    <w:rPr>
      <w:color w:val="0000FF"/>
      <w:u w:val="single"/>
    </w:rPr>
  </w:style>
  <w:style w:type="paragraph" w:customStyle="1" w:styleId="30">
    <w:name w:val="纯文本1"/>
    <w:basedOn w:val="1"/>
    <w:next w:val="16"/>
    <w:qFormat/>
    <w:uiPriority w:val="0"/>
    <w:rPr>
      <w:rFonts w:ascii="宋体" w:hAnsi="Courier New"/>
    </w:rPr>
  </w:style>
  <w:style w:type="paragraph" w:customStyle="1" w:styleId="31">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2">
    <w:name w:val="No Spacing"/>
    <w:qFormat/>
    <w:uiPriority w:val="1"/>
    <w:rPr>
      <w:rFonts w:ascii="Times New Roman" w:hAnsi="Times New Roman" w:eastAsia="宋体" w:cs="Times New Roman"/>
      <w:sz w:val="24"/>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7">
    <w:name w:val="正文 New New New"/>
    <w:next w:val="38"/>
    <w:qFormat/>
    <w:uiPriority w:val="0"/>
    <w:pPr>
      <w:widowControl w:val="0"/>
      <w:jc w:val="both"/>
    </w:pPr>
    <w:rPr>
      <w:rFonts w:ascii="Calibri" w:hAnsi="Calibri" w:eastAsia="宋体" w:cs="Times New Roman"/>
      <w:kern w:val="2"/>
      <w:sz w:val="21"/>
      <w:szCs w:val="24"/>
      <w:lang w:val="en-US" w:eastAsia="zh-CN"/>
    </w:rPr>
  </w:style>
  <w:style w:type="paragraph" w:customStyle="1" w:styleId="38">
    <w:name w:val="标题 3 New"/>
    <w:basedOn w:val="37"/>
    <w:next w:val="37"/>
    <w:qFormat/>
    <w:uiPriority w:val="0"/>
    <w:pPr>
      <w:keepNext/>
      <w:keepLines/>
      <w:spacing w:line="413" w:lineRule="auto"/>
      <w:outlineLvl w:val="2"/>
    </w:pPr>
    <w:rPr>
      <w:b/>
      <w:sz w:val="32"/>
    </w:rPr>
  </w:style>
  <w:style w:type="paragraph" w:customStyle="1" w:styleId="39">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27"/>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1311</Words>
  <Characters>1455</Characters>
  <Lines>0</Lines>
  <Paragraphs>0</Paragraphs>
  <TotalTime>11</TotalTime>
  <ScaleCrop>false</ScaleCrop>
  <LinksUpToDate>false</LinksUpToDate>
  <CharactersWithSpaces>1520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teng</cp:lastModifiedBy>
  <cp:lastPrinted>2025-05-07T08:55:00Z</cp:lastPrinted>
  <dcterms:modified xsi:type="dcterms:W3CDTF">2025-06-16T06:22:45Z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2E81746CCAB94D3388771E3668C1F1BF_13</vt:lpwstr>
  </property>
</Properties>
</file>