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附件</w:t>
      </w:r>
      <w:r>
        <w:rPr>
          <w:rFonts w:hint="eastAsia" w:asciiTheme="minorEastAsia" w:hAnsiTheme="minorEastAsia" w:eastAsiaTheme="minorEastAsia" w:cstheme="minorEastAsia"/>
          <w:sz w:val="32"/>
          <w:szCs w:val="32"/>
          <w:lang w:val="en-US" w:eastAsia="zh-CN"/>
        </w:rPr>
        <w:t>1：</w:t>
      </w:r>
    </w:p>
    <w:p>
      <w:pPr>
        <w:spacing w:line="620" w:lineRule="exact"/>
        <w:jc w:val="center"/>
        <w:rPr>
          <w:rFonts w:ascii="方正小标宋简体" w:hAnsi="宋体" w:eastAsia="方正小标宋简体"/>
          <w:sz w:val="44"/>
          <w:szCs w:val="44"/>
        </w:rPr>
      </w:pP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惠州市财政局市级社会保险基金定期存款</w:t>
      </w: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存放管理实施办法（2021年二次修订）</w:t>
      </w:r>
    </w:p>
    <w:p>
      <w:pPr>
        <w:adjustRightInd w:val="0"/>
        <w:snapToGrid w:val="0"/>
        <w:jc w:val="center"/>
        <w:rPr>
          <w:rFonts w:hint="eastAsia" w:ascii="黑体" w:hAnsi="Arial" w:eastAsia="黑体" w:cs="Arial"/>
          <w:szCs w:val="32"/>
          <w:lang w:val="en-US" w:eastAsia="zh-CN"/>
        </w:rPr>
      </w:pPr>
    </w:p>
    <w:p>
      <w:pPr>
        <w:adjustRightInd w:val="0"/>
        <w:snapToGrid w:val="0"/>
        <w:jc w:val="center"/>
        <w:rPr>
          <w:rFonts w:hint="default" w:ascii="黑体" w:hAnsi="Arial" w:eastAsia="黑体" w:cs="Arial"/>
          <w:szCs w:val="32"/>
          <w:lang w:val="en-US" w:eastAsia="zh-CN"/>
        </w:rPr>
      </w:pPr>
      <w:r>
        <w:rPr>
          <w:rFonts w:hint="eastAsia" w:ascii="黑体" w:hAnsi="Arial" w:eastAsia="黑体" w:cs="Arial"/>
          <w:szCs w:val="32"/>
          <w:lang w:val="en-US" w:eastAsia="zh-CN"/>
        </w:rPr>
        <w:t>(征求意见稿）</w:t>
      </w:r>
    </w:p>
    <w:p>
      <w:pPr>
        <w:adjustRightInd w:val="0"/>
        <w:snapToGrid w:val="0"/>
        <w:jc w:val="center"/>
        <w:rPr>
          <w:rFonts w:ascii="黑体" w:hAnsi="Arial" w:eastAsia="黑体" w:cs="Arial"/>
          <w:szCs w:val="32"/>
        </w:rPr>
      </w:pPr>
    </w:p>
    <w:p>
      <w:pPr>
        <w:adjustRightInd w:val="0"/>
        <w:snapToGrid w:val="0"/>
        <w:jc w:val="center"/>
        <w:rPr>
          <w:rFonts w:ascii="黑体" w:hAnsi="Arial" w:eastAsia="黑体" w:cs="Arial"/>
          <w:szCs w:val="32"/>
        </w:rPr>
      </w:pPr>
      <w:r>
        <w:rPr>
          <w:rFonts w:hint="eastAsia" w:ascii="黑体" w:hAnsi="Arial" w:eastAsia="黑体" w:cs="Arial"/>
          <w:szCs w:val="32"/>
        </w:rPr>
        <w:t>第一章  总则</w:t>
      </w:r>
    </w:p>
    <w:p>
      <w:pPr>
        <w:adjustRightInd w:val="0"/>
        <w:snapToGrid w:val="0"/>
        <w:spacing w:line="360" w:lineRule="auto"/>
        <w:jc w:val="center"/>
        <w:rPr>
          <w:rFonts w:ascii="黑体" w:hAnsi="Arial" w:eastAsia="黑体" w:cs="Arial"/>
          <w:szCs w:val="32"/>
        </w:rPr>
      </w:pPr>
    </w:p>
    <w:p>
      <w:pPr>
        <w:tabs>
          <w:tab w:val="left" w:pos="1980"/>
          <w:tab w:val="left" w:pos="2340"/>
        </w:tabs>
        <w:adjustRightInd w:val="0"/>
        <w:snapToGrid w:val="0"/>
        <w:spacing w:line="600" w:lineRule="exact"/>
        <w:ind w:firstLine="565" w:firstLineChars="181"/>
        <w:rPr>
          <w:spacing w:val="-2"/>
          <w:kern w:val="0"/>
          <w:szCs w:val="32"/>
          <w:lang w:val="zh-CN"/>
        </w:rPr>
      </w:pPr>
      <w:r>
        <w:rPr>
          <w:b/>
          <w:szCs w:val="32"/>
        </w:rPr>
        <w:t xml:space="preserve">第一条 </w:t>
      </w:r>
      <w:r>
        <w:rPr>
          <w:szCs w:val="32"/>
        </w:rPr>
        <w:t>为建立健全科学规范、公正透明的市级社会保险基金（以下简称“社保基金”）存放管理机制，规范社保基金存放行为，</w:t>
      </w:r>
      <w:r>
        <w:rPr>
          <w:spacing w:val="-2"/>
          <w:kern w:val="0"/>
          <w:szCs w:val="32"/>
          <w:lang w:val="zh-CN"/>
        </w:rPr>
        <w:t>根据《广东省财政厅关于进一步加强财政部门和预算单位资金存放管理的实施意见》（粤财库〔2017〕59号）等有关规定，结合我市实际，制定本办法。</w:t>
      </w:r>
    </w:p>
    <w:p>
      <w:pPr>
        <w:tabs>
          <w:tab w:val="left" w:pos="1980"/>
          <w:tab w:val="left" w:pos="2340"/>
        </w:tabs>
        <w:adjustRightInd w:val="0"/>
        <w:snapToGrid w:val="0"/>
        <w:spacing w:line="600" w:lineRule="exact"/>
        <w:ind w:firstLine="565" w:firstLineChars="181"/>
        <w:rPr>
          <w:szCs w:val="32"/>
        </w:rPr>
      </w:pPr>
      <w:r>
        <w:rPr>
          <w:b/>
          <w:szCs w:val="32"/>
        </w:rPr>
        <w:t xml:space="preserve">第二条 </w:t>
      </w:r>
      <w:r>
        <w:rPr>
          <w:szCs w:val="32"/>
        </w:rPr>
        <w:t>本办法适用于纳入市财政专户管理的社保基金。包括但不限于企业职工基本养老保险基金、机关事业单位基本养老保险基金、城乡居民基本养老保险基金、职工基本医疗保险基金、城乡居民基本医疗保险基金、工伤保险基金、失业保险基金。</w:t>
      </w:r>
    </w:p>
    <w:p>
      <w:pPr>
        <w:tabs>
          <w:tab w:val="left" w:pos="1980"/>
          <w:tab w:val="left" w:pos="2340"/>
        </w:tabs>
        <w:adjustRightInd w:val="0"/>
        <w:snapToGrid w:val="0"/>
        <w:spacing w:line="600" w:lineRule="exact"/>
        <w:ind w:firstLine="565" w:firstLineChars="181"/>
        <w:rPr>
          <w:spacing w:val="-2"/>
          <w:kern w:val="0"/>
          <w:szCs w:val="32"/>
          <w:lang w:val="zh-CN"/>
        </w:rPr>
      </w:pPr>
      <w:r>
        <w:rPr>
          <w:b/>
          <w:szCs w:val="32"/>
        </w:rPr>
        <w:t xml:space="preserve">第三条 </w:t>
      </w:r>
      <w:r>
        <w:rPr>
          <w:spacing w:val="-2"/>
          <w:kern w:val="0"/>
          <w:szCs w:val="32"/>
          <w:lang w:val="zh-CN"/>
        </w:rPr>
        <w:t>社保基金办理定期存款应采取竞争性方式择优选择存放银行。竞争性方式是指市财政部门就选择社保基金定期存款存放银行事宜公开邀请银行报名参与竞争，采用综合评分法进行评分，根据评分结果择优确定存放银行的管理活动。</w:t>
      </w:r>
    </w:p>
    <w:p>
      <w:pPr>
        <w:tabs>
          <w:tab w:val="left" w:pos="1980"/>
          <w:tab w:val="left" w:pos="2340"/>
        </w:tabs>
        <w:adjustRightInd w:val="0"/>
        <w:snapToGrid w:val="0"/>
        <w:spacing w:line="600" w:lineRule="exact"/>
        <w:rPr>
          <w:rFonts w:eastAsia="黑体"/>
          <w:spacing w:val="-2"/>
          <w:kern w:val="0"/>
          <w:szCs w:val="32"/>
          <w:lang w:val="zh-CN"/>
        </w:rPr>
      </w:pPr>
    </w:p>
    <w:p>
      <w:pPr>
        <w:tabs>
          <w:tab w:val="left" w:pos="1980"/>
          <w:tab w:val="left" w:pos="2340"/>
        </w:tabs>
        <w:adjustRightInd w:val="0"/>
        <w:snapToGrid w:val="0"/>
        <w:spacing w:line="600" w:lineRule="exact"/>
        <w:ind w:firstLine="542" w:firstLineChars="176"/>
        <w:jc w:val="center"/>
        <w:rPr>
          <w:rFonts w:eastAsia="黑体"/>
          <w:spacing w:val="-2"/>
          <w:kern w:val="0"/>
          <w:szCs w:val="32"/>
          <w:lang w:val="zh-CN"/>
        </w:rPr>
      </w:pPr>
      <w:r>
        <w:rPr>
          <w:rFonts w:eastAsia="黑体"/>
          <w:spacing w:val="-2"/>
          <w:kern w:val="0"/>
          <w:szCs w:val="32"/>
          <w:lang w:val="zh-CN"/>
        </w:rPr>
        <w:t>第二章  存放银行选择</w:t>
      </w:r>
    </w:p>
    <w:p>
      <w:pPr>
        <w:tabs>
          <w:tab w:val="left" w:pos="1980"/>
          <w:tab w:val="left" w:pos="2340"/>
        </w:tabs>
        <w:adjustRightInd w:val="0"/>
        <w:snapToGrid w:val="0"/>
        <w:spacing w:line="600" w:lineRule="exact"/>
        <w:ind w:firstLine="542" w:firstLineChars="176"/>
        <w:jc w:val="center"/>
        <w:rPr>
          <w:rFonts w:eastAsia="黑体"/>
          <w:spacing w:val="-2"/>
          <w:kern w:val="0"/>
          <w:szCs w:val="32"/>
          <w:lang w:val="zh-CN"/>
        </w:rPr>
      </w:pPr>
    </w:p>
    <w:p>
      <w:pPr>
        <w:adjustRightInd w:val="0"/>
        <w:snapToGrid w:val="0"/>
        <w:spacing w:line="600" w:lineRule="exact"/>
        <w:ind w:firstLine="565" w:firstLineChars="181"/>
        <w:rPr>
          <w:szCs w:val="32"/>
        </w:rPr>
      </w:pPr>
      <w:r>
        <w:rPr>
          <w:b/>
          <w:szCs w:val="32"/>
        </w:rPr>
        <w:t xml:space="preserve">第四条 </w:t>
      </w:r>
      <w:r>
        <w:rPr>
          <w:szCs w:val="32"/>
        </w:rPr>
        <w:t>社保基金定期存款参与银行应是在中华人民共和国境内依法设立，同时在市区（含惠城区、惠阳区、大亚湾经济技术开发区和仲恺高新区）设有分行级以上（含分行级）经营机构，吸收公众存款的金融机构及政策性银行。</w:t>
      </w:r>
    </w:p>
    <w:p>
      <w:pPr>
        <w:adjustRightInd w:val="0"/>
        <w:snapToGrid w:val="0"/>
        <w:spacing w:line="600" w:lineRule="exact"/>
        <w:ind w:firstLine="565" w:firstLineChars="181"/>
        <w:rPr>
          <w:szCs w:val="32"/>
        </w:rPr>
      </w:pPr>
      <w:r>
        <w:rPr>
          <w:szCs w:val="32"/>
        </w:rPr>
        <w:t>本办法所称存放银行，是指按照本办法规定，通过竞争性方式取得定期存款存放资格的银行。</w:t>
      </w:r>
    </w:p>
    <w:p>
      <w:pPr>
        <w:tabs>
          <w:tab w:val="left" w:pos="3227"/>
        </w:tabs>
        <w:adjustRightInd w:val="0"/>
        <w:snapToGrid w:val="0"/>
        <w:spacing w:line="600" w:lineRule="exact"/>
        <w:ind w:firstLine="565" w:firstLineChars="181"/>
        <w:rPr>
          <w:b/>
          <w:szCs w:val="32"/>
        </w:rPr>
      </w:pPr>
      <w:r>
        <w:rPr>
          <w:szCs w:val="32"/>
        </w:rPr>
        <w:t>本办法所称参与银行，是指按照本办法规定，经市财政部门审查确认具备参与竞争资格的银行。</w:t>
      </w:r>
    </w:p>
    <w:p>
      <w:pPr>
        <w:tabs>
          <w:tab w:val="left" w:pos="3227"/>
        </w:tabs>
        <w:adjustRightInd w:val="0"/>
        <w:snapToGrid w:val="0"/>
        <w:spacing w:line="600" w:lineRule="exact"/>
        <w:ind w:firstLine="565" w:firstLineChars="181"/>
        <w:rPr>
          <w:rFonts w:ascii="仿宋" w:hAnsi="仿宋"/>
          <w:szCs w:val="32"/>
        </w:rPr>
      </w:pPr>
      <w:r>
        <w:rPr>
          <w:b/>
          <w:szCs w:val="32"/>
        </w:rPr>
        <w:t xml:space="preserve">第五条 </w:t>
      </w:r>
      <w:r>
        <w:rPr>
          <w:rFonts w:ascii="仿宋" w:hAnsi="仿宋"/>
          <w:szCs w:val="32"/>
        </w:rPr>
        <w:t>银行参与竞争性方式存放，应当符合以下条件：</w:t>
      </w:r>
    </w:p>
    <w:p>
      <w:pPr>
        <w:pStyle w:val="2"/>
        <w:tabs>
          <w:tab w:val="left" w:pos="4942"/>
        </w:tabs>
        <w:kinsoku w:val="0"/>
        <w:overflowPunct w:val="0"/>
        <w:spacing w:line="600" w:lineRule="exact"/>
        <w:ind w:firstLine="565" w:firstLineChars="181"/>
        <w:rPr>
          <w:rFonts w:ascii="仿宋" w:hAnsi="仿宋" w:eastAsia="仿宋" w:cs="Times New Roman"/>
        </w:rPr>
      </w:pPr>
      <w:r>
        <w:rPr>
          <w:rFonts w:ascii="仿宋" w:hAnsi="仿宋" w:eastAsia="仿宋" w:cs="Times New Roman"/>
          <w:kern w:val="2"/>
        </w:rPr>
        <w:t>（一）依法开展经营活动，内部管理机制健全，具有较强的风险控制能力，近2年内无重大违法违规记录，</w:t>
      </w:r>
      <w:r>
        <w:rPr>
          <w:rFonts w:ascii="仿宋" w:hAnsi="仿宋" w:eastAsia="仿宋" w:cs="Times New Roman"/>
        </w:rPr>
        <w:t>未发生重大违约事件；</w:t>
      </w:r>
    </w:p>
    <w:p>
      <w:pPr>
        <w:tabs>
          <w:tab w:val="left" w:pos="1620"/>
        </w:tabs>
        <w:adjustRightInd w:val="0"/>
        <w:snapToGrid w:val="0"/>
        <w:spacing w:line="600" w:lineRule="exact"/>
        <w:ind w:firstLine="565" w:firstLineChars="181"/>
        <w:rPr>
          <w:rFonts w:hint="eastAsia" w:ascii="仿宋" w:hAnsi="仿宋" w:eastAsia="仿宋" w:cs="仿宋"/>
          <w:szCs w:val="32"/>
        </w:rPr>
      </w:pPr>
      <w:r>
        <w:rPr>
          <w:rFonts w:hint="eastAsia" w:ascii="仿宋" w:hAnsi="仿宋" w:eastAsia="仿宋" w:cs="仿宋"/>
          <w:szCs w:val="32"/>
        </w:rPr>
        <w:t>（二）财务稳健。资本充足率、不良贷款率、拨备覆盖率、流动性覆盖率、流动性比例等指标达到监管标准；</w:t>
      </w:r>
    </w:p>
    <w:p>
      <w:pPr>
        <w:adjustRightInd w:val="0"/>
        <w:snapToGrid w:val="0"/>
        <w:spacing w:line="600" w:lineRule="exact"/>
        <w:ind w:firstLine="565" w:firstLineChars="181"/>
        <w:rPr>
          <w:rFonts w:hint="eastAsia" w:ascii="仿宋" w:hAnsi="仿宋" w:eastAsia="仿宋" w:cs="仿宋"/>
          <w:szCs w:val="32"/>
        </w:rPr>
      </w:pPr>
      <w:r>
        <w:rPr>
          <w:rFonts w:hint="eastAsia" w:ascii="仿宋" w:hAnsi="仿宋" w:eastAsia="仿宋" w:cs="仿宋"/>
          <w:szCs w:val="32"/>
        </w:rPr>
        <w:t>（三）人民银行惠州市中心支行最近2年银行业机构评估综合评级均为B＋及以上情形的；</w:t>
      </w:r>
    </w:p>
    <w:p>
      <w:pPr>
        <w:tabs>
          <w:tab w:val="left" w:pos="1620"/>
        </w:tabs>
        <w:adjustRightInd w:val="0"/>
        <w:snapToGrid w:val="0"/>
        <w:spacing w:line="600" w:lineRule="exact"/>
        <w:ind w:firstLine="565" w:firstLineChars="181"/>
        <w:rPr>
          <w:rFonts w:hint="eastAsia" w:ascii="仿宋" w:hAnsi="仿宋" w:eastAsia="仿宋" w:cs="仿宋"/>
          <w:szCs w:val="32"/>
        </w:rPr>
      </w:pPr>
      <w:r>
        <w:rPr>
          <w:rFonts w:hint="eastAsia" w:ascii="仿宋" w:hAnsi="仿宋" w:eastAsia="仿宋" w:cs="仿宋"/>
          <w:szCs w:val="32"/>
        </w:rPr>
        <w:t>（四）按要求提供真实、准确、完整，无缺项漏项的数据和材料；</w:t>
      </w:r>
    </w:p>
    <w:p>
      <w:pPr>
        <w:tabs>
          <w:tab w:val="left" w:pos="1980"/>
          <w:tab w:val="left" w:pos="2340"/>
        </w:tabs>
        <w:adjustRightInd w:val="0"/>
        <w:snapToGrid w:val="0"/>
        <w:spacing w:line="600" w:lineRule="exact"/>
        <w:ind w:firstLine="565" w:firstLineChars="181"/>
        <w:rPr>
          <w:rFonts w:hint="eastAsia" w:ascii="仿宋" w:hAnsi="仿宋" w:eastAsia="仿宋" w:cs="仿宋"/>
          <w:b/>
          <w:szCs w:val="32"/>
        </w:rPr>
      </w:pPr>
      <w:r>
        <w:rPr>
          <w:rFonts w:hint="eastAsia" w:ascii="仿宋" w:hAnsi="仿宋" w:eastAsia="仿宋" w:cs="仿宋"/>
          <w:szCs w:val="32"/>
        </w:rPr>
        <w:t>（五）出具廉政承诺书，承诺不得向相关人员输送任何利益，不得将资金存放与相关负责人员在本行亲属的业绩、收入挂钩。</w:t>
      </w:r>
    </w:p>
    <w:p>
      <w:pPr>
        <w:tabs>
          <w:tab w:val="left" w:pos="1980"/>
          <w:tab w:val="left" w:pos="2340"/>
        </w:tabs>
        <w:adjustRightInd w:val="0"/>
        <w:snapToGrid w:val="0"/>
        <w:spacing w:line="600" w:lineRule="exact"/>
        <w:ind w:firstLine="565" w:firstLineChars="181"/>
        <w:rPr>
          <w:rFonts w:hint="eastAsia" w:ascii="仿宋" w:hAnsi="仿宋" w:eastAsia="仿宋" w:cs="仿宋"/>
          <w:b/>
          <w:szCs w:val="32"/>
        </w:rPr>
      </w:pPr>
      <w:r>
        <w:rPr>
          <w:rFonts w:eastAsia="方正仿宋简体"/>
          <w:b/>
          <w:szCs w:val="32"/>
        </w:rPr>
        <w:t xml:space="preserve">第六条 </w:t>
      </w:r>
      <w:r>
        <w:rPr>
          <w:rFonts w:hint="eastAsia" w:ascii="仿宋" w:hAnsi="仿宋" w:eastAsia="仿宋" w:cs="仿宋"/>
          <w:szCs w:val="32"/>
        </w:rPr>
        <w:t>竞争性方式存放主要流程：</w:t>
      </w:r>
    </w:p>
    <w:p>
      <w:pPr>
        <w:adjustRightInd w:val="0"/>
        <w:snapToGrid w:val="0"/>
        <w:spacing w:line="600" w:lineRule="exact"/>
        <w:ind w:firstLine="565" w:firstLineChars="181"/>
        <w:rPr>
          <w:szCs w:val="32"/>
        </w:rPr>
      </w:pPr>
      <w:r>
        <w:rPr>
          <w:rFonts w:hint="eastAsia" w:ascii="楷体_GB2312" w:hAnsi="楷体_GB2312" w:eastAsia="楷体_GB2312" w:cs="楷体_GB2312"/>
          <w:szCs w:val="32"/>
        </w:rPr>
        <w:t>（一）发布竞争性方式存放公告。</w:t>
      </w:r>
      <w:r>
        <w:rPr>
          <w:szCs w:val="32"/>
        </w:rPr>
        <w:t>市财政部门在其门户网站等公开媒体上发布定期存款竞争性方式存放公告，载明参与银行资格要求、报名方式、需要提供材料、报名截止时间、择优选择存放银行数量、存放银行资格有效期等事项。</w:t>
      </w:r>
    </w:p>
    <w:p>
      <w:pPr>
        <w:adjustRightInd w:val="0"/>
        <w:snapToGrid w:val="0"/>
        <w:spacing w:line="600" w:lineRule="exact"/>
        <w:ind w:firstLine="565" w:firstLineChars="181"/>
        <w:rPr>
          <w:szCs w:val="32"/>
        </w:rPr>
      </w:pPr>
      <w:r>
        <w:rPr>
          <w:rFonts w:hint="eastAsia" w:ascii="楷体_GB2312" w:hAnsi="楷体_GB2312" w:eastAsia="楷体_GB2312" w:cs="楷体_GB2312"/>
          <w:szCs w:val="32"/>
        </w:rPr>
        <w:t>（二）审查参与银行资格。</w:t>
      </w:r>
      <w:r>
        <w:rPr>
          <w:szCs w:val="32"/>
        </w:rPr>
        <w:t>市财政部门对报名参加的银行资格进行审查，确定本期参与银行。</w:t>
      </w:r>
    </w:p>
    <w:p>
      <w:pPr>
        <w:adjustRightInd w:val="0"/>
        <w:snapToGrid w:val="0"/>
        <w:spacing w:line="600" w:lineRule="exact"/>
        <w:ind w:firstLine="565" w:firstLineChars="181"/>
        <w:rPr>
          <w:spacing w:val="-2"/>
          <w:kern w:val="0"/>
          <w:szCs w:val="32"/>
          <w:lang w:val="zh-CN"/>
        </w:rPr>
      </w:pPr>
      <w:r>
        <w:rPr>
          <w:rFonts w:hint="eastAsia" w:ascii="楷体_GB2312" w:hAnsi="楷体_GB2312" w:eastAsia="楷体_GB2312" w:cs="楷体_GB2312"/>
          <w:szCs w:val="32"/>
        </w:rPr>
        <w:t>（三）成立评审委员会。</w:t>
      </w:r>
      <w:r>
        <w:rPr>
          <w:szCs w:val="32"/>
        </w:rPr>
        <w:t>评审委员会由市财政部门、人力资源和社会保障部门、金融工作部门、人民银行惠州市中心支行、惠州</w:t>
      </w:r>
      <w:r>
        <w:rPr>
          <w:spacing w:val="-2"/>
          <w:kern w:val="0"/>
          <w:szCs w:val="32"/>
          <w:lang w:val="zh-CN"/>
        </w:rPr>
        <w:t>银保监</w:t>
      </w:r>
      <w:r>
        <w:rPr>
          <w:szCs w:val="32"/>
        </w:rPr>
        <w:t>分局各派一名工作人员共5 人组成。参与评审的评委应当熟悉财务和银行支付结算业务，并与参与银行没有利害关系。</w:t>
      </w:r>
      <w:r>
        <w:rPr>
          <w:spacing w:val="-2"/>
          <w:kern w:val="0"/>
          <w:szCs w:val="32"/>
          <w:lang w:val="zh-CN"/>
        </w:rPr>
        <w:t>市财政部门的内设监督部门派出工作人员对评审工作进行监督。</w:t>
      </w:r>
    </w:p>
    <w:p>
      <w:pPr>
        <w:adjustRightInd w:val="0"/>
        <w:snapToGrid w:val="0"/>
        <w:spacing w:line="600" w:lineRule="exact"/>
        <w:ind w:firstLine="565" w:firstLineChars="181"/>
        <w:rPr>
          <w:szCs w:val="32"/>
        </w:rPr>
      </w:pPr>
      <w:r>
        <w:rPr>
          <w:rFonts w:hint="eastAsia" w:ascii="楷体_GB2312" w:hAnsi="楷体_GB2312" w:eastAsia="楷体_GB2312" w:cs="楷体_GB2312"/>
          <w:szCs w:val="32"/>
        </w:rPr>
        <w:t>（四）对参与银行综合评分。</w:t>
      </w:r>
      <w:r>
        <w:rPr>
          <w:szCs w:val="32"/>
        </w:rPr>
        <w:t>评选委员会采用综合评分法对符合基本资格要求的参与银行进行评分，将评分结果提交市财政部门。</w:t>
      </w:r>
    </w:p>
    <w:p>
      <w:pPr>
        <w:adjustRightInd w:val="0"/>
        <w:snapToGrid w:val="0"/>
        <w:spacing w:line="600" w:lineRule="exact"/>
        <w:ind w:firstLine="565" w:firstLineChars="181"/>
        <w:rPr>
          <w:szCs w:val="32"/>
        </w:rPr>
      </w:pPr>
      <w:r>
        <w:rPr>
          <w:rFonts w:hint="eastAsia" w:ascii="楷体_GB2312" w:hAnsi="楷体_GB2312" w:eastAsia="楷体_GB2312" w:cs="楷体_GB2312"/>
          <w:szCs w:val="32"/>
        </w:rPr>
        <w:t>（五）择优确定存放银行。</w:t>
      </w:r>
      <w:r>
        <w:rPr>
          <w:szCs w:val="32"/>
        </w:rPr>
        <w:t>市财政部门根据评选委员会评分结果，</w:t>
      </w:r>
      <w:r>
        <w:rPr>
          <w:spacing w:val="-2"/>
          <w:kern w:val="0"/>
          <w:szCs w:val="32"/>
          <w:lang w:val="zh-CN"/>
        </w:rPr>
        <w:t>由高到低进行排名，</w:t>
      </w:r>
      <w:r>
        <w:rPr>
          <w:szCs w:val="32"/>
        </w:rPr>
        <w:t>择优选取</w:t>
      </w:r>
      <w:r>
        <w:rPr>
          <w:spacing w:val="-2"/>
          <w:kern w:val="0"/>
          <w:szCs w:val="32"/>
          <w:lang w:val="zh-CN"/>
        </w:rPr>
        <w:t>得分排名靠前的参与银行作为存放银行</w:t>
      </w:r>
      <w:r>
        <w:rPr>
          <w:szCs w:val="32"/>
        </w:rPr>
        <w:t>，向存放银行发出确认通知书。同时将评选结果在原发布竞争性选择公告的公开媒体上公告并签订存款协议。</w:t>
      </w:r>
    </w:p>
    <w:p>
      <w:pPr>
        <w:adjustRightInd w:val="0"/>
        <w:snapToGrid w:val="0"/>
        <w:spacing w:line="600" w:lineRule="exact"/>
        <w:ind w:firstLine="565" w:firstLineChars="181"/>
        <w:rPr>
          <w:szCs w:val="32"/>
        </w:rPr>
      </w:pPr>
      <w:r>
        <w:rPr>
          <w:b/>
          <w:szCs w:val="32"/>
        </w:rPr>
        <w:t xml:space="preserve">第七条 </w:t>
      </w:r>
      <w:r>
        <w:rPr>
          <w:spacing w:val="-2"/>
          <w:kern w:val="0"/>
          <w:szCs w:val="32"/>
          <w:lang w:val="zh-CN"/>
        </w:rPr>
        <w:t>银行参与竞争以自愿为原则，在公告规定时间内自行向市财政部门申报。在公告规定报名时间截止后报名的潜在投标人，市财政部门拒绝潜在投标人报名。</w:t>
      </w:r>
    </w:p>
    <w:p>
      <w:pPr>
        <w:tabs>
          <w:tab w:val="left" w:pos="3227"/>
        </w:tabs>
        <w:adjustRightInd w:val="0"/>
        <w:snapToGrid w:val="0"/>
        <w:spacing w:line="600" w:lineRule="exact"/>
        <w:ind w:firstLine="565" w:firstLineChars="181"/>
        <w:rPr>
          <w:szCs w:val="32"/>
        </w:rPr>
      </w:pPr>
      <w:r>
        <w:rPr>
          <w:b/>
          <w:szCs w:val="32"/>
        </w:rPr>
        <w:t xml:space="preserve">第八条 </w:t>
      </w:r>
      <w:r>
        <w:rPr>
          <w:szCs w:val="32"/>
        </w:rPr>
        <w:t>市财政部门原则上每年开展一次竞争性方式评审工作，在评审结果有效期内根据社保基金活期存款余额情况办理定期存款。</w:t>
      </w:r>
    </w:p>
    <w:p>
      <w:pPr>
        <w:tabs>
          <w:tab w:val="left" w:pos="3227"/>
        </w:tabs>
        <w:adjustRightInd w:val="0"/>
        <w:snapToGrid w:val="0"/>
        <w:spacing w:line="600" w:lineRule="exact"/>
        <w:ind w:firstLine="557" w:firstLineChars="181"/>
        <w:rPr>
          <w:spacing w:val="-2"/>
          <w:kern w:val="0"/>
          <w:szCs w:val="32"/>
          <w:lang w:val="zh-CN"/>
        </w:rPr>
      </w:pPr>
    </w:p>
    <w:p>
      <w:pPr>
        <w:adjustRightInd w:val="0"/>
        <w:snapToGrid w:val="0"/>
        <w:spacing w:line="600" w:lineRule="exact"/>
        <w:jc w:val="center"/>
        <w:rPr>
          <w:rFonts w:eastAsia="黑体"/>
          <w:spacing w:val="-2"/>
          <w:kern w:val="0"/>
          <w:szCs w:val="32"/>
          <w:lang w:val="zh-CN"/>
        </w:rPr>
      </w:pPr>
      <w:r>
        <w:rPr>
          <w:rFonts w:eastAsia="黑体"/>
          <w:szCs w:val="32"/>
        </w:rPr>
        <w:t>第三章  指标设置</w:t>
      </w:r>
      <w:r>
        <w:rPr>
          <w:rFonts w:eastAsia="黑体"/>
          <w:spacing w:val="-2"/>
          <w:kern w:val="0"/>
          <w:szCs w:val="32"/>
          <w:lang w:val="zh-CN"/>
        </w:rPr>
        <w:t>和资金额度分配</w:t>
      </w:r>
    </w:p>
    <w:p>
      <w:pPr>
        <w:adjustRightInd w:val="0"/>
        <w:snapToGrid w:val="0"/>
        <w:spacing w:line="600" w:lineRule="exact"/>
        <w:ind w:firstLine="549" w:firstLineChars="176"/>
        <w:rPr>
          <w:b/>
          <w:szCs w:val="32"/>
        </w:rPr>
      </w:pPr>
    </w:p>
    <w:p>
      <w:pPr>
        <w:adjustRightInd w:val="0"/>
        <w:snapToGrid w:val="0"/>
        <w:spacing w:line="600" w:lineRule="exact"/>
        <w:ind w:firstLine="565" w:firstLineChars="181"/>
        <w:rPr>
          <w:szCs w:val="32"/>
        </w:rPr>
      </w:pPr>
      <w:r>
        <w:rPr>
          <w:b/>
          <w:szCs w:val="32"/>
        </w:rPr>
        <w:t xml:space="preserve">第九条 </w:t>
      </w:r>
      <w:r>
        <w:rPr>
          <w:szCs w:val="32"/>
        </w:rPr>
        <w:t>评分指标由经营状况、支持地方经济发展贡献度、利率报价和服务水平4项组成。各项指标分值为：经营状况40分，支持地方经济发展贡献度40分，利率报价12分，服务水平8分。</w:t>
      </w:r>
    </w:p>
    <w:p>
      <w:pPr>
        <w:adjustRightInd w:val="0"/>
        <w:snapToGrid w:val="0"/>
        <w:spacing w:line="600" w:lineRule="exact"/>
        <w:ind w:firstLine="565" w:firstLineChars="181"/>
        <w:rPr>
          <w:szCs w:val="32"/>
        </w:rPr>
      </w:pPr>
      <w:r>
        <w:rPr>
          <w:szCs w:val="32"/>
        </w:rPr>
        <w:t>（一）经营状况指标反映参与银行的资产质量、偿付能力和经营风险状况，包括净资产总额（8分）、资本充足率（8分）、不良贷款率（7分）、年末存款余额（8分）、年末贷款余额（9分）。指标值由惠州银保监分局负责提供，其中：净资产总额、资本充足率和不良贷款率指标值按总行数据计算得出，年末存款余额和年末贷款余额指标值按惠州本部数据计算得出。</w:t>
      </w:r>
    </w:p>
    <w:p>
      <w:pPr>
        <w:adjustRightInd w:val="0"/>
        <w:snapToGrid w:val="0"/>
        <w:spacing w:line="600" w:lineRule="exact"/>
        <w:ind w:firstLine="565" w:firstLineChars="181"/>
        <w:rPr>
          <w:szCs w:val="32"/>
        </w:rPr>
      </w:pPr>
      <w:r>
        <w:rPr>
          <w:szCs w:val="32"/>
        </w:rPr>
        <w:t>（二）支持地方经济发展贡献度指标反映银行支持惠州地区经济发展情况，包括缴纳税收惠州留成收入（10分）及同比增长率（3分）、在惠普惠贷款年末余额及同比增长率（各4分）、在惠制造业贷款年末余额及同比增长率（各4分）、银行对地方扶持政策参与度（8分）及银行机构层级设置（3分）。其中：缴纳税收惠州留成收入指标值由市税务部门负责提供，银行对地方扶持政策参与度主要反映银行对地方金融扶持政策及社保卡发放政策的参与度，指标值由市金融工作部门负责，市人力资源和社会保障部门、工信部门和市场监管部门协助提供，其余指标值由惠州银保监分局负责提供。</w:t>
      </w:r>
    </w:p>
    <w:p>
      <w:pPr>
        <w:adjustRightInd w:val="0"/>
        <w:snapToGrid w:val="0"/>
        <w:spacing w:line="600" w:lineRule="exact"/>
        <w:ind w:firstLine="565" w:firstLineChars="181"/>
        <w:rPr>
          <w:rFonts w:hint="eastAsia" w:ascii="仿宋" w:hAnsi="仿宋" w:eastAsia="仿宋" w:cs="仿宋"/>
          <w:szCs w:val="32"/>
        </w:rPr>
      </w:pPr>
      <w:r>
        <w:rPr>
          <w:szCs w:val="32"/>
        </w:rPr>
        <w:t>（三）</w:t>
      </w:r>
      <w:r>
        <w:rPr>
          <w:rFonts w:hint="eastAsia" w:ascii="仿宋" w:hAnsi="仿宋" w:eastAsia="仿宋" w:cs="仿宋"/>
          <w:szCs w:val="32"/>
        </w:rPr>
        <w:t>利率报价指标是指参与银行承诺办理定期存款的利率，由参与银行在总行或上级分行授权范围内提供。利率报价须在中国人民银行公布的同期定期存款基准利率的基础上上浮，上限不超过40%。</w:t>
      </w:r>
    </w:p>
    <w:p>
      <w:pPr>
        <w:adjustRightInd w:val="0"/>
        <w:snapToGrid w:val="0"/>
        <w:spacing w:line="600" w:lineRule="exact"/>
        <w:ind w:firstLine="565" w:firstLineChars="181"/>
        <w:rPr>
          <w:szCs w:val="32"/>
        </w:rPr>
      </w:pPr>
      <w:r>
        <w:rPr>
          <w:rFonts w:hint="eastAsia" w:ascii="仿宋" w:hAnsi="仿宋" w:eastAsia="仿宋" w:cs="仿宋"/>
          <w:szCs w:val="32"/>
        </w:rPr>
        <w:t>（四）</w:t>
      </w:r>
      <w:r>
        <w:rPr>
          <w:rFonts w:hint="eastAsia" w:ascii="仿宋" w:hAnsi="仿宋" w:eastAsia="仿宋" w:cs="仿宋"/>
        </w:rPr>
        <w:t>服务水平指标</w:t>
      </w:r>
      <w:r>
        <w:t>反映参与银行提供支付结算、对账、银</w:t>
      </w:r>
      <w:bookmarkStart w:id="0" w:name="_GoBack"/>
      <w:bookmarkEnd w:id="0"/>
      <w:r>
        <w:t>行账户管理，以及在惠设置网点服务社会等服务的能力和水平。包括：支付结算、对账、银行账户管理（4分）和</w:t>
      </w:r>
      <w:r>
        <w:rPr>
          <w:szCs w:val="32"/>
        </w:rPr>
        <w:t>惠州营业网点数（4分），指标分别由市财政部门、惠州银保监分局负责提供。</w:t>
      </w:r>
    </w:p>
    <w:p>
      <w:pPr>
        <w:adjustRightInd w:val="0"/>
        <w:snapToGrid w:val="0"/>
        <w:spacing w:line="600" w:lineRule="exact"/>
        <w:ind w:firstLine="565" w:firstLineChars="181"/>
        <w:rPr>
          <w:szCs w:val="32"/>
        </w:rPr>
      </w:pPr>
      <w:r>
        <w:rPr>
          <w:b/>
          <w:szCs w:val="32"/>
        </w:rPr>
        <w:t xml:space="preserve">第十条 </w:t>
      </w:r>
      <w:r>
        <w:rPr>
          <w:szCs w:val="32"/>
        </w:rPr>
        <w:t>单项指标和参与银行得分计算方法。</w:t>
      </w:r>
    </w:p>
    <w:p>
      <w:pPr>
        <w:adjustRightInd w:val="0"/>
        <w:snapToGrid w:val="0"/>
        <w:spacing w:line="600" w:lineRule="exact"/>
        <w:ind w:firstLine="565" w:firstLineChars="181"/>
        <w:rPr>
          <w:rFonts w:ascii="楷体_GB2312" w:hAnsi="楷体_GB2312" w:eastAsia="楷体_GB2312" w:cs="楷体_GB2312"/>
          <w:szCs w:val="32"/>
        </w:rPr>
      </w:pPr>
      <w:r>
        <w:rPr>
          <w:rFonts w:hint="eastAsia" w:ascii="楷体_GB2312" w:hAnsi="楷体_GB2312" w:eastAsia="楷体_GB2312" w:cs="楷体_GB2312"/>
          <w:szCs w:val="32"/>
        </w:rPr>
        <w:t>（一）单项指标得分计算方法。</w:t>
      </w:r>
    </w:p>
    <w:p>
      <w:pPr>
        <w:adjustRightInd w:val="0"/>
        <w:snapToGrid w:val="0"/>
        <w:spacing w:line="600" w:lineRule="exact"/>
        <w:ind w:firstLine="549" w:firstLineChars="176"/>
        <w:rPr>
          <w:szCs w:val="32"/>
        </w:rPr>
      </w:pPr>
      <w:r>
        <w:rPr>
          <w:szCs w:val="32"/>
        </w:rPr>
        <w:t>1.单项指标（除不良贷款率，银行机构层级设置和</w:t>
      </w:r>
      <w:r>
        <w:rPr>
          <w:color w:val="3E3E3E"/>
          <w:szCs w:val="32"/>
          <w:shd w:val="clear" w:color="auto" w:fill="FFFFFF"/>
        </w:rPr>
        <w:t>支付结算、对账、银行账户管理三项指标外）</w:t>
      </w:r>
      <w:r>
        <w:rPr>
          <w:szCs w:val="32"/>
        </w:rPr>
        <w:t>得分：单项指标值由高到低排序，按名次排第一名的银行得满分，依次递减</w:t>
      </w:r>
      <w:r>
        <w:rPr>
          <w:color w:val="3E3E3E"/>
          <w:szCs w:val="32"/>
          <w:shd w:val="clear" w:color="auto" w:fill="FFFFFF"/>
        </w:rPr>
        <w:t>直至0分</w:t>
      </w:r>
      <w:r>
        <w:rPr>
          <w:szCs w:val="32"/>
        </w:rPr>
        <w:t>计算得分,没有数值不得分；</w:t>
      </w:r>
    </w:p>
    <w:p>
      <w:pPr>
        <w:adjustRightInd w:val="0"/>
        <w:snapToGrid w:val="0"/>
        <w:spacing w:line="600" w:lineRule="exact"/>
        <w:ind w:firstLine="549" w:firstLineChars="176"/>
        <w:rPr>
          <w:szCs w:val="32"/>
        </w:rPr>
      </w:pPr>
      <w:r>
        <w:rPr>
          <w:szCs w:val="32"/>
        </w:rPr>
        <w:t>2.不良贷款率指标得分：指标值由低到高排序，按名次排第一名的银行得满分，依次递减</w:t>
      </w:r>
      <w:r>
        <w:rPr>
          <w:color w:val="3E3E3E"/>
          <w:szCs w:val="32"/>
          <w:shd w:val="clear" w:color="auto" w:fill="FFFFFF"/>
        </w:rPr>
        <w:t>直至0分</w:t>
      </w:r>
      <w:r>
        <w:rPr>
          <w:szCs w:val="32"/>
        </w:rPr>
        <w:t>计算得分；</w:t>
      </w:r>
    </w:p>
    <w:p>
      <w:pPr>
        <w:adjustRightInd w:val="0"/>
        <w:snapToGrid w:val="0"/>
        <w:spacing w:line="600" w:lineRule="exact"/>
        <w:ind w:firstLine="549" w:firstLineChars="176"/>
        <w:rPr>
          <w:szCs w:val="32"/>
        </w:rPr>
      </w:pPr>
      <w:r>
        <w:rPr>
          <w:szCs w:val="32"/>
        </w:rPr>
        <w:t>3.银行机构层级设置指标得分：在惠州设立的机构级次为总行的得3分；分行得1.5分；</w:t>
      </w:r>
    </w:p>
    <w:p>
      <w:pPr>
        <w:adjustRightInd w:val="0"/>
        <w:snapToGrid w:val="0"/>
        <w:spacing w:line="600" w:lineRule="exact"/>
        <w:ind w:firstLine="549" w:firstLineChars="176"/>
        <w:rPr>
          <w:szCs w:val="32"/>
        </w:rPr>
      </w:pPr>
      <w:r>
        <w:rPr>
          <w:szCs w:val="32"/>
        </w:rPr>
        <w:t>4.</w:t>
      </w:r>
      <w:r>
        <w:rPr>
          <w:color w:val="3E3E3E"/>
          <w:szCs w:val="32"/>
          <w:shd w:val="clear" w:color="auto" w:fill="FFFFFF"/>
        </w:rPr>
        <w:t>支付结算、对账、银行账户管理指标得分：能按支付结算、对账、银行账户管理的规定办理业务得满分，出错或违规办理业务每次扣1分直至0分</w:t>
      </w:r>
      <w:r>
        <w:rPr>
          <w:szCs w:val="32"/>
        </w:rPr>
        <w:t>计算得分。</w:t>
      </w:r>
    </w:p>
    <w:p>
      <w:pPr>
        <w:adjustRightInd w:val="0"/>
        <w:snapToGrid w:val="0"/>
        <w:spacing w:line="600" w:lineRule="exact"/>
        <w:ind w:firstLine="562" w:firstLineChars="180"/>
        <w:rPr>
          <w:rFonts w:ascii="楷体_GB2312" w:hAnsi="楷体_GB2312" w:eastAsia="楷体_GB2312" w:cs="楷体_GB2312"/>
          <w:szCs w:val="32"/>
        </w:rPr>
      </w:pPr>
      <w:r>
        <w:rPr>
          <w:rFonts w:hint="eastAsia" w:ascii="楷体_GB2312" w:hAnsi="楷体_GB2312" w:eastAsia="楷体_GB2312" w:cs="楷体_GB2312"/>
          <w:szCs w:val="32"/>
        </w:rPr>
        <w:t>（二）单个银行得分计算方法。</w:t>
      </w:r>
    </w:p>
    <w:p>
      <w:pPr>
        <w:adjustRightInd w:val="0"/>
        <w:snapToGrid w:val="0"/>
        <w:spacing w:line="600" w:lineRule="exact"/>
        <w:ind w:firstLine="562" w:firstLineChars="180"/>
        <w:rPr>
          <w:szCs w:val="32"/>
        </w:rPr>
      </w:pPr>
      <w:r>
        <w:rPr>
          <w:szCs w:val="32"/>
        </w:rPr>
        <w:t>单个评委计算的银行得分＝∑经营状况中单项指标得分+∑支持经济发展贡献度中单项指标得分+利率水平指标得分+∑服务水平中单项指标得分。</w:t>
      </w:r>
    </w:p>
    <w:p>
      <w:pPr>
        <w:adjustRightInd w:val="0"/>
        <w:snapToGrid w:val="0"/>
        <w:spacing w:line="600" w:lineRule="exact"/>
        <w:ind w:firstLine="562" w:firstLineChars="180"/>
        <w:rPr>
          <w:szCs w:val="32"/>
        </w:rPr>
      </w:pPr>
      <w:r>
        <w:rPr>
          <w:szCs w:val="32"/>
        </w:rPr>
        <w:t>存放银行最终得分为全体评委计算的银行得分算术平均数。</w:t>
      </w:r>
    </w:p>
    <w:p>
      <w:pPr>
        <w:adjustRightInd w:val="0"/>
        <w:snapToGrid w:val="0"/>
        <w:spacing w:line="600" w:lineRule="exact"/>
        <w:ind w:firstLine="565" w:firstLineChars="181"/>
        <w:rPr>
          <w:spacing w:val="-2"/>
          <w:kern w:val="0"/>
          <w:szCs w:val="32"/>
          <w:lang w:val="zh-CN"/>
        </w:rPr>
      </w:pPr>
      <w:r>
        <w:rPr>
          <w:b/>
          <w:szCs w:val="32"/>
        </w:rPr>
        <w:t xml:space="preserve">第十一条 </w:t>
      </w:r>
      <w:r>
        <w:rPr>
          <w:szCs w:val="32"/>
        </w:rPr>
        <w:t>分配定期存款额度。市财政部门将</w:t>
      </w:r>
      <w:r>
        <w:rPr>
          <w:spacing w:val="-2"/>
          <w:kern w:val="0"/>
          <w:szCs w:val="32"/>
          <w:lang w:val="zh-CN"/>
        </w:rPr>
        <w:t>存放银行的得分乘以系数计算出系数分，按系数分的权重值计算定期存款额度。各存放银行系数设置为：按得分由高到低排名，排名第1至5名的系数为2,第6至10名的系数为1,第11名（含第11名）之后系数为0.5。</w:t>
      </w:r>
    </w:p>
    <w:p>
      <w:pPr>
        <w:adjustRightInd w:val="0"/>
        <w:snapToGrid w:val="0"/>
        <w:spacing w:line="600" w:lineRule="exact"/>
        <w:ind w:firstLine="562" w:firstLineChars="180"/>
        <w:rPr>
          <w:szCs w:val="32"/>
        </w:rPr>
      </w:pPr>
      <w:r>
        <w:rPr>
          <w:szCs w:val="32"/>
        </w:rPr>
        <w:t>存放银行系数分＝存放银行得分×系数。</w:t>
      </w:r>
    </w:p>
    <w:p>
      <w:pPr>
        <w:adjustRightInd w:val="0"/>
        <w:snapToGrid w:val="0"/>
        <w:spacing w:line="600" w:lineRule="exact"/>
        <w:ind w:firstLine="562" w:firstLineChars="180"/>
        <w:rPr>
          <w:szCs w:val="32"/>
        </w:rPr>
      </w:pPr>
      <w:r>
        <w:rPr>
          <w:szCs w:val="32"/>
        </w:rPr>
        <w:t>存放银行定期存款额度＝可分配资金总额×当期单个存放银行系数分÷∑当期所有存放银行系数分。</w:t>
      </w:r>
    </w:p>
    <w:p>
      <w:pPr>
        <w:adjustRightInd w:val="0"/>
        <w:snapToGrid w:val="0"/>
        <w:spacing w:line="600" w:lineRule="exact"/>
        <w:ind w:firstLine="562" w:firstLineChars="180"/>
        <w:rPr>
          <w:szCs w:val="32"/>
        </w:rPr>
      </w:pPr>
      <w:r>
        <w:rPr>
          <w:b/>
          <w:szCs w:val="32"/>
        </w:rPr>
        <w:t xml:space="preserve">第十二条 </w:t>
      </w:r>
      <w:r>
        <w:rPr>
          <w:szCs w:val="32"/>
        </w:rPr>
        <w:t>单个银行分配定期存款额度最低为1,000万元（以千万元为单位取整），增加幅度为1,000万元的整数倍。</w:t>
      </w:r>
    </w:p>
    <w:p>
      <w:pPr>
        <w:tabs>
          <w:tab w:val="left" w:pos="2490"/>
        </w:tabs>
        <w:adjustRightInd w:val="0"/>
        <w:snapToGrid w:val="0"/>
        <w:spacing w:line="600" w:lineRule="exact"/>
        <w:rPr>
          <w:spacing w:val="-2"/>
          <w:kern w:val="0"/>
          <w:szCs w:val="32"/>
          <w:lang w:val="zh-CN"/>
        </w:rPr>
      </w:pPr>
    </w:p>
    <w:p>
      <w:pPr>
        <w:numPr>
          <w:ilvl w:val="0"/>
          <w:numId w:val="1"/>
        </w:numPr>
        <w:adjustRightInd w:val="0"/>
        <w:snapToGrid w:val="0"/>
        <w:spacing w:line="600" w:lineRule="exact"/>
        <w:jc w:val="center"/>
        <w:rPr>
          <w:rFonts w:eastAsia="黑体"/>
          <w:szCs w:val="32"/>
        </w:rPr>
      </w:pPr>
      <w:r>
        <w:rPr>
          <w:rFonts w:eastAsia="黑体"/>
          <w:szCs w:val="32"/>
        </w:rPr>
        <w:t xml:space="preserve"> 资金存放约束和监督</w:t>
      </w:r>
    </w:p>
    <w:p>
      <w:pPr>
        <w:adjustRightInd w:val="0"/>
        <w:snapToGrid w:val="0"/>
        <w:spacing w:line="600" w:lineRule="exact"/>
        <w:ind w:firstLine="565" w:firstLineChars="181"/>
        <w:rPr>
          <w:b/>
          <w:szCs w:val="32"/>
        </w:rPr>
      </w:pPr>
    </w:p>
    <w:p>
      <w:pPr>
        <w:adjustRightInd w:val="0"/>
        <w:snapToGrid w:val="0"/>
        <w:spacing w:line="600" w:lineRule="exact"/>
        <w:ind w:firstLine="565" w:firstLineChars="181"/>
      </w:pPr>
      <w:r>
        <w:rPr>
          <w:b/>
          <w:szCs w:val="32"/>
        </w:rPr>
        <w:t xml:space="preserve">第十三条 </w:t>
      </w:r>
      <w:r>
        <w:t>存放银行出现以下行为或情形，市财政部门视情节轻重，给予提前收回中标银行的存放资金、</w:t>
      </w:r>
      <w:r>
        <w:rPr>
          <w:rFonts w:hint="eastAsia"/>
        </w:rPr>
        <w:t>按约定</w:t>
      </w:r>
      <w:r>
        <w:t>解除存款协议关系等处理：</w:t>
      </w:r>
    </w:p>
    <w:p>
      <w:pPr>
        <w:pStyle w:val="2"/>
        <w:kinsoku w:val="0"/>
        <w:overflowPunct w:val="0"/>
        <w:spacing w:line="600" w:lineRule="exact"/>
        <w:ind w:firstLine="536" w:firstLineChars="181"/>
        <w:rPr>
          <w:rFonts w:ascii="Times New Roman" w:eastAsia="仿宋_GB2312" w:cs="Times New Roman"/>
        </w:rPr>
      </w:pPr>
      <w:r>
        <w:rPr>
          <w:rFonts w:ascii="Times New Roman" w:eastAsia="仿宋_GB2312" w:cs="Times New Roman"/>
          <w:w w:val="95"/>
        </w:rPr>
        <w:t>（一）存放银行出现重大安全风险事件或者经营状况恶</w:t>
      </w:r>
      <w:r>
        <w:rPr>
          <w:rFonts w:ascii="Times New Roman" w:eastAsia="仿宋_GB2312" w:cs="Times New Roman"/>
        </w:rPr>
        <w:t>化影响基金存放安全的；</w:t>
      </w:r>
    </w:p>
    <w:p>
      <w:pPr>
        <w:pStyle w:val="2"/>
        <w:kinsoku w:val="0"/>
        <w:overflowPunct w:val="0"/>
        <w:spacing w:line="600" w:lineRule="exact"/>
        <w:ind w:firstLine="536" w:firstLineChars="181"/>
        <w:rPr>
          <w:rFonts w:ascii="Times New Roman" w:eastAsia="仿宋_GB2312" w:cs="Times New Roman"/>
        </w:rPr>
      </w:pPr>
      <w:r>
        <w:rPr>
          <w:rFonts w:ascii="Times New Roman" w:eastAsia="仿宋_GB2312" w:cs="Times New Roman"/>
          <w:w w:val="95"/>
        </w:rPr>
        <w:t>（二）凡发现并经核实存放银行未遵守廉政承诺或者在</w:t>
      </w:r>
      <w:r>
        <w:rPr>
          <w:rFonts w:ascii="Times New Roman" w:eastAsia="仿宋_GB2312" w:cs="Times New Roman"/>
        </w:rPr>
        <w:t>基金存放中存在其他利益输送行为的；</w:t>
      </w:r>
    </w:p>
    <w:p>
      <w:pPr>
        <w:pStyle w:val="2"/>
        <w:kinsoku w:val="0"/>
        <w:overflowPunct w:val="0"/>
        <w:spacing w:line="600" w:lineRule="exact"/>
        <w:ind w:firstLine="536" w:firstLineChars="181"/>
        <w:rPr>
          <w:rFonts w:ascii="Times New Roman" w:eastAsia="仿宋_GB2312" w:cs="Times New Roman"/>
        </w:rPr>
      </w:pPr>
      <w:r>
        <w:rPr>
          <w:rFonts w:ascii="Times New Roman" w:eastAsia="仿宋_GB2312" w:cs="Times New Roman"/>
          <w:w w:val="95"/>
        </w:rPr>
        <w:t>（三）监管评级降低，或发生重大违法违规行为，银行存在</w:t>
      </w:r>
      <w:r>
        <w:rPr>
          <w:rFonts w:ascii="Times New Roman" w:eastAsia="仿宋_GB2312" w:cs="Times New Roman"/>
        </w:rPr>
        <w:t>较大运营风险的；</w:t>
      </w:r>
    </w:p>
    <w:p>
      <w:pPr>
        <w:pStyle w:val="2"/>
        <w:kinsoku w:val="0"/>
        <w:overflowPunct w:val="0"/>
        <w:spacing w:line="600" w:lineRule="exact"/>
        <w:ind w:firstLine="565" w:firstLineChars="181"/>
        <w:rPr>
          <w:rFonts w:ascii="Times New Roman" w:eastAsia="仿宋_GB2312" w:cs="Times New Roman"/>
        </w:rPr>
      </w:pPr>
      <w:r>
        <w:rPr>
          <w:rFonts w:ascii="Times New Roman" w:eastAsia="仿宋_GB2312" w:cs="Times New Roman"/>
        </w:rPr>
        <w:t>（四）存在弄虚作假等严重不正当竞争行为的；</w:t>
      </w:r>
    </w:p>
    <w:p>
      <w:pPr>
        <w:pStyle w:val="2"/>
        <w:kinsoku w:val="0"/>
        <w:overflowPunct w:val="0"/>
        <w:spacing w:line="600" w:lineRule="exact"/>
        <w:ind w:firstLine="565" w:firstLineChars="181"/>
        <w:rPr>
          <w:rFonts w:ascii="Times New Roman" w:eastAsia="仿宋_GB2312" w:cs="Times New Roman"/>
        </w:rPr>
      </w:pPr>
      <w:r>
        <w:rPr>
          <w:rFonts w:ascii="Times New Roman" w:eastAsia="仿宋_GB2312" w:cs="Times New Roman"/>
        </w:rPr>
        <w:t>（五）没有按照协议承诺履行相应责任和义务的；</w:t>
      </w:r>
    </w:p>
    <w:p>
      <w:pPr>
        <w:adjustRightInd w:val="0"/>
        <w:snapToGrid w:val="0"/>
        <w:spacing w:line="600" w:lineRule="exact"/>
        <w:ind w:firstLine="565" w:firstLineChars="181"/>
        <w:rPr>
          <w:kern w:val="0"/>
          <w:szCs w:val="32"/>
        </w:rPr>
      </w:pPr>
      <w:r>
        <w:rPr>
          <w:kern w:val="0"/>
          <w:szCs w:val="32"/>
        </w:rPr>
        <w:t>（六）其他影响基金安全的情形。</w:t>
      </w:r>
    </w:p>
    <w:p>
      <w:pPr>
        <w:adjustRightInd w:val="0"/>
        <w:snapToGrid w:val="0"/>
        <w:spacing w:line="600" w:lineRule="exact"/>
        <w:ind w:firstLine="565" w:firstLineChars="181"/>
        <w:rPr>
          <w:szCs w:val="32"/>
        </w:rPr>
      </w:pPr>
      <w:r>
        <w:rPr>
          <w:b/>
          <w:szCs w:val="32"/>
        </w:rPr>
        <w:t xml:space="preserve">第十四条 </w:t>
      </w:r>
      <w:r>
        <w:rPr>
          <w:szCs w:val="32"/>
        </w:rPr>
        <w:t>定期存款存放期间，如遇国家、省重大政策调整或统一要求归集资金，需要收回定期存款筹集资金时，市财政部门将无条件提前支取定期存款，不予任何补偿。</w:t>
      </w:r>
    </w:p>
    <w:p>
      <w:pPr>
        <w:tabs>
          <w:tab w:val="left" w:pos="3227"/>
        </w:tabs>
        <w:adjustRightInd w:val="0"/>
        <w:snapToGrid w:val="0"/>
        <w:spacing w:line="600" w:lineRule="exact"/>
        <w:ind w:firstLine="565" w:firstLineChars="181"/>
        <w:rPr>
          <w:szCs w:val="32"/>
        </w:rPr>
      </w:pPr>
      <w:r>
        <w:rPr>
          <w:szCs w:val="32"/>
        </w:rPr>
        <w:t xml:space="preserve"> 存放银行如撤销在我市设立的机构，撤销机构前定期存款资金须退回市财政专户。</w:t>
      </w:r>
    </w:p>
    <w:p>
      <w:pPr>
        <w:tabs>
          <w:tab w:val="left" w:pos="2490"/>
        </w:tabs>
        <w:adjustRightInd w:val="0"/>
        <w:snapToGrid w:val="0"/>
        <w:spacing w:line="600" w:lineRule="exact"/>
        <w:ind w:firstLine="565" w:firstLineChars="181"/>
        <w:rPr>
          <w:bCs/>
          <w:kern w:val="0"/>
          <w:szCs w:val="32"/>
        </w:rPr>
      </w:pPr>
      <w:r>
        <w:rPr>
          <w:b/>
          <w:bCs/>
          <w:kern w:val="0"/>
          <w:szCs w:val="32"/>
        </w:rPr>
        <w:t>第</w:t>
      </w:r>
      <w:r>
        <w:rPr>
          <w:b/>
          <w:szCs w:val="32"/>
        </w:rPr>
        <w:t>十五</w:t>
      </w:r>
      <w:r>
        <w:rPr>
          <w:b/>
          <w:bCs/>
          <w:kern w:val="0"/>
          <w:szCs w:val="32"/>
        </w:rPr>
        <w:t xml:space="preserve">条 </w:t>
      </w:r>
      <w:r>
        <w:rPr>
          <w:bCs/>
          <w:kern w:val="0"/>
          <w:szCs w:val="32"/>
        </w:rPr>
        <w:t>评审人员在评审工作中违反公正评审、保密、回避和廉洁等有关规定行为的，依照有关规定处理。涉嫌犯罪的，依法移送有关部门追究责任。</w:t>
      </w:r>
    </w:p>
    <w:p>
      <w:pPr>
        <w:tabs>
          <w:tab w:val="left" w:pos="2490"/>
        </w:tabs>
        <w:adjustRightInd w:val="0"/>
        <w:snapToGrid w:val="0"/>
        <w:spacing w:line="600" w:lineRule="exact"/>
        <w:ind w:firstLine="565" w:firstLineChars="181"/>
        <w:rPr>
          <w:bCs/>
          <w:kern w:val="0"/>
          <w:szCs w:val="32"/>
        </w:rPr>
      </w:pPr>
    </w:p>
    <w:p>
      <w:pPr>
        <w:numPr>
          <w:ilvl w:val="0"/>
          <w:numId w:val="2"/>
        </w:numPr>
        <w:adjustRightInd w:val="0"/>
        <w:snapToGrid w:val="0"/>
        <w:spacing w:line="600" w:lineRule="exact"/>
        <w:jc w:val="center"/>
        <w:outlineLvl w:val="0"/>
        <w:rPr>
          <w:rFonts w:eastAsia="黑体"/>
          <w:spacing w:val="-2"/>
          <w:kern w:val="0"/>
          <w:szCs w:val="32"/>
          <w:lang w:val="zh-CN"/>
        </w:rPr>
      </w:pPr>
      <w:r>
        <w:rPr>
          <w:rFonts w:eastAsia="黑体"/>
          <w:spacing w:val="-2"/>
          <w:kern w:val="0"/>
          <w:szCs w:val="32"/>
          <w:lang w:val="zh-CN"/>
        </w:rPr>
        <w:t>附则</w:t>
      </w:r>
    </w:p>
    <w:p>
      <w:pPr>
        <w:adjustRightInd w:val="0"/>
        <w:snapToGrid w:val="0"/>
        <w:spacing w:line="600" w:lineRule="exact"/>
        <w:outlineLvl w:val="0"/>
        <w:rPr>
          <w:rFonts w:eastAsia="黑体"/>
          <w:spacing w:val="-2"/>
          <w:kern w:val="0"/>
          <w:szCs w:val="32"/>
          <w:lang w:val="zh-CN"/>
        </w:rPr>
      </w:pPr>
    </w:p>
    <w:p>
      <w:pPr>
        <w:adjustRightInd w:val="0"/>
        <w:snapToGrid w:val="0"/>
        <w:spacing w:line="600" w:lineRule="exact"/>
        <w:ind w:firstLine="565" w:firstLineChars="181"/>
        <w:rPr>
          <w:spacing w:val="-2"/>
          <w:kern w:val="0"/>
          <w:szCs w:val="32"/>
          <w:lang w:val="zh-CN"/>
        </w:rPr>
      </w:pPr>
      <w:r>
        <w:rPr>
          <w:b/>
          <w:bCs/>
          <w:kern w:val="0"/>
          <w:szCs w:val="32"/>
        </w:rPr>
        <w:t>第</w:t>
      </w:r>
      <w:r>
        <w:rPr>
          <w:b/>
          <w:szCs w:val="32"/>
        </w:rPr>
        <w:t>十六</w:t>
      </w:r>
      <w:r>
        <w:rPr>
          <w:b/>
          <w:bCs/>
          <w:kern w:val="0"/>
          <w:szCs w:val="32"/>
        </w:rPr>
        <w:t xml:space="preserve">条 </w:t>
      </w:r>
      <w:r>
        <w:rPr>
          <w:spacing w:val="-2"/>
          <w:kern w:val="0"/>
          <w:szCs w:val="32"/>
          <w:lang w:val="zh-CN"/>
        </w:rPr>
        <w:t>市级其它财政专户资金办理定期存款，参照本办法规定由市财政</w:t>
      </w:r>
      <w:r>
        <w:rPr>
          <w:szCs w:val="32"/>
        </w:rPr>
        <w:t>部门</w:t>
      </w:r>
      <w:r>
        <w:rPr>
          <w:spacing w:val="-2"/>
          <w:kern w:val="0"/>
          <w:szCs w:val="32"/>
          <w:lang w:val="zh-CN"/>
        </w:rPr>
        <w:t>组织实施。本办法由惠州市财政局负责解释。</w:t>
      </w:r>
    </w:p>
    <w:p>
      <w:pPr>
        <w:adjustRightInd w:val="0"/>
        <w:snapToGrid w:val="0"/>
        <w:spacing w:line="600" w:lineRule="exact"/>
        <w:ind w:firstLine="565" w:firstLineChars="181"/>
      </w:pPr>
      <w:r>
        <w:rPr>
          <w:b/>
          <w:bCs/>
          <w:kern w:val="0"/>
          <w:szCs w:val="32"/>
        </w:rPr>
        <w:t>第</w:t>
      </w:r>
      <w:r>
        <w:rPr>
          <w:b/>
          <w:szCs w:val="32"/>
        </w:rPr>
        <w:t>十七</w:t>
      </w:r>
      <w:r>
        <w:rPr>
          <w:b/>
          <w:bCs/>
          <w:kern w:val="0"/>
          <w:szCs w:val="32"/>
        </w:rPr>
        <w:t xml:space="preserve">条 </w:t>
      </w:r>
      <w:r>
        <w:rPr>
          <w:spacing w:val="-2"/>
          <w:kern w:val="0"/>
          <w:szCs w:val="32"/>
          <w:lang w:val="zh-CN"/>
        </w:rPr>
        <w:t>本办法自202</w:t>
      </w:r>
      <w:r>
        <w:rPr>
          <w:spacing w:val="-2"/>
          <w:kern w:val="0"/>
          <w:szCs w:val="32"/>
        </w:rPr>
        <w:t>1</w:t>
      </w:r>
      <w:r>
        <w:rPr>
          <w:spacing w:val="-2"/>
          <w:kern w:val="0"/>
          <w:szCs w:val="32"/>
          <w:lang w:val="zh-CN"/>
        </w:rPr>
        <w:t>年</w:t>
      </w:r>
      <w:r>
        <w:rPr>
          <w:rFonts w:hint="eastAsia"/>
          <w:spacing w:val="-2"/>
          <w:kern w:val="0"/>
          <w:szCs w:val="32"/>
          <w:lang w:val="en-US" w:eastAsia="zh-CN"/>
        </w:rPr>
        <w:t>*</w:t>
      </w:r>
      <w:r>
        <w:rPr>
          <w:spacing w:val="-2"/>
          <w:kern w:val="0"/>
          <w:szCs w:val="32"/>
          <w:lang w:val="zh-CN"/>
        </w:rPr>
        <w:t>月</w:t>
      </w:r>
      <w:r>
        <w:rPr>
          <w:rFonts w:hint="eastAsia"/>
          <w:spacing w:val="-2"/>
          <w:kern w:val="0"/>
          <w:szCs w:val="32"/>
          <w:lang w:val="en-US" w:eastAsia="zh-CN"/>
        </w:rPr>
        <w:t>*</w:t>
      </w:r>
      <w:r>
        <w:rPr>
          <w:spacing w:val="-2"/>
          <w:kern w:val="0"/>
          <w:szCs w:val="32"/>
          <w:lang w:val="zh-CN"/>
        </w:rPr>
        <w:t>日起施行，有效期三年。《关于印发〈惠州市市级社会保险基金定期存款存放管理实施办法〉</w:t>
      </w:r>
      <w:r>
        <w:rPr>
          <w:rFonts w:hint="eastAsia"/>
          <w:spacing w:val="-2"/>
          <w:kern w:val="0"/>
          <w:szCs w:val="32"/>
          <w:lang w:val="zh-CN"/>
        </w:rPr>
        <w:t>（</w:t>
      </w:r>
      <w:r>
        <w:rPr>
          <w:rFonts w:hint="eastAsia"/>
          <w:spacing w:val="-2"/>
          <w:kern w:val="0"/>
          <w:szCs w:val="32"/>
          <w:lang w:val="en-US" w:eastAsia="zh-CN"/>
        </w:rPr>
        <w:t>2021年修订）</w:t>
      </w:r>
      <w:r>
        <w:rPr>
          <w:spacing w:val="-2"/>
          <w:kern w:val="0"/>
          <w:szCs w:val="32"/>
          <w:lang w:val="zh-CN"/>
        </w:rPr>
        <w:t>的通知》（惠财</w:t>
      </w:r>
      <w:r>
        <w:rPr>
          <w:rFonts w:hint="eastAsia"/>
          <w:spacing w:val="-2"/>
          <w:kern w:val="0"/>
          <w:szCs w:val="32"/>
          <w:lang w:val="zh-CN"/>
        </w:rPr>
        <w:t>规</w:t>
      </w:r>
      <w:r>
        <w:rPr>
          <w:spacing w:val="-2"/>
          <w:kern w:val="0"/>
          <w:szCs w:val="32"/>
          <w:lang w:val="zh-CN"/>
        </w:rPr>
        <w:t>〔20</w:t>
      </w:r>
      <w:r>
        <w:rPr>
          <w:rFonts w:hint="eastAsia"/>
          <w:spacing w:val="-2"/>
          <w:kern w:val="0"/>
          <w:szCs w:val="32"/>
          <w:lang w:val="en-US" w:eastAsia="zh-CN"/>
        </w:rPr>
        <w:t>21</w:t>
      </w:r>
      <w:r>
        <w:rPr>
          <w:spacing w:val="-2"/>
          <w:kern w:val="0"/>
          <w:szCs w:val="32"/>
          <w:lang w:val="zh-CN"/>
        </w:rPr>
        <w:t>〕</w:t>
      </w:r>
      <w:r>
        <w:rPr>
          <w:rFonts w:hint="eastAsia"/>
          <w:spacing w:val="-2"/>
          <w:kern w:val="0"/>
          <w:szCs w:val="32"/>
          <w:lang w:val="en-US" w:eastAsia="zh-CN"/>
        </w:rPr>
        <w:t>1</w:t>
      </w:r>
      <w:r>
        <w:rPr>
          <w:spacing w:val="-2"/>
          <w:kern w:val="0"/>
          <w:szCs w:val="32"/>
          <w:lang w:val="zh-CN"/>
        </w:rPr>
        <w:t>号）同时废止。</w:t>
      </w:r>
    </w:p>
    <w:p>
      <w:pPr>
        <w:pStyle w:val="13"/>
        <w:tabs>
          <w:tab w:val="center" w:pos="4365"/>
        </w:tabs>
        <w:ind w:firstLine="624" w:firstLineChars="200"/>
        <w:rPr>
          <w:szCs w:val="32"/>
        </w:rPr>
      </w:pPr>
    </w:p>
    <w:p>
      <w:pPr>
        <w:ind w:left="1860" w:leftChars="500" w:right="1269" w:rightChars="407" w:hanging="300" w:hangingChars="96"/>
        <w:jc w:val="right"/>
        <w:rPr>
          <w:rFonts w:eastAsia="仿宋_GB2312"/>
          <w:szCs w:val="32"/>
        </w:rPr>
      </w:pPr>
    </w:p>
    <w:p>
      <w:pPr>
        <w:jc w:val="left"/>
        <w:rPr>
          <w:rFonts w:eastAsia="仿宋_GB2312"/>
          <w:szCs w:val="32"/>
        </w:rPr>
      </w:pPr>
    </w:p>
    <w:sectPr>
      <w:footerReference r:id="rId3" w:type="default"/>
      <w:footerReference r:id="rId4" w:type="even"/>
      <w:pgSz w:w="11906" w:h="16838"/>
      <w:pgMar w:top="2098" w:right="1588" w:bottom="1984" w:left="1588" w:header="851" w:footer="1417" w:gutter="0"/>
      <w:pgNumType w:fmt="decimalFullWidth"/>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ind w:right="320" w:rightChars="100"/>
      <w:rPr>
        <w:rStyle w:val="9"/>
        <w:rFonts w:ascii="仿宋_GB2312" w:hAnsi="仿宋_GB2312" w:eastAsia="仿宋_GB2312"/>
        <w:sz w:val="28"/>
      </w:rPr>
    </w:pPr>
    <w:r>
      <w:rPr>
        <w:rStyle w:val="9"/>
        <w:rFonts w:hint="eastAsia" w:ascii="仿宋_GB2312" w:hAnsi="仿宋_GB2312"/>
        <w:sz w:val="28"/>
      </w:rPr>
      <w:t>－</w:t>
    </w: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１</w:t>
    </w:r>
    <w:r>
      <w:rPr>
        <w:rFonts w:hint="eastAsia" w:ascii="仿宋_GB2312" w:hAnsi="仿宋_GB2312" w:eastAsia="仿宋_GB2312"/>
        <w:sz w:val="28"/>
      </w:rPr>
      <w:fldChar w:fldCharType="end"/>
    </w:r>
    <w:r>
      <w:rPr>
        <w:rStyle w:val="9"/>
        <w:rFonts w:hint="eastAsia" w:ascii="仿宋_GB2312" w:hAnsi="仿宋_GB2312"/>
        <w:sz w:val="28"/>
      </w:rPr>
      <w:t>－</w:t>
    </w:r>
  </w:p>
  <w:p>
    <w:pPr>
      <w:pStyle w:val="5"/>
      <w:framePr w:w="1074" w:wrap="around" w:vAnchor="text" w:hAnchor="page" w:x="9233" w:y="-2"/>
      <w:ind w:right="360" w:firstLine="360"/>
      <w:rPr>
        <w:rStyle w:val="9"/>
        <w:rFonts w:ascii="仿宋_GB2312" w:hAnsi="仿宋_GB2312" w:eastAsia="仿宋_GB2312"/>
        <w:sz w:val="28"/>
      </w:rPr>
    </w:pPr>
    <w:r>
      <w:rPr>
        <w:rStyle w:val="9"/>
        <w:rFonts w:hint="eastAsia" w:ascii="仿宋_GB2312" w:hAnsi="仿宋_GB2312" w:eastAsia="仿宋_GB2312"/>
        <w:sz w:val="28"/>
      </w:rPr>
      <w:t>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ind w:left="320" w:leftChars="100"/>
      <w:rPr>
        <w:rStyle w:val="9"/>
        <w:sz w:val="28"/>
      </w:rPr>
    </w:pPr>
    <w:r>
      <w:rPr>
        <w:rStyle w:val="9"/>
        <w:rFonts w:hint="eastAsia" w:ascii="仿宋_GB2312" w:hAnsi="仿宋_GB2312"/>
        <w:sz w:val="28"/>
      </w:rPr>
      <w:t>－</w:t>
    </w: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８</w:t>
    </w:r>
    <w:r>
      <w:rPr>
        <w:rFonts w:hint="eastAsia" w:ascii="仿宋_GB2312" w:hAnsi="仿宋_GB2312" w:eastAsia="仿宋_GB2312"/>
        <w:sz w:val="28"/>
      </w:rPr>
      <w:fldChar w:fldCharType="end"/>
    </w:r>
    <w:r>
      <w:rPr>
        <w:rStyle w:val="9"/>
        <w:rFonts w:hint="eastAsia" w:ascii="仿宋_GB2312" w:hAnsi="仿宋_GB2312"/>
        <w:sz w:val="28"/>
      </w:rPr>
      <w:t>－</w:t>
    </w:r>
  </w:p>
  <w:p>
    <w:pPr>
      <w:pStyle w:val="5"/>
      <w:framePr w:w="1247" w:wrap="around" w:vAnchor="text" w:hAnchor="margin" w:xAlign="outside" w:y="-2"/>
      <w:tabs>
        <w:tab w:val="clear" w:pos="4153"/>
      </w:tabs>
      <w:ind w:right="360" w:firstLine="360"/>
      <w:jc w:val="center"/>
      <w:rPr>
        <w:rStyle w:val="9"/>
        <w:rFonts w:eastAsia="仿宋_GB2312"/>
        <w:sz w:val="28"/>
      </w:rPr>
    </w:pP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4"/>
      <w:numFmt w:val="chineseCounting"/>
      <w:suff w:val="space"/>
      <w:lvlText w:val="第%1章"/>
      <w:lvlJc w:val="left"/>
    </w:lvl>
  </w:abstractNum>
  <w:abstractNum w:abstractNumId="1">
    <w:nsid w:val="0000000C"/>
    <w:multiLevelType w:val="singleLevel"/>
    <w:tmpl w:val="0000000C"/>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56"/>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6A3029D3"/>
    <w:rsid w:val="00061C01"/>
    <w:rsid w:val="000B3A04"/>
    <w:rsid w:val="001741EB"/>
    <w:rsid w:val="001D20F3"/>
    <w:rsid w:val="0024550E"/>
    <w:rsid w:val="00247ECD"/>
    <w:rsid w:val="002F7B19"/>
    <w:rsid w:val="00414445"/>
    <w:rsid w:val="00734216"/>
    <w:rsid w:val="00760568"/>
    <w:rsid w:val="007D036F"/>
    <w:rsid w:val="008E4B44"/>
    <w:rsid w:val="00A50F28"/>
    <w:rsid w:val="00A7063A"/>
    <w:rsid w:val="00C404C5"/>
    <w:rsid w:val="00E647CD"/>
    <w:rsid w:val="063D31B6"/>
    <w:rsid w:val="09B90AFB"/>
    <w:rsid w:val="0F6A1DDE"/>
    <w:rsid w:val="143F068A"/>
    <w:rsid w:val="14B43636"/>
    <w:rsid w:val="17367BA7"/>
    <w:rsid w:val="1D73350F"/>
    <w:rsid w:val="23C52F4B"/>
    <w:rsid w:val="23EF15E9"/>
    <w:rsid w:val="2BD63BD0"/>
    <w:rsid w:val="327D5C86"/>
    <w:rsid w:val="42494CBE"/>
    <w:rsid w:val="48D913BD"/>
    <w:rsid w:val="5DB039C5"/>
    <w:rsid w:val="6A3029D3"/>
    <w:rsid w:val="70DD3257"/>
    <w:rsid w:val="74BF6F01"/>
    <w:rsid w:val="7F54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宋体" w:eastAsia="宋体" w:cs="宋体"/>
      <w:kern w:val="0"/>
      <w:szCs w:val="32"/>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文本 (3)"/>
    <w:basedOn w:val="1"/>
    <w:qFormat/>
    <w:uiPriority w:val="0"/>
    <w:pPr>
      <w:shd w:val="clear" w:color="auto" w:fill="FFFFFF"/>
      <w:spacing w:line="634" w:lineRule="exact"/>
      <w:ind w:firstLine="640"/>
      <w:jc w:val="distribute"/>
    </w:pPr>
    <w:rPr>
      <w:rFonts w:ascii="MingLiU" w:hAnsi="MingLiU" w:eastAsia="MingLiU" w:cs="MingLiU"/>
      <w:sz w:val="28"/>
      <w:szCs w:val="28"/>
      <w:shd w:val="clear" w:color="auto" w:fill="FFFFFF"/>
    </w:rPr>
  </w:style>
  <w:style w:type="paragraph" w:customStyle="1" w:styleId="13">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4\Desktop\&#24179;&#34892;&#25991;&#27169;&#26495;WPS&#2925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平行文模板WPS版.wpt</Template>
  <Company>Sky123.Org</Company>
  <Pages>8</Pages>
  <Words>520</Words>
  <Characters>2970</Characters>
  <Lines>24</Lines>
  <Paragraphs>6</Paragraphs>
  <TotalTime>7</TotalTime>
  <ScaleCrop>false</ScaleCrop>
  <LinksUpToDate>false</LinksUpToDate>
  <CharactersWithSpaces>3484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2021-08-02T01:20:00Z</dcterms:created>
  <dc:creator>陈越华</dc:creator>
  <cp:lastModifiedBy>陈倩茹</cp:lastModifiedBy>
  <cp:lastPrinted>2021-05-31T03:06:00Z</cp:lastPrinted>
  <dcterms:modified xsi:type="dcterms:W3CDTF">2021-08-02T08:48:09Z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