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采购计划编号：441302-2025-02410</w:t>
      </w:r>
    </w:p>
    <w:p>
      <w:pPr>
        <w:pStyle w:val="4"/>
        <w:jc w:val="center"/>
        <w:outlineLvl w:val="3"/>
      </w:pPr>
      <w:r>
        <w:rPr>
          <w:b/>
          <w:sz w:val="24"/>
        </w:rPr>
        <w:t>采购项目编号：惠公易省云采惠城〔2025〕008号</w:t>
      </w:r>
    </w:p>
    <w:p>
      <w:pPr>
        <w:pStyle w:val="4"/>
        <w:jc w:val="center"/>
        <w:outlineLvl w:val="3"/>
      </w:pPr>
      <w:r>
        <w:rPr>
          <w:b/>
          <w:sz w:val="24"/>
        </w:rPr>
        <w:t>项目名称：惠州市第二妇幼保健院保洁及运送服务管理项目</w:t>
      </w:r>
    </w:p>
    <w:p>
      <w:pPr>
        <w:pStyle w:val="4"/>
        <w:jc w:val="center"/>
        <w:outlineLvl w:val="3"/>
      </w:pPr>
      <w:r>
        <w:rPr>
          <w:b/>
          <w:sz w:val="24"/>
        </w:rPr>
        <w:t>采购人：惠州市第二妇幼保健院</w:t>
      </w:r>
    </w:p>
    <w:p>
      <w:pPr>
        <w:pStyle w:val="4"/>
        <w:jc w:val="center"/>
        <w:outlineLvl w:val="3"/>
      </w:pPr>
      <w:r>
        <w:rPr>
          <w:b/>
          <w:sz w:val="24"/>
        </w:rPr>
        <w:t>采购代理机构：惠州市公共资源交易中心惠城分中心</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惠州市公共资源交易中心惠城分中心受惠州市第二妇幼保健院的委托，采用公开招标方式组织采购惠州市第二妇幼保健院保洁及运送服务管理项目。欢迎符合资格条件的国内供应商参加投标。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项目名称：惠州市第二妇幼保健院保洁及运送服务管理项目</w:t>
      </w:r>
    </w:p>
    <w:p>
      <w:pPr>
        <w:pStyle w:val="4"/>
        <w:ind w:firstLine="480"/>
      </w:pPr>
      <w:r>
        <w:t>采购计划编号：441302-2025-02410</w:t>
      </w:r>
    </w:p>
    <w:p>
      <w:pPr>
        <w:pStyle w:val="4"/>
        <w:ind w:firstLine="480"/>
      </w:pPr>
      <w:r>
        <w:t>采购项目编号：惠公易省云采惠城〔2025〕008号</w:t>
      </w:r>
    </w:p>
    <w:p>
      <w:pPr>
        <w:pStyle w:val="4"/>
        <w:ind w:firstLine="480"/>
      </w:pPr>
      <w:r>
        <w:t>采购方式：公开招标</w:t>
      </w:r>
    </w:p>
    <w:p>
      <w:pPr>
        <w:pStyle w:val="4"/>
        <w:ind w:firstLine="480"/>
      </w:pPr>
      <w:r>
        <w:t>预算金额：21,503,520.00元</w:t>
      </w:r>
    </w:p>
    <w:p>
      <w:pPr>
        <w:pStyle w:val="4"/>
        <w:outlineLvl w:val="3"/>
      </w:pPr>
      <w:r>
        <w:rPr>
          <w:b/>
          <w:sz w:val="24"/>
        </w:rPr>
        <w:t>2.项目内容及需求情况（采购项目技术规格、参数及要求）</w:t>
      </w:r>
    </w:p>
    <w:p>
      <w:pPr>
        <w:pStyle w:val="4"/>
      </w:pPr>
      <w:r>
        <w:t>采购包1(保洁及运送服务管理):</w:t>
      </w:r>
    </w:p>
    <w:p>
      <w:pPr>
        <w:pStyle w:val="4"/>
      </w:pPr>
      <w:r>
        <w:t>采购包预算金额：21,503,520.00元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5"/>
        <w:gridCol w:w="1327"/>
        <w:gridCol w:w="1982"/>
        <w:gridCol w:w="963"/>
        <w:gridCol w:w="962"/>
        <w:gridCol w:w="1380"/>
        <w:gridCol w:w="9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1-1</w:t>
            </w:r>
          </w:p>
        </w:tc>
        <w:tc>
          <w:tcPr>
            <w:tcW w:w="1368" w:type="dxa"/>
          </w:tcPr>
          <w:p>
            <w:pPr>
              <w:pStyle w:val="4"/>
            </w:pPr>
            <w:r>
              <w:t>物业管理服务</w:t>
            </w:r>
          </w:p>
        </w:tc>
        <w:tc>
          <w:tcPr>
            <w:tcW w:w="2052" w:type="dxa"/>
          </w:tcPr>
          <w:p>
            <w:pPr>
              <w:pStyle w:val="4"/>
            </w:pPr>
            <w:r>
              <w:t>保洁及运送服务管理</w:t>
            </w:r>
          </w:p>
        </w:tc>
        <w:tc>
          <w:tcPr>
            <w:tcW w:w="977" w:type="dxa"/>
          </w:tcPr>
          <w:p>
            <w:pPr>
              <w:pStyle w:val="4"/>
            </w:pPr>
            <w:r>
              <w:t>1(项)</w:t>
            </w:r>
          </w:p>
        </w:tc>
        <w:tc>
          <w:tcPr>
            <w:tcW w:w="977" w:type="dxa"/>
          </w:tcPr>
          <w:p>
            <w:pPr>
              <w:pStyle w:val="4"/>
            </w:pPr>
            <w:r>
              <w:t>详见第二章</w:t>
            </w:r>
          </w:p>
        </w:tc>
        <w:tc>
          <w:tcPr>
            <w:tcW w:w="977" w:type="dxa"/>
          </w:tcPr>
          <w:p>
            <w:pPr>
              <w:pStyle w:val="4"/>
            </w:pPr>
            <w:r>
              <w:t>21,503,520.00</w:t>
            </w:r>
          </w:p>
        </w:tc>
        <w:tc>
          <w:tcPr>
            <w:tcW w:w="977" w:type="dxa"/>
          </w:tcPr>
          <w:p>
            <w:pPr>
              <w:pStyle w:val="4"/>
            </w:pPr>
            <w:r>
              <w:t>否</w:t>
            </w:r>
          </w:p>
        </w:tc>
      </w:tr>
    </w:tbl>
    <w:p>
      <w:pPr>
        <w:pStyle w:val="4"/>
      </w:pPr>
      <w:r>
        <w:t>本采购包不接受联合体投标</w:t>
      </w:r>
    </w:p>
    <w:p>
      <w:pPr>
        <w:pStyle w:val="4"/>
      </w:pPr>
      <w:r>
        <w:t>合同分包：不允许合同分包</w:t>
      </w:r>
    </w:p>
    <w:p>
      <w:pPr>
        <w:pStyle w:val="4"/>
      </w:pPr>
      <w:r>
        <w:t>合同履行期限：服务期为2年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2）有依法缴纳税收和社会保障资金的良好记录：提供投标截止日前6个月内任意1个月依法缴纳税收和社会保障资金的相关材料。 如依法免税或不需要缴纳社会保障资金的， 提供相应证明材料。</w:t>
      </w:r>
    </w:p>
    <w:p>
      <w:pPr>
        <w:pStyle w:val="4"/>
      </w:pPr>
      <w:r>
        <w:t>3）具有良好的商业信誉和健全的财务会计制度：投标人必须具有良好的商业信誉和健全的财务会计制度（提供2023年度或2024年度财务状况报告或基本开户行出具的资信证明；投标人注册未满一年的，提供成立至今的月或季度财务状况报告或基本开户行出具的资信证明） 。</w:t>
      </w:r>
    </w:p>
    <w:p>
      <w:pPr>
        <w:pStyle w:val="4"/>
      </w:pPr>
      <w:r>
        <w:t>4）履行合同所必需的设备和专业技术能力：提供履行合同所必需的设备和专业技术能力的声明函（或承诺函）（格式自拟）。</w:t>
      </w:r>
    </w:p>
    <w:p>
      <w:pPr>
        <w:pStyle w:val="4"/>
      </w:pPr>
      <w: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outlineLvl w:val="3"/>
      </w:pPr>
      <w:r>
        <w:rPr>
          <w:b/>
          <w:sz w:val="24"/>
        </w:rPr>
        <w:t>3.本项目特定的资格要求：</w:t>
      </w:r>
    </w:p>
    <w:p>
      <w:pPr>
        <w:pStyle w:val="4"/>
      </w:pPr>
      <w:r>
        <w:t>采购包1（保洁及运送服务管理）：</w:t>
      </w:r>
    </w:p>
    <w:p>
      <w:pPr>
        <w:pStyle w:val="4"/>
      </w:pPr>
      <w:r>
        <w:t>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4"/>
      </w:pPr>
      <w:r>
        <w:t>2)单位负责人为同一人或者存在直接控股、 管理关系的不同投标人，不得同时参加本采购项目（或采购包） 投标（响应）。 为本项目提供整体设计、 规范编制或者项目管理、 监理、 检测等服务的投标人， 不得再参与本项目投标（响应）。 投标函相关承诺要求内容。</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名称：惠州市第二妇幼保健院</w:t>
      </w:r>
    </w:p>
    <w:p>
      <w:pPr>
        <w:pStyle w:val="4"/>
        <w:ind w:firstLine="480"/>
      </w:pPr>
      <w:r>
        <w:t xml:space="preserve"> 地址：惠州市惠城区上排大岭路10号</w:t>
      </w:r>
    </w:p>
    <w:p>
      <w:pPr>
        <w:pStyle w:val="4"/>
        <w:ind w:firstLine="480"/>
      </w:pPr>
      <w:r>
        <w:t xml:space="preserve"> 联系方式：0752-7381667</w:t>
      </w:r>
    </w:p>
    <w:p>
      <w:pPr>
        <w:pStyle w:val="4"/>
        <w:outlineLvl w:val="3"/>
      </w:pPr>
      <w:r>
        <w:rPr>
          <w:b/>
          <w:sz w:val="24"/>
        </w:rPr>
        <w:t xml:space="preserve"> 2.采购代理机构信息</w:t>
      </w:r>
    </w:p>
    <w:p>
      <w:pPr>
        <w:pStyle w:val="4"/>
        <w:ind w:firstLine="480"/>
      </w:pPr>
      <w:r>
        <w:t xml:space="preserve"> 名称：惠州市公共资源交易中心惠城分中心</w:t>
      </w:r>
    </w:p>
    <w:p>
      <w:pPr>
        <w:pStyle w:val="4"/>
        <w:ind w:firstLine="480"/>
      </w:pPr>
      <w:r>
        <w:t xml:space="preserve"> 地址：惠州市惠城区新联路3号西湖大剧院三楼</w:t>
      </w:r>
    </w:p>
    <w:p>
      <w:pPr>
        <w:pStyle w:val="4"/>
        <w:ind w:firstLine="480"/>
      </w:pPr>
      <w:r>
        <w:t xml:space="preserve"> 联系方式：0752-2386023</w:t>
      </w:r>
    </w:p>
    <w:p>
      <w:pPr>
        <w:pStyle w:val="4"/>
        <w:outlineLvl w:val="3"/>
      </w:pPr>
      <w:r>
        <w:rPr>
          <w:b/>
          <w:sz w:val="24"/>
        </w:rPr>
        <w:t xml:space="preserve"> 3.项目联系方式</w:t>
      </w:r>
    </w:p>
    <w:p>
      <w:pPr>
        <w:pStyle w:val="4"/>
        <w:ind w:firstLine="480"/>
      </w:pPr>
      <w:r>
        <w:t xml:space="preserve"> 项目联系人：钟先生</w:t>
      </w:r>
    </w:p>
    <w:p>
      <w:pPr>
        <w:pStyle w:val="4"/>
        <w:ind w:firstLine="480"/>
      </w:pPr>
      <w:r>
        <w:t xml:space="preserve"> 电话：0752-2386023</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采购代理机构：惠州市公共资源交易中心惠城分中心</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sz w:val="28"/>
        </w:rPr>
        <w:t>一、采购项目的基本信息</w:t>
      </w:r>
    </w:p>
    <w:p>
      <w:pPr>
        <w:pStyle w:val="4"/>
        <w:ind w:firstLine="560"/>
        <w:jc w:val="both"/>
      </w:pPr>
      <w:r>
        <w:rPr>
          <w:sz w:val="28"/>
        </w:rPr>
        <w:t>（一）采购计划备案编号：441302-2025-02410</w:t>
      </w:r>
    </w:p>
    <w:p>
      <w:pPr>
        <w:pStyle w:val="4"/>
        <w:ind w:firstLine="560"/>
        <w:jc w:val="both"/>
      </w:pPr>
      <w:r>
        <w:rPr>
          <w:sz w:val="28"/>
        </w:rPr>
        <w:t>（二）采购项目名称：惠州市第二妇幼保健院保洁及运送服务管理项目。</w:t>
      </w:r>
    </w:p>
    <w:p>
      <w:pPr>
        <w:pStyle w:val="4"/>
        <w:ind w:firstLine="560"/>
        <w:jc w:val="both"/>
      </w:pPr>
      <w:r>
        <w:rPr>
          <w:sz w:val="28"/>
        </w:rPr>
        <w:t>（三）采购方式：公开招标。</w:t>
      </w:r>
    </w:p>
    <w:p>
      <w:pPr>
        <w:pStyle w:val="4"/>
        <w:ind w:firstLine="560"/>
        <w:jc w:val="both"/>
      </w:pPr>
      <w:r>
        <w:rPr>
          <w:sz w:val="28"/>
        </w:rPr>
        <w:t>（四）推荐候选人名单和满足开标条件的数量。</w:t>
      </w:r>
    </w:p>
    <w:p>
      <w:pPr>
        <w:pStyle w:val="4"/>
        <w:ind w:firstLine="560"/>
        <w:jc w:val="both"/>
      </w:pPr>
      <w:r>
        <w:rPr>
          <w:sz w:val="28"/>
        </w:rPr>
        <w:t>该项目中标人的数量设置为1名，推荐中标候选人的数量设置为2 名。采用综合评分法的，评标委员会依据中标候选人的数量按评审后总得分由高到低的顺序推荐参加投标的投标人为中标候选人，由采购人按顺序对中标候选人确定为中标人，并签订政府采购合同。采购人未确认的中标候选人为替补候选人，如果中标人放弃中标的，采购人可以按顺序重新确认替补候选人为中标人，并签订政府采购合同。</w:t>
      </w:r>
    </w:p>
    <w:p>
      <w:pPr>
        <w:pStyle w:val="4"/>
        <w:ind w:firstLine="560"/>
        <w:jc w:val="both"/>
      </w:pPr>
      <w:r>
        <w:rPr>
          <w:sz w:val="28"/>
        </w:rPr>
        <w:t>该项目满足开标条件的投标文件数量设置为不少于3 家。开标前参加投标的投标人提交的投标文件数量或经评标委员会进行资格性、符合性审查后投标文件数量不能满足开标条件的，将予以废标。</w:t>
      </w:r>
    </w:p>
    <w:p>
      <w:pPr>
        <w:pStyle w:val="4"/>
        <w:ind w:firstLine="560"/>
        <w:jc w:val="both"/>
      </w:pPr>
      <w:r>
        <w:rPr>
          <w:sz w:val="28"/>
        </w:rPr>
        <w:t>（五）定标方法</w:t>
      </w:r>
    </w:p>
    <w:p>
      <w:pPr>
        <w:pStyle w:val="4"/>
        <w:ind w:firstLine="560"/>
        <w:jc w:val="both"/>
      </w:pPr>
      <w:r>
        <w:rPr>
          <w:sz w:val="28"/>
        </w:rPr>
        <w:t>根据《政府采购货物和服务招标投标管理办法》（财政部令第87号）的有关规定,采购人按照该项目评审小组依法推荐的中标候选人顺序依法依规确定该项目的中标人。</w:t>
      </w:r>
    </w:p>
    <w:p>
      <w:pPr>
        <w:pStyle w:val="4"/>
        <w:ind w:firstLine="560"/>
        <w:jc w:val="both"/>
      </w:pPr>
      <w:r>
        <w:rPr>
          <w:sz w:val="28"/>
        </w:rPr>
        <w:t>（六）本项目未采取分包方式履约合同。</w:t>
      </w:r>
    </w:p>
    <w:p>
      <w:pPr>
        <w:pStyle w:val="4"/>
        <w:ind w:firstLine="560"/>
        <w:jc w:val="both"/>
      </w:pPr>
      <w:r>
        <w:rPr>
          <w:sz w:val="28"/>
        </w:rPr>
        <w:t>（七）报价要求</w:t>
      </w:r>
    </w:p>
    <w:p>
      <w:pPr>
        <w:pStyle w:val="4"/>
        <w:ind w:firstLine="560"/>
        <w:jc w:val="both"/>
      </w:pPr>
      <w:r>
        <w:rPr>
          <w:sz w:val="28"/>
        </w:rPr>
        <w:t>1、价格构成。投标报价应当包括人工费、材料费、机械费、管理费、利润、项目措施费、规费、税金、配合费、预留金以及施工合同包含的所有风险、责任等各项应有的费用。</w:t>
      </w:r>
    </w:p>
    <w:p>
      <w:pPr>
        <w:pStyle w:val="4"/>
        <w:ind w:firstLine="560"/>
        <w:jc w:val="both"/>
      </w:pPr>
      <w:r>
        <w:rPr>
          <w:sz w:val="28"/>
        </w:rPr>
        <w:t>2、无效的投标报价将作无效投标处理。根据《政府采购货物和服务招标投标管理办法》（财政部令第87号）第六十条的规定，评标委员会认为投标人的报价明显低于其他通过符合性审查投标人的报价，有可能影响产品质量或者不能诚信履约的，评标委员会审查投标人提供的书面说明及必要时提交相关证明材料。投标人不能证明其报价合理性的，评标委员会可以将其作为无效投标处理。</w:t>
      </w:r>
    </w:p>
    <w:p>
      <w:pPr>
        <w:pStyle w:val="4"/>
        <w:ind w:firstLine="560"/>
        <w:jc w:val="both"/>
      </w:pPr>
      <w:r>
        <w:rPr>
          <w:sz w:val="28"/>
        </w:rPr>
        <w:t>（八）关于联合体投标</w:t>
      </w:r>
    </w:p>
    <w:p>
      <w:pPr>
        <w:pStyle w:val="4"/>
        <w:ind w:firstLine="560"/>
        <w:jc w:val="both"/>
      </w:pPr>
      <w:r>
        <w:rPr>
          <w:sz w:val="28"/>
        </w:rPr>
        <w:t>本项目不接受联合体投标，不允许投标人对本招标项目进行违法分包和转包。</w:t>
      </w:r>
    </w:p>
    <w:p>
      <w:pPr>
        <w:pStyle w:val="4"/>
        <w:ind w:firstLine="560"/>
      </w:pPr>
      <w:r>
        <w:rPr>
          <w:sz w:val="28"/>
        </w:rPr>
        <w:t>（九）本项目无需提交投标保证金。</w:t>
      </w:r>
    </w:p>
    <w:p>
      <w:pPr>
        <w:pStyle w:val="4"/>
        <w:ind w:firstLine="560"/>
        <w:jc w:val="both"/>
      </w:pPr>
      <w:r>
        <w:rPr>
          <w:sz w:val="28"/>
        </w:rPr>
        <w:t>（十）关于询问和质疑。投标人的询问或者质疑应向采购人提出,采购人负责受理和答复投标人的询问或者质疑。投标人提出的询问或者质疑涉及采购代理机构组织的开评标程序的，采购人应当及时将此内容转告采购代理机构，采购代理机构应协助采购人答复有关开评标程序的询问或者质疑。</w:t>
      </w:r>
    </w:p>
    <w:p>
      <w:pPr>
        <w:pStyle w:val="4"/>
        <w:ind w:firstLine="560"/>
        <w:jc w:val="both"/>
      </w:pPr>
      <w:r>
        <w:rPr>
          <w:sz w:val="28"/>
        </w:rPr>
        <w:t>询问或质疑受理信息如下：</w:t>
      </w:r>
    </w:p>
    <w:p>
      <w:pPr>
        <w:pStyle w:val="4"/>
        <w:ind w:firstLine="560"/>
        <w:jc w:val="both"/>
      </w:pPr>
      <w:r>
        <w:rPr>
          <w:sz w:val="28"/>
        </w:rPr>
        <w:t>询问或质疑受理地址：惠州市惠城区上排大岭路10号</w:t>
      </w:r>
    </w:p>
    <w:p>
      <w:pPr>
        <w:pStyle w:val="4"/>
        <w:ind w:firstLine="560"/>
        <w:jc w:val="both"/>
      </w:pPr>
      <w:r>
        <w:rPr>
          <w:sz w:val="28"/>
        </w:rPr>
        <w:t>询问或质疑处理联系电话：0752-7381667</w:t>
      </w:r>
    </w:p>
    <w:p>
      <w:pPr>
        <w:pStyle w:val="4"/>
        <w:ind w:firstLine="560"/>
        <w:jc w:val="both"/>
      </w:pPr>
      <w:r>
        <w:rPr>
          <w:sz w:val="28"/>
        </w:rPr>
        <w:t>询问或质疑处理联系人：陈女士</w:t>
      </w:r>
    </w:p>
    <w:p>
      <w:pPr>
        <w:pStyle w:val="4"/>
        <w:ind w:firstLine="560"/>
        <w:jc w:val="both"/>
      </w:pPr>
      <w:r>
        <w:rPr>
          <w:sz w:val="28"/>
        </w:rPr>
        <w:t>二、最高限价和报价方式</w:t>
      </w:r>
    </w:p>
    <w:p>
      <w:pPr>
        <w:pStyle w:val="4"/>
        <w:ind w:firstLine="560"/>
        <w:jc w:val="both"/>
      </w:pPr>
      <w:r>
        <w:rPr>
          <w:sz w:val="28"/>
        </w:rPr>
        <w:t>（一）最高限价：人民币：21503520元,服务期限：2年,该项目采购预算作为最高限价。</w:t>
      </w:r>
    </w:p>
    <w:p>
      <w:pPr>
        <w:pStyle w:val="4"/>
        <w:ind w:firstLine="560"/>
      </w:pPr>
      <w:r>
        <w:rPr>
          <w:sz w:val="28"/>
        </w:rPr>
        <w:t>（二）报价方式：按总价报价的报价方式。</w:t>
      </w:r>
    </w:p>
    <w:p>
      <w:pPr>
        <w:pStyle w:val="4"/>
        <w:ind w:firstLine="560"/>
        <w:jc w:val="both"/>
      </w:pPr>
      <w:r>
        <w:rPr>
          <w:sz w:val="28"/>
        </w:rPr>
        <w:t>（三）报价要求：</w:t>
      </w:r>
    </w:p>
    <w:p>
      <w:pPr>
        <w:pStyle w:val="4"/>
        <w:ind w:firstLine="560"/>
        <w:jc w:val="both"/>
      </w:pPr>
      <w:r>
        <w:rPr>
          <w:sz w:val="28"/>
        </w:rPr>
        <w:t>1、投标人的报价需要符合本项目“一、采购项目的基本信息”关于有效报价的要求。</w:t>
      </w:r>
    </w:p>
    <w:p>
      <w:pPr>
        <w:pStyle w:val="4"/>
        <w:jc w:val="both"/>
      </w:pPr>
      <w:r>
        <w:rPr>
          <w:sz w:val="28"/>
        </w:rPr>
        <w:t>2、投标人未按报价方式、报价要求进行投标报价的，视为无效报价，其投标无效，由评标委员会在符合性审查中不予通过。</w:t>
      </w:r>
    </w:p>
    <w:p>
      <w:pPr>
        <w:pStyle w:val="4"/>
      </w:pPr>
      <w:r>
        <w:t>采购包1（保洁及运送服务管理）</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服务期为2年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惠州市第二妇幼保健院（上排院区、江北分院、上排分院、江北新院）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第1期为(付款方式)：支付比例100%，物业管理费按月支付，每月10号前为上月物业管理费结算日，凭中标人完税发票通过审核后30个工作日，银行转</w:t>
            </w:r>
            <w:r>
              <w:rPr>
                <w:rFonts w:hint="eastAsia"/>
                <w:lang w:val="en-US" w:eastAsia="zh-CN"/>
              </w:rPr>
              <w:t>账</w:t>
            </w:r>
            <w:bookmarkStart w:id="0" w:name="_GoBack"/>
            <w:bookmarkEnd w:id="0"/>
            <w:r>
              <w:t>或支票支付（如遇节假日顺延）。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中标人按要求完成本项目规定的全部内容，每个月进行一次服务质量考核，对考核结果不达标，要求中标人进行整改，并有权依合同约定对中标人进行处罚或解除合同。具体要求详见公告附件“保洁及运送服务质量考核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参数性质</w:t>
            </w:r>
          </w:p>
        </w:tc>
        <w:tc>
          <w:tcPr>
            <w:tcW w:w="2076" w:type="dxa"/>
            <w:gridSpan w:val="2"/>
          </w:tcPr>
          <w:p>
            <w:pPr>
              <w:pStyle w:val="4"/>
              <w:jc w:val="center"/>
            </w:pPr>
            <w:r>
              <w:t>编号</w:t>
            </w:r>
          </w:p>
        </w:tc>
        <w:tc>
          <w:tcPr>
            <w:tcW w:w="2076" w:type="dxa"/>
          </w:tcPr>
          <w:p>
            <w:pPr>
              <w:pStyle w:val="4"/>
              <w:jc w:val="center"/>
            </w:pPr>
            <w:r>
              <w:t>内容明细</w:t>
            </w:r>
          </w:p>
        </w:tc>
        <w:tc>
          <w:tcPr>
            <w:tcW w:w="2076" w:type="dxa"/>
          </w:tcPr>
          <w:p>
            <w:pPr>
              <w:pStyle w:val="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1</w:t>
            </w:r>
          </w:p>
        </w:tc>
        <w:tc>
          <w:tcPr>
            <w:tcW w:w="2076" w:type="dxa"/>
          </w:tcPr>
          <w:p>
            <w:pPr>
              <w:pStyle w:val="4"/>
              <w:jc w:val="left"/>
            </w:pPr>
            <w:r>
              <w:t>服务团队的需求</w:t>
            </w:r>
          </w:p>
        </w:tc>
        <w:tc>
          <w:tcPr>
            <w:tcW w:w="2076" w:type="dxa"/>
          </w:tcPr>
          <w:p>
            <w:pPr>
              <w:pStyle w:val="4"/>
              <w:jc w:val="left"/>
            </w:pPr>
            <w:r>
              <w:t>投标人需要安排服务团队的人员数量共218人，具体如下： 1、项目负责人。 投标人派出项目负责人1人，负责本项目从领取中标通知书开始至合同验收完成的相关工作。要求: 1）需具有人社部门颁发的人力资源或物业管理相关的职业资格证；2）需具备学历证明；3）有5年以上物业管理经验。 采购人关于本项目负责人的情况说明:本项目负责人需负责主持保洁、运送服务全面工作，组织实施符合医院要求的地面、物表清洁消毒标准化操作流程，组织实施各项安全生产制度，组织实施各项培训措施，组织智慧后勤信息化的运行，提升员工技能与敬业度，协助医院提供完备的后勤服务资料，提升临床科室满意度和病患满意度，该岗位人员整体综合素质要求较高，由此对投标人拟派出的项目负责人提出相应的服务能力要求。 2、项目其它管理人员 投标人需拟派项目保洁主管2人。要求: （1）需具备学历证明；（2）具有医院感染控制知识；（3）具有3年以上相关管理经验。 采购人关于本项目保洁主管的情况说明:保洁主管分布在采购人各院区落实管理，协助项目负责人承担各院区保洁管理工作，负责与院方院感部、医务部、护理部、门诊部、后勤行政等部门沟通协调各项工作，并监督考核保洁人员日常工作质量，保证医院环境卫生时刻处于整洁状态，提升患者就医满意度，该岗位人员综合协调能力要求较高，由此对投标人拟派出的项目保洁主管提出相应的服务能力要求。 投标人需拟派运送主管2人。要求： （1）需具备学历证明；（2）具备应急救护技能；（3）具有3年以上相关管理经验。 采购人关于本项目运送主管的情况说明：运送主管在采购人各院区落实管理，协助项目负责人承担上排院区运送管理工作，负责与院方院感部、医务部、护理部、门诊部、后勤行政等部门沟通协调各项工作，并监督考核运送人员日常工作质量。当临床出现紧急抢救时，运送管理人员需参与急救应急处置的配合与联动工作，该岗位对人员综合协调能力要求较高，由此对投标人拟派出的运送主管提出相应的服务能力要求。 （3）拟派出人员（除项目负责人及主管外） ★投标人需拟派项目实施人员 213 人（提供承诺函，格式自拟）。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2</w:t>
            </w:r>
          </w:p>
        </w:tc>
        <w:tc>
          <w:tcPr>
            <w:tcW w:w="2076" w:type="dxa"/>
          </w:tcPr>
          <w:p>
            <w:pPr>
              <w:pStyle w:val="4"/>
              <w:jc w:val="left"/>
            </w:pPr>
            <w:r>
              <w:t>本项目后勤信息化管理服务的需求</w:t>
            </w:r>
          </w:p>
        </w:tc>
        <w:tc>
          <w:tcPr>
            <w:tcW w:w="2076" w:type="dxa"/>
          </w:tcPr>
          <w:p>
            <w:pPr>
              <w:pStyle w:val="4"/>
              <w:jc w:val="left"/>
            </w:pPr>
            <w:r>
              <w:t>医院后勤采用信息化管理对提高医院医疗工作质量与管理水平具有较好的推动作用，能提升医院后勤保障效率和加强安全管理，目前我院已初步搭建医院后勤管理信息化服务系统，建议投标人具有采购工作所须的医院后勤服务系统或相关支持服务系统与医院系统对接，实现后勤全信息化覆盖管理，如有关医院后勤保洁或运送服务等专项服务信息系统开发运行能力。相关服务信息系统提供证明材料。投标人的临床支持服务信息系统信息化系统通过相关检测机构的验收测试，达到《信息安全等级保护管理办法》规定的相关等级并提供公安部门备案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3</w:t>
            </w:r>
          </w:p>
        </w:tc>
        <w:tc>
          <w:tcPr>
            <w:tcW w:w="2076" w:type="dxa"/>
          </w:tcPr>
          <w:p>
            <w:pPr>
              <w:pStyle w:val="4"/>
              <w:jc w:val="left"/>
            </w:pPr>
            <w:r>
              <w:t>本项目业绩因素的需求</w:t>
            </w:r>
          </w:p>
        </w:tc>
        <w:tc>
          <w:tcPr>
            <w:tcW w:w="2076" w:type="dxa"/>
          </w:tcPr>
          <w:p>
            <w:pPr>
              <w:pStyle w:val="4"/>
              <w:jc w:val="left"/>
            </w:pPr>
            <w:r>
              <w:t>投标人提供从2022年1月1日至今取得的同类项目业绩。提供的同类业绩证明文件是服务合同关键页面。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4</w:t>
            </w:r>
          </w:p>
        </w:tc>
        <w:tc>
          <w:tcPr>
            <w:tcW w:w="2076" w:type="dxa"/>
          </w:tcPr>
          <w:p>
            <w:pPr>
              <w:pStyle w:val="4"/>
              <w:jc w:val="left"/>
            </w:pPr>
            <w:r>
              <w:t>采购人根据自身项目需求增加的信誉</w:t>
            </w:r>
          </w:p>
        </w:tc>
        <w:tc>
          <w:tcPr>
            <w:tcW w:w="2076" w:type="dxa"/>
          </w:tcPr>
          <w:p>
            <w:pPr>
              <w:pStyle w:val="4"/>
              <w:jc w:val="left"/>
            </w:pPr>
            <w:r>
              <w:t>为了体现投标人标准化的管理水平和服务质量，投标人在投标文件中可提供有效期内的相关管理体系认证资料，如质量管理体系认证、环境管理体系认证，职业健康安全管理体系认证、物业服务认证等证书的复印件并加盖投标人公司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5</w:t>
            </w:r>
          </w:p>
        </w:tc>
        <w:tc>
          <w:tcPr>
            <w:tcW w:w="2076" w:type="dxa"/>
          </w:tcPr>
          <w:p>
            <w:pPr>
              <w:pStyle w:val="4"/>
              <w:jc w:val="left"/>
            </w:pPr>
            <w:r>
              <w:t>客户评价</w:t>
            </w:r>
          </w:p>
        </w:tc>
        <w:tc>
          <w:tcPr>
            <w:tcW w:w="2076" w:type="dxa"/>
          </w:tcPr>
          <w:p>
            <w:pPr>
              <w:pStyle w:val="4"/>
              <w:jc w:val="left"/>
            </w:pPr>
            <w:r>
              <w:t>提供2022年1月1日至今的项目客户评价（必须为以上投标人业绩情况中的有效计分的业绩，须提供评价单位的联系人及联系方式）。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pPr>
            <w:r>
              <w:t>说明</w:t>
            </w:r>
          </w:p>
        </w:tc>
        <w:tc>
          <w:tcPr>
            <w:tcW w:w="5538" w:type="dxa"/>
            <w:gridSpan w:val="4"/>
          </w:tcPr>
          <w:p>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9"/>
        <w:gridCol w:w="829"/>
        <w:gridCol w:w="829"/>
        <w:gridCol w:w="829"/>
        <w:gridCol w:w="860"/>
        <w:gridCol w:w="1380"/>
        <w:gridCol w:w="1380"/>
        <w:gridCol w:w="756"/>
        <w:gridCol w:w="8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物业管理服务</w:t>
            </w:r>
          </w:p>
        </w:tc>
        <w:tc>
          <w:tcPr>
            <w:tcW w:w="933" w:type="dxa"/>
          </w:tcPr>
          <w:p>
            <w:pPr>
              <w:pStyle w:val="4"/>
              <w:jc w:val="left"/>
            </w:pPr>
            <w:r>
              <w:t>保洁及运送服务管理</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21,503,520.00</w:t>
            </w:r>
          </w:p>
        </w:tc>
        <w:tc>
          <w:tcPr>
            <w:tcW w:w="933" w:type="dxa"/>
          </w:tcPr>
          <w:p>
            <w:pPr>
              <w:pStyle w:val="4"/>
              <w:jc w:val="right"/>
            </w:pPr>
            <w:r>
              <w:t>21,503,520.00</w:t>
            </w:r>
          </w:p>
        </w:tc>
        <w:tc>
          <w:tcPr>
            <w:tcW w:w="840" w:type="dxa"/>
          </w:tcPr>
          <w:p>
            <w:pPr>
              <w:pStyle w:val="4"/>
            </w:pPr>
            <w:r>
              <w:t>物业管理</w:t>
            </w:r>
          </w:p>
        </w:tc>
        <w:tc>
          <w:tcPr>
            <w:tcW w:w="933" w:type="dxa"/>
          </w:tcPr>
          <w:p>
            <w:pPr>
              <w:pStyle w:val="4"/>
            </w:pPr>
            <w:r>
              <w:t>详见附表一</w:t>
            </w:r>
          </w:p>
        </w:tc>
      </w:tr>
    </w:tbl>
    <w:p>
      <w:pPr>
        <w:pStyle w:val="4"/>
      </w:pPr>
      <w:r>
        <w:rPr>
          <w:b/>
        </w:rPr>
        <w:t>附表一：保洁及运送服务管理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69"/>
        <w:gridCol w:w="416"/>
        <w:gridCol w:w="62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ind w:firstLine="562"/>
              <w:jc w:val="both"/>
            </w:pPr>
            <w:r>
              <w:rPr>
                <w:b/>
                <w:sz w:val="28"/>
              </w:rPr>
              <w:t>（一）本项目采购清单的情况</w:t>
            </w:r>
          </w:p>
          <w:p>
            <w:pPr>
              <w:pStyle w:val="4"/>
              <w:ind w:firstLine="560"/>
              <w:jc w:val="both"/>
            </w:pPr>
            <w:r>
              <w:rPr>
                <w:sz w:val="28"/>
              </w:rPr>
              <w:t>1、本项目采购清单</w:t>
            </w:r>
          </w:p>
          <w:p>
            <w:pPr>
              <w:pStyle w:val="4"/>
              <w:ind w:firstLine="560"/>
              <w:jc w:val="both"/>
            </w:pPr>
            <w:r>
              <w:rPr>
                <w:sz w:val="28"/>
              </w:rPr>
              <w:t>采购人确定本项目的主要标的：保洁及运送服务管理。</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2"/>
              <w:gridCol w:w="490"/>
              <w:gridCol w:w="1665"/>
              <w:gridCol w:w="542"/>
              <w:gridCol w:w="590"/>
              <w:gridCol w:w="1346"/>
              <w:gridCol w:w="67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序号</w:t>
                  </w:r>
                </w:p>
              </w:tc>
              <w:tc>
                <w:tcPr>
                  <w:tcW w:w="4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类别</w:t>
                  </w:r>
                </w:p>
              </w:tc>
              <w:tc>
                <w:tcPr>
                  <w:tcW w:w="16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标的名称</w:t>
                  </w:r>
                </w:p>
              </w:tc>
              <w:tc>
                <w:tcPr>
                  <w:tcW w:w="5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数量</w:t>
                  </w:r>
                </w:p>
              </w:tc>
              <w:tc>
                <w:tcPr>
                  <w:tcW w:w="5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单位</w:t>
                  </w:r>
                </w:p>
              </w:tc>
              <w:tc>
                <w:tcPr>
                  <w:tcW w:w="10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小计</w:t>
                  </w:r>
                </w:p>
              </w:tc>
              <w:tc>
                <w:tcPr>
                  <w:tcW w:w="6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主要标的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1</w:t>
                  </w:r>
                </w:p>
              </w:tc>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服务</w:t>
                  </w:r>
                </w:p>
              </w:tc>
              <w:tc>
                <w:tcPr>
                  <w:tcW w:w="1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保洁及运送服务管理</w:t>
                  </w:r>
                </w:p>
              </w:tc>
              <w:tc>
                <w:tcPr>
                  <w:tcW w:w="5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1</w:t>
                  </w:r>
                </w:p>
              </w:tc>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项</w:t>
                  </w:r>
                </w:p>
              </w:tc>
              <w:tc>
                <w:tcPr>
                  <w:tcW w:w="10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21503520元</w:t>
                  </w:r>
                </w:p>
              </w:tc>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3"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right"/>
                  </w:pPr>
                  <w:r>
                    <w:rPr>
                      <w:sz w:val="28"/>
                    </w:rPr>
                    <w:t>合计：</w:t>
                  </w:r>
                </w:p>
              </w:tc>
              <w:tc>
                <w:tcPr>
                  <w:tcW w:w="177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8"/>
                    </w:rPr>
                    <w:t>21503520元</w:t>
                  </w:r>
                </w:p>
              </w:tc>
            </w:tr>
          </w:tbl>
          <w:p>
            <w:pPr>
              <w:pStyle w:val="4"/>
              <w:ind w:firstLine="560"/>
              <w:jc w:val="both"/>
            </w:pPr>
            <w:r>
              <w:rPr>
                <w:sz w:val="28"/>
              </w:rPr>
              <w:t>项目每人每月预算为4110元人民币，每月预算895980元，服务期为二年，采购总预算为21503520元，包含服务费、为保洁人员依法缴纳社保、服装、通讯、工具、清洁耗材用品等一切费用。</w:t>
            </w:r>
          </w:p>
          <w:p>
            <w:pPr>
              <w:pStyle w:val="4"/>
              <w:ind w:firstLine="560"/>
              <w:jc w:val="both"/>
            </w:pPr>
            <w:r>
              <w:rPr>
                <w:sz w:val="28"/>
              </w:rPr>
              <w:t>2、采购清单具体要求</w:t>
            </w:r>
          </w:p>
          <w:p>
            <w:pPr>
              <w:pStyle w:val="4"/>
              <w:ind w:firstLine="560"/>
              <w:jc w:val="both"/>
            </w:pPr>
            <w:r>
              <w:rPr>
                <w:sz w:val="28"/>
              </w:rPr>
              <w:t>2.1</w:t>
            </w:r>
            <w:r>
              <w:rPr>
                <w:sz w:val="21"/>
              </w:rPr>
              <w:t xml:space="preserve"> </w:t>
            </w:r>
            <w:r>
              <w:rPr>
                <w:sz w:val="28"/>
              </w:rPr>
              <w:t>项目概况：</w:t>
            </w:r>
          </w:p>
          <w:p>
            <w:pPr>
              <w:pStyle w:val="4"/>
              <w:ind w:firstLine="560"/>
              <w:jc w:val="both"/>
            </w:pPr>
            <w:r>
              <w:rPr>
                <w:sz w:val="28"/>
              </w:rPr>
              <w:t>惠州市第二妇幼保健院设置病床总数约500张，总建筑面积约5万多平方米，其中：</w:t>
            </w:r>
          </w:p>
          <w:p>
            <w:pPr>
              <w:pStyle w:val="4"/>
              <w:ind w:firstLine="560"/>
              <w:jc w:val="both"/>
            </w:pPr>
            <w:r>
              <w:rPr>
                <w:sz w:val="28"/>
              </w:rPr>
              <w:t>（1）上排住院楼：地下1层、地面13层，地面建筑面积约27000平方米；</w:t>
            </w:r>
          </w:p>
          <w:p>
            <w:pPr>
              <w:pStyle w:val="4"/>
              <w:ind w:firstLine="560"/>
              <w:jc w:val="both"/>
            </w:pPr>
            <w:r>
              <w:rPr>
                <w:sz w:val="28"/>
              </w:rPr>
              <w:t>（2）上排保健楼：地面8层，地面建筑面积约4000平方米；</w:t>
            </w:r>
          </w:p>
          <w:p>
            <w:pPr>
              <w:pStyle w:val="4"/>
              <w:ind w:firstLine="560"/>
              <w:jc w:val="both"/>
            </w:pPr>
            <w:r>
              <w:rPr>
                <w:sz w:val="28"/>
              </w:rPr>
              <w:t>（3）江北院区：建筑面积约8300平方米；</w:t>
            </w:r>
          </w:p>
          <w:p>
            <w:pPr>
              <w:pStyle w:val="4"/>
              <w:ind w:firstLine="560"/>
              <w:jc w:val="both"/>
            </w:pPr>
            <w:r>
              <w:rPr>
                <w:sz w:val="28"/>
              </w:rPr>
              <w:t>（4）上排分院建筑面积B栋：3600平方米</w:t>
            </w:r>
          </w:p>
          <w:p>
            <w:pPr>
              <w:pStyle w:val="4"/>
              <w:ind w:firstLine="560"/>
              <w:jc w:val="both"/>
            </w:pPr>
            <w:r>
              <w:rPr>
                <w:sz w:val="28"/>
              </w:rPr>
              <w:t>（5）上排分院建筑面积A栋：2500平方米</w:t>
            </w:r>
          </w:p>
          <w:p>
            <w:pPr>
              <w:pStyle w:val="4"/>
              <w:ind w:firstLine="560"/>
              <w:jc w:val="both"/>
            </w:pPr>
            <w:r>
              <w:rPr>
                <w:sz w:val="28"/>
              </w:rPr>
              <w:t>（6）上排分院建筑面积C栋：3000平方米</w:t>
            </w:r>
          </w:p>
          <w:p>
            <w:pPr>
              <w:pStyle w:val="4"/>
              <w:ind w:firstLine="560"/>
              <w:jc w:val="both"/>
            </w:pPr>
            <w:r>
              <w:rPr>
                <w:sz w:val="28"/>
              </w:rPr>
              <w:t>（7）江北新院总面积：83990平方米</w:t>
            </w:r>
          </w:p>
          <w:p>
            <w:pPr>
              <w:pStyle w:val="4"/>
              <w:ind w:firstLine="560"/>
              <w:jc w:val="both"/>
            </w:pPr>
            <w:r>
              <w:rPr>
                <w:sz w:val="28"/>
              </w:rPr>
              <w:t>（8）医院内各楼层功能分布（详见《全院保洁与运送管理服务采购项目配置表》）</w:t>
            </w:r>
          </w:p>
          <w:p>
            <w:pPr>
              <w:pStyle w:val="4"/>
              <w:ind w:firstLine="560"/>
              <w:jc w:val="both"/>
            </w:pPr>
            <w:r>
              <w:rPr>
                <w:sz w:val="28"/>
              </w:rPr>
              <w:t>2.2 人员调配原则：项目服务地点为全院（上排院区、江北分院、上排分院、江北新院），由于医院江北新院项目正在建设中，涉及江北新院与江北分院搬迁问题，根据医院规划部署按阶段完成，在服务过程中涉及保洁人员院区之间调整，要求中标人根据医院部署完成相关保洁物业人员调整，具体服务人员以医院服务实际人员进行计算。</w:t>
            </w:r>
          </w:p>
          <w:p>
            <w:pPr>
              <w:pStyle w:val="4"/>
              <w:ind w:firstLine="560"/>
              <w:jc w:val="both"/>
            </w:pPr>
            <w:r>
              <w:rPr>
                <w:sz w:val="28"/>
              </w:rPr>
              <w:t>2.3具体岗位配置要求如下表:</w:t>
            </w:r>
            <w:r>
              <w:rPr>
                <w:sz w:val="21"/>
              </w:rP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881"/>
              <w:gridCol w:w="694"/>
              <w:gridCol w:w="692"/>
              <w:gridCol w:w="451"/>
              <w:gridCol w:w="451"/>
              <w:gridCol w:w="636"/>
              <w:gridCol w:w="879"/>
              <w:gridCol w:w="88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3" w:type="dxa"/>
                  <w:gridSpan w:val="9"/>
                  <w:tcBorders>
                    <w:top w:val="single" w:color="000000" w:sz="4" w:space="0"/>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b/>
                      <w:sz w:val="24"/>
                    </w:rPr>
                    <w:t>全院保洁与运送管理服务采购项目配置表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3"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管理人员岗位配置表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b/>
                      <w:sz w:val="24"/>
                    </w:rPr>
                    <w:t>各院区</w:t>
                  </w:r>
                </w:p>
              </w:tc>
              <w:tc>
                <w:tcPr>
                  <w:tcW w:w="4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楼层区域</w:t>
                  </w:r>
                </w:p>
              </w:tc>
              <w:tc>
                <w:tcPr>
                  <w:tcW w:w="12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类别</w:t>
                  </w:r>
                </w:p>
              </w:tc>
              <w:tc>
                <w:tcPr>
                  <w:tcW w:w="6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每岗位每周工作时长（小时）</w:t>
                  </w:r>
                </w:p>
              </w:tc>
              <w:tc>
                <w:tcPr>
                  <w:tcW w:w="4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每岗位每周工作天数</w:t>
                  </w:r>
                </w:p>
              </w:tc>
              <w:tc>
                <w:tcPr>
                  <w:tcW w:w="3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岗位数</w:t>
                  </w:r>
                </w:p>
              </w:tc>
              <w:tc>
                <w:tcPr>
                  <w:tcW w:w="4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w:t>
                  </w:r>
                </w:p>
              </w:tc>
              <w:tc>
                <w:tcPr>
                  <w:tcW w:w="5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                        小计</w:t>
                  </w:r>
                </w:p>
              </w:tc>
              <w:tc>
                <w:tcPr>
                  <w:tcW w:w="9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b/>
                      <w:sz w:val="24"/>
                    </w:rPr>
                    <w:t>保洁人员岗位配置</w:t>
                  </w: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管理岗位</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项目经理</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52"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5</w:t>
                  </w: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项目管理人员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nil"/>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上排保洁主管</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52" w:type="dxa"/>
                  <w:vMerge w:val="continue"/>
                  <w:tcBorders>
                    <w:top w:val="nil"/>
                    <w:left w:val="nil"/>
                    <w:bottom w:val="nil"/>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上排保洁管理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nil"/>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上排运送主管</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52" w:type="dxa"/>
                  <w:vMerge w:val="continue"/>
                  <w:tcBorders>
                    <w:top w:val="nil"/>
                    <w:left w:val="nil"/>
                    <w:bottom w:val="nil"/>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上排运送管理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nil"/>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江北新院保洁主管</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52" w:type="dxa"/>
                  <w:vMerge w:val="continue"/>
                  <w:tcBorders>
                    <w:top w:val="nil"/>
                    <w:left w:val="nil"/>
                    <w:bottom w:val="nil"/>
                    <w:right w:val="single" w:color="000000" w:sz="4" w:space="0"/>
                  </w:tcBorders>
                </w:tcPr>
                <w:p/>
              </w:tc>
              <w:tc>
                <w:tcPr>
                  <w:tcW w:w="957"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nil"/>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江北运送主管</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52" w:type="dxa"/>
                  <w:vMerge w:val="continue"/>
                  <w:tcBorders>
                    <w:top w:val="nil"/>
                    <w:left w:val="nil"/>
                    <w:bottom w:val="nil"/>
                    <w:right w:val="single" w:color="000000" w:sz="4" w:space="0"/>
                  </w:tcBorders>
                </w:tcPr>
                <w:p/>
              </w:tc>
              <w:tc>
                <w:tcPr>
                  <w:tcW w:w="957" w:type="dxa"/>
                  <w:tcBorders>
                    <w:top w:val="single" w:color="000000" w:sz="4" w:space="0"/>
                    <w:left w:val="nil"/>
                    <w:bottom w:val="nil"/>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4" w:type="dxa"/>
                  <w:gridSpan w:val="7"/>
                  <w:tcBorders>
                    <w:top w:val="single" w:color="000000" w:sz="4" w:space="0"/>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sz w:val="24"/>
                    </w:rPr>
                    <w:t>合计</w:t>
                  </w:r>
                </w:p>
              </w:tc>
              <w:tc>
                <w:tcPr>
                  <w:tcW w:w="552" w:type="dxa"/>
                  <w:tcBorders>
                    <w:top w:val="single" w:color="000000" w:sz="4" w:space="0"/>
                    <w:left w:val="nil"/>
                    <w:bottom w:val="nil"/>
                    <w:right w:val="single" w:color="000000" w:sz="4" w:space="0"/>
                  </w:tcBorders>
                  <w:tcMar>
                    <w:top w:w="0" w:type="dxa"/>
                    <w:left w:w="105" w:type="dxa"/>
                    <w:bottom w:w="0" w:type="dxa"/>
                    <w:right w:w="105" w:type="dxa"/>
                  </w:tcMar>
                  <w:vAlign w:val="top"/>
                </w:tcPr>
                <w:p>
                  <w:pPr>
                    <w:pStyle w:val="4"/>
                    <w:jc w:val="center"/>
                  </w:pPr>
                  <w:r>
                    <w:rPr>
                      <w:sz w:val="24"/>
                    </w:rPr>
                    <w:t>5</w:t>
                  </w:r>
                </w:p>
              </w:tc>
              <w:tc>
                <w:tcPr>
                  <w:tcW w:w="957"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3" w:type="dxa"/>
                  <w:gridSpan w:val="9"/>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保洁人员岗位配置表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院区</w:t>
                  </w:r>
                </w:p>
              </w:tc>
              <w:tc>
                <w:tcPr>
                  <w:tcW w:w="4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楼层区域</w:t>
                  </w:r>
                </w:p>
              </w:tc>
              <w:tc>
                <w:tcPr>
                  <w:tcW w:w="12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科室</w:t>
                  </w:r>
                </w:p>
              </w:tc>
              <w:tc>
                <w:tcPr>
                  <w:tcW w:w="6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每岗位每周工作时长（小时）</w:t>
                  </w:r>
                </w:p>
              </w:tc>
              <w:tc>
                <w:tcPr>
                  <w:tcW w:w="61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每岗位每周工作天数</w:t>
                  </w:r>
                </w:p>
              </w:tc>
              <w:tc>
                <w:tcPr>
                  <w:tcW w:w="1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岗位数</w:t>
                  </w:r>
                </w:p>
              </w:tc>
              <w:tc>
                <w:tcPr>
                  <w:tcW w:w="4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w:t>
                  </w:r>
                </w:p>
              </w:tc>
              <w:tc>
                <w:tcPr>
                  <w:tcW w:w="5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                       小计</w:t>
                  </w:r>
                </w:p>
              </w:tc>
              <w:tc>
                <w:tcPr>
                  <w:tcW w:w="9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上排总院</w:t>
                  </w: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急诊、大厅，药房，收费</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63.18</w:t>
                  </w: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早中晚班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儿科门诊</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专职专岗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上排2F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检验</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产前诊断门诊</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上排3F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功能科（电生理）</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妇科门诊</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上排4F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孕产门诊</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产前诊断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上排5F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生殖中心</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上排6F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儿科住院早班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儿科住院中班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6.7楼共用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儿科住院夜班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6.7楼共用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上排7F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妇科住院早班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儿科/妇科住院中班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儿科/妇科住院夜班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上排8F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爱婴区早班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爱婴区中班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8.9楼共用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上排9F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综合外早班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综合外中班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爱婴区/综合外夜班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上排10F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新生儿科新区早中班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新生儿东区早中班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上排11F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产前病区早中班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产房早中晚班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上排12F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供应室</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特需门诊</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上排13F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人流室/西侧大厅</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手术室早班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手术室中班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手术室夜班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上排附楼</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 xml:space="preserve">  5-8F公共区域                                                       (兼顾会议室保洁，茶杯消毒)</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1-4F公共区域，1F放射科</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公共</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外围、停车场及地下室</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创文创卫控烟巡扫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医疗废物、生活垃圾运送，垃圾房管理</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空调送回风口清洗</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玻璃/风口、专项洗地/落蜡/电梯保养</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上排分院</w:t>
                  </w: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A栋</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3层中医传统疗法中心</w:t>
                  </w:r>
                </w:p>
              </w:tc>
              <w:tc>
                <w:tcPr>
                  <w:tcW w:w="64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20.89</w:t>
                  </w: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4层口腔中心</w:t>
                  </w:r>
                </w:p>
              </w:tc>
              <w:tc>
                <w:tcPr>
                  <w:tcW w:w="641" w:type="dxa"/>
                  <w:vMerge w:val="continue"/>
                  <w:tcBorders>
                    <w:top w:val="nil"/>
                    <w:left w:val="nil"/>
                    <w:bottom w:val="single" w:color="000000" w:sz="4" w:space="0"/>
                    <w:right w:val="single" w:color="000000" w:sz="4" w:space="0"/>
                  </w:tcBorders>
                </w:tcPr>
                <w:p/>
              </w:tc>
              <w:tc>
                <w:tcPr>
                  <w:tcW w:w="611" w:type="dxa"/>
                  <w:vMerge w:val="continue"/>
                  <w:tcBorders>
                    <w:top w:val="nil"/>
                    <w:left w:val="nil"/>
                    <w:bottom w:val="single" w:color="000000" w:sz="4" w:space="0"/>
                    <w:right w:val="single" w:color="000000" w:sz="4" w:space="0"/>
                  </w:tcBorders>
                </w:tcPr>
                <w:p/>
              </w:tc>
              <w:tc>
                <w:tcPr>
                  <w:tcW w:w="197" w:type="dxa"/>
                  <w:vMerge w:val="continue"/>
                  <w:tcBorders>
                    <w:top w:val="nil"/>
                    <w:left w:val="nil"/>
                    <w:bottom w:val="single" w:color="000000" w:sz="4" w:space="0"/>
                    <w:right w:val="single" w:color="000000" w:sz="4" w:space="0"/>
                  </w:tcBorders>
                </w:tcPr>
                <w:p/>
              </w:tc>
              <w:tc>
                <w:tcPr>
                  <w:tcW w:w="483" w:type="dxa"/>
                  <w:vMerge w:val="continue"/>
                  <w:tcBorders>
                    <w:top w:val="nil"/>
                    <w:left w:val="nil"/>
                    <w:bottom w:val="single" w:color="000000" w:sz="4" w:space="0"/>
                    <w:right w:val="single" w:color="000000" w:sz="4" w:space="0"/>
                  </w:tcBorders>
                </w:tcP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5层产前诊断实验室</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6层病理科/PCR实验室</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兼顾病案室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6-7层病案室，示教室含公共区域</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B栋</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6楼VIP保洁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中班和夜班共用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5楼VIP保洁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4楼VIP保洁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3楼VIP保洁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2楼中医康复科、火爟清洗</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C栋</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1层疫苗接种，兼顾B1中药房</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2层儿童保健中心</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3层儿童早期发展中心及神内门诊</w:t>
                  </w:r>
                </w:p>
              </w:tc>
              <w:tc>
                <w:tcPr>
                  <w:tcW w:w="64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4层神经内科门诊</w:t>
                  </w:r>
                </w:p>
              </w:tc>
              <w:tc>
                <w:tcPr>
                  <w:tcW w:w="641" w:type="dxa"/>
                  <w:vMerge w:val="continue"/>
                  <w:tcBorders>
                    <w:top w:val="nil"/>
                    <w:left w:val="nil"/>
                    <w:bottom w:val="single" w:color="000000" w:sz="4" w:space="0"/>
                    <w:right w:val="single" w:color="000000" w:sz="4" w:space="0"/>
                  </w:tcBorders>
                </w:tcPr>
                <w:p/>
              </w:tc>
              <w:tc>
                <w:tcPr>
                  <w:tcW w:w="611" w:type="dxa"/>
                  <w:vMerge w:val="continue"/>
                  <w:tcBorders>
                    <w:top w:val="nil"/>
                    <w:left w:val="nil"/>
                    <w:bottom w:val="single" w:color="000000" w:sz="4" w:space="0"/>
                    <w:right w:val="single" w:color="000000" w:sz="4" w:space="0"/>
                  </w:tcBorders>
                </w:tcPr>
                <w:p/>
              </w:tc>
              <w:tc>
                <w:tcPr>
                  <w:tcW w:w="197" w:type="dxa"/>
                  <w:vMerge w:val="continue"/>
                  <w:tcBorders>
                    <w:top w:val="nil"/>
                    <w:left w:val="nil"/>
                    <w:bottom w:val="single" w:color="000000" w:sz="4" w:space="0"/>
                    <w:right w:val="single" w:color="000000" w:sz="4" w:space="0"/>
                  </w:tcBorders>
                </w:tcPr>
                <w:p/>
              </w:tc>
              <w:tc>
                <w:tcPr>
                  <w:tcW w:w="483" w:type="dxa"/>
                  <w:vMerge w:val="continue"/>
                  <w:tcBorders>
                    <w:top w:val="nil"/>
                    <w:left w:val="nil"/>
                    <w:bottom w:val="single" w:color="000000" w:sz="4" w:space="0"/>
                    <w:right w:val="single" w:color="000000" w:sz="4" w:space="0"/>
                  </w:tcBorders>
                </w:tcP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5层神经内科病房（18人）</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1楼大堂、外围，医疗垃圾运送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专项玻璃，风口，窗帘拆洗，电梯不锈钢，地毯清洗</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时代院区组长、应急响应</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48</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江北新院</w:t>
                  </w: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新院负2F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垃圾房，太平间，停车位，机房</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86.07</w:t>
                  </w: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新院负1F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总务仓库，耗材仓库，餐厅，设备机房，停车位</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负1-2F公区停车场，医院后勤、耗材仓库清洁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门诊大厅，挂号，收费，药房，综合服务，儿外门诊，急诊，产科门诊，胎监，儿内门诊，影像中心，DSA,行政门厅</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5.85</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1F中夜班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中班1人，夜班1人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新院2F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儿童保健：康复门诊，心理门诊，大厅上空；耳鼻喉，眼科，口腔，神内，早教，抽血；病理科，检验中心，新筛中心，血库；产前筛查实验室。</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5.85</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新院3F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妇女保健，妇科门诊；中医门诊，特需门诊；信息中心；超声科。</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5.85</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新院3F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中心供应室</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新院4F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产前诊断，VIP孕期；孕期保健，婚前孕前；手术中心；内镜中心，产后康复，孕妇学校</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5.85</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孕产门诊2人，手术室2人，内镜，产后1人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新院4F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4F手术室中夜班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手术室中班2人，手术室夜班1人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新院4F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2-4F中班，公厕清洁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新院5F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天面机房，庭院，机房，管理用房；大会议室，报告厅，接待室。</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行政用房，5F管理用房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新院6F</w:t>
                  </w:r>
                </w:p>
              </w:tc>
              <w:tc>
                <w:tcPr>
                  <w:tcW w:w="121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ICU 15床，行政办</w:t>
                  </w:r>
                </w:p>
              </w:tc>
              <w:tc>
                <w:tcPr>
                  <w:tcW w:w="64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ICU2人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vMerge w:val="continue"/>
                  <w:tcBorders>
                    <w:top w:val="nil"/>
                    <w:left w:val="nil"/>
                    <w:bottom w:val="single" w:color="000000" w:sz="4" w:space="0"/>
                    <w:right w:val="single" w:color="000000" w:sz="4" w:space="0"/>
                  </w:tcBorders>
                </w:tcPr>
                <w:p/>
              </w:tc>
              <w:tc>
                <w:tcPr>
                  <w:tcW w:w="641" w:type="dxa"/>
                  <w:vMerge w:val="continue"/>
                  <w:tcBorders>
                    <w:top w:val="nil"/>
                    <w:left w:val="nil"/>
                    <w:bottom w:val="single" w:color="000000" w:sz="4" w:space="0"/>
                    <w:right w:val="single" w:color="000000" w:sz="4" w:space="0"/>
                  </w:tcBorders>
                </w:tcPr>
                <w:p/>
              </w:tc>
              <w:tc>
                <w:tcPr>
                  <w:tcW w:w="611" w:type="dxa"/>
                  <w:vMerge w:val="continue"/>
                  <w:tcBorders>
                    <w:top w:val="nil"/>
                    <w:left w:val="nil"/>
                    <w:bottom w:val="single" w:color="000000" w:sz="4" w:space="0"/>
                    <w:right w:val="single" w:color="000000" w:sz="4" w:space="0"/>
                  </w:tcBorders>
                </w:tcPr>
                <w:p/>
              </w:tc>
              <w:tc>
                <w:tcPr>
                  <w:tcW w:w="197" w:type="dxa"/>
                  <w:vMerge w:val="continue"/>
                  <w:tcBorders>
                    <w:top w:val="nil"/>
                    <w:left w:val="nil"/>
                    <w:bottom w:val="single" w:color="000000" w:sz="4" w:space="0"/>
                    <w:right w:val="single" w:color="000000" w:sz="4" w:space="0"/>
                  </w:tcBorders>
                </w:tcPr>
                <w:p/>
              </w:tc>
              <w:tc>
                <w:tcPr>
                  <w:tcW w:w="483" w:type="dxa"/>
                  <w:vMerge w:val="continue"/>
                  <w:tcBorders>
                    <w:top w:val="nil"/>
                    <w:left w:val="nil"/>
                    <w:bottom w:val="single" w:color="000000" w:sz="4" w:space="0"/>
                    <w:right w:val="single" w:color="000000" w:sz="4" w:space="0"/>
                  </w:tcBorders>
                </w:tcP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行政1人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新院6F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ICU中班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ICU夜班由9F兼顾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新院7F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新生儿科，行政领导办，会议室</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新生儿保洁2人，行政1人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新院7F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新生儿中夜班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新生儿中班1人，夜班1人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新院8F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产房分娩室5间，隔离1，剖腹产手术间1，待产10床</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新院8F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产房中夜班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产房中班1人，夜班1人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新院9F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LDR室</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新院9F</w:t>
                  </w:r>
                </w:p>
              </w:tc>
              <w:tc>
                <w:tcPr>
                  <w:tcW w:w="121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LDR中夜班</w:t>
                  </w:r>
                </w:p>
              </w:tc>
              <w:tc>
                <w:tcPr>
                  <w:tcW w:w="64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vMerge w:val="continue"/>
                  <w:tcBorders>
                    <w:top w:val="nil"/>
                    <w:left w:val="nil"/>
                    <w:bottom w:val="single" w:color="000000" w:sz="4" w:space="0"/>
                    <w:right w:val="single" w:color="000000" w:sz="4" w:space="0"/>
                  </w:tcBorders>
                </w:tcPr>
                <w:p/>
              </w:tc>
              <w:tc>
                <w:tcPr>
                  <w:tcW w:w="641" w:type="dxa"/>
                  <w:vMerge w:val="continue"/>
                  <w:tcBorders>
                    <w:top w:val="nil"/>
                    <w:left w:val="nil"/>
                    <w:bottom w:val="single" w:color="000000" w:sz="4" w:space="0"/>
                    <w:right w:val="single" w:color="000000" w:sz="4" w:space="0"/>
                  </w:tcBorders>
                </w:tcPr>
                <w:p/>
              </w:tc>
              <w:tc>
                <w:tcPr>
                  <w:tcW w:w="611" w:type="dxa"/>
                  <w:vMerge w:val="continue"/>
                  <w:tcBorders>
                    <w:top w:val="nil"/>
                    <w:left w:val="nil"/>
                    <w:bottom w:val="single" w:color="000000" w:sz="4" w:space="0"/>
                    <w:right w:val="single" w:color="000000" w:sz="4" w:space="0"/>
                  </w:tcBorders>
                </w:tcPr>
                <w:p/>
              </w:tc>
              <w:tc>
                <w:tcPr>
                  <w:tcW w:w="197" w:type="dxa"/>
                  <w:vMerge w:val="continue"/>
                  <w:tcBorders>
                    <w:top w:val="nil"/>
                    <w:left w:val="nil"/>
                    <w:bottom w:val="single" w:color="000000" w:sz="4" w:space="0"/>
                    <w:right w:val="single" w:color="000000" w:sz="4" w:space="0"/>
                  </w:tcBorders>
                </w:tcPr>
                <w:p/>
              </w:tc>
              <w:tc>
                <w:tcPr>
                  <w:tcW w:w="483" w:type="dxa"/>
                  <w:vMerge w:val="continue"/>
                  <w:tcBorders>
                    <w:top w:val="nil"/>
                    <w:left w:val="nil"/>
                    <w:bottom w:val="single" w:color="000000" w:sz="4" w:space="0"/>
                    <w:right w:val="single" w:color="000000" w:sz="4" w:space="0"/>
                  </w:tcBorders>
                </w:tcP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夜班1人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vMerge w:val="continue"/>
                  <w:tcBorders>
                    <w:top w:val="nil"/>
                    <w:left w:val="nil"/>
                    <w:bottom w:val="single" w:color="000000" w:sz="4" w:space="0"/>
                    <w:right w:val="single" w:color="000000" w:sz="4" w:space="0"/>
                  </w:tcBorders>
                </w:tcPr>
                <w:p/>
              </w:tc>
              <w:tc>
                <w:tcPr>
                  <w:tcW w:w="641" w:type="dxa"/>
                  <w:vMerge w:val="continue"/>
                  <w:tcBorders>
                    <w:top w:val="nil"/>
                    <w:left w:val="nil"/>
                    <w:bottom w:val="single" w:color="000000" w:sz="4" w:space="0"/>
                    <w:right w:val="single" w:color="000000" w:sz="4" w:space="0"/>
                  </w:tcBorders>
                </w:tcPr>
                <w:p/>
              </w:tc>
              <w:tc>
                <w:tcPr>
                  <w:tcW w:w="611" w:type="dxa"/>
                  <w:vMerge w:val="continue"/>
                  <w:tcBorders>
                    <w:top w:val="nil"/>
                    <w:left w:val="nil"/>
                    <w:bottom w:val="single" w:color="000000" w:sz="4" w:space="0"/>
                    <w:right w:val="single" w:color="000000" w:sz="4" w:space="0"/>
                  </w:tcBorders>
                </w:tcPr>
                <w:p/>
              </w:tc>
              <w:tc>
                <w:tcPr>
                  <w:tcW w:w="197" w:type="dxa"/>
                  <w:vMerge w:val="continue"/>
                  <w:tcBorders>
                    <w:top w:val="nil"/>
                    <w:left w:val="nil"/>
                    <w:bottom w:val="single" w:color="000000" w:sz="4" w:space="0"/>
                    <w:right w:val="single" w:color="000000" w:sz="4" w:space="0"/>
                  </w:tcBorders>
                </w:tcPr>
                <w:p/>
              </w:tc>
              <w:tc>
                <w:tcPr>
                  <w:tcW w:w="483" w:type="dxa"/>
                  <w:vMerge w:val="continue"/>
                  <w:tcBorders>
                    <w:top w:val="nil"/>
                    <w:left w:val="nil"/>
                    <w:bottom w:val="single" w:color="000000" w:sz="4" w:space="0"/>
                    <w:right w:val="single" w:color="000000" w:sz="4" w:space="0"/>
                  </w:tcBorders>
                </w:tcP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夜班需兼顾ICU，9-11F</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新院10F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产一</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新院11F</w:t>
                  </w:r>
                </w:p>
              </w:tc>
              <w:tc>
                <w:tcPr>
                  <w:tcW w:w="121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产二</w:t>
                  </w:r>
                </w:p>
              </w:tc>
              <w:tc>
                <w:tcPr>
                  <w:tcW w:w="64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早班2人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vMerge w:val="continue"/>
                  <w:tcBorders>
                    <w:top w:val="nil"/>
                    <w:left w:val="nil"/>
                    <w:bottom w:val="single" w:color="000000" w:sz="4" w:space="0"/>
                    <w:right w:val="single" w:color="000000" w:sz="4" w:space="0"/>
                  </w:tcBorders>
                </w:tcPr>
                <w:p/>
              </w:tc>
              <w:tc>
                <w:tcPr>
                  <w:tcW w:w="641" w:type="dxa"/>
                  <w:vMerge w:val="continue"/>
                  <w:tcBorders>
                    <w:top w:val="nil"/>
                    <w:left w:val="nil"/>
                    <w:bottom w:val="single" w:color="000000" w:sz="4" w:space="0"/>
                    <w:right w:val="single" w:color="000000" w:sz="4" w:space="0"/>
                  </w:tcBorders>
                </w:tcPr>
                <w:p/>
              </w:tc>
              <w:tc>
                <w:tcPr>
                  <w:tcW w:w="611" w:type="dxa"/>
                  <w:vMerge w:val="continue"/>
                  <w:tcBorders>
                    <w:top w:val="nil"/>
                    <w:left w:val="nil"/>
                    <w:bottom w:val="single" w:color="000000" w:sz="4" w:space="0"/>
                    <w:right w:val="single" w:color="000000" w:sz="4" w:space="0"/>
                  </w:tcBorders>
                </w:tcPr>
                <w:p/>
              </w:tc>
              <w:tc>
                <w:tcPr>
                  <w:tcW w:w="197" w:type="dxa"/>
                  <w:vMerge w:val="continue"/>
                  <w:tcBorders>
                    <w:top w:val="nil"/>
                    <w:left w:val="nil"/>
                    <w:bottom w:val="single" w:color="000000" w:sz="4" w:space="0"/>
                    <w:right w:val="single" w:color="000000" w:sz="4" w:space="0"/>
                  </w:tcBorders>
                </w:tcPr>
                <w:p/>
              </w:tc>
              <w:tc>
                <w:tcPr>
                  <w:tcW w:w="483" w:type="dxa"/>
                  <w:vMerge w:val="continue"/>
                  <w:tcBorders>
                    <w:top w:val="nil"/>
                    <w:left w:val="nil"/>
                    <w:bottom w:val="single" w:color="000000" w:sz="4" w:space="0"/>
                    <w:right w:val="single" w:color="000000" w:sz="4" w:space="0"/>
                  </w:tcBorders>
                </w:tcP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vMerge w:val="continue"/>
                  <w:tcBorders>
                    <w:top w:val="nil"/>
                    <w:left w:val="nil"/>
                    <w:bottom w:val="single" w:color="000000" w:sz="4" w:space="0"/>
                    <w:right w:val="single" w:color="000000" w:sz="4" w:space="0"/>
                  </w:tcBorders>
                </w:tcPr>
                <w:p/>
              </w:tc>
              <w:tc>
                <w:tcPr>
                  <w:tcW w:w="641" w:type="dxa"/>
                  <w:vMerge w:val="continue"/>
                  <w:tcBorders>
                    <w:top w:val="nil"/>
                    <w:left w:val="nil"/>
                    <w:bottom w:val="single" w:color="000000" w:sz="4" w:space="0"/>
                    <w:right w:val="single" w:color="000000" w:sz="4" w:space="0"/>
                  </w:tcBorders>
                </w:tcPr>
                <w:p/>
              </w:tc>
              <w:tc>
                <w:tcPr>
                  <w:tcW w:w="611" w:type="dxa"/>
                  <w:vMerge w:val="continue"/>
                  <w:tcBorders>
                    <w:top w:val="nil"/>
                    <w:left w:val="nil"/>
                    <w:bottom w:val="single" w:color="000000" w:sz="4" w:space="0"/>
                    <w:right w:val="single" w:color="000000" w:sz="4" w:space="0"/>
                  </w:tcBorders>
                </w:tcPr>
                <w:p/>
              </w:tc>
              <w:tc>
                <w:tcPr>
                  <w:tcW w:w="197" w:type="dxa"/>
                  <w:vMerge w:val="continue"/>
                  <w:tcBorders>
                    <w:top w:val="nil"/>
                    <w:left w:val="nil"/>
                    <w:bottom w:val="single" w:color="000000" w:sz="4" w:space="0"/>
                    <w:right w:val="single" w:color="000000" w:sz="4" w:space="0"/>
                  </w:tcBorders>
                </w:tcPr>
                <w:p/>
              </w:tc>
              <w:tc>
                <w:tcPr>
                  <w:tcW w:w="483" w:type="dxa"/>
                  <w:vMerge w:val="continue"/>
                  <w:tcBorders>
                    <w:top w:val="nil"/>
                    <w:left w:val="nil"/>
                    <w:bottom w:val="single" w:color="000000" w:sz="4" w:space="0"/>
                    <w:right w:val="single" w:color="000000" w:sz="4" w:space="0"/>
                  </w:tcBorders>
                </w:tcP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中班兼顾10F</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新院12F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儿内一</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新院13F</w:t>
                  </w:r>
                </w:p>
              </w:tc>
              <w:tc>
                <w:tcPr>
                  <w:tcW w:w="121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儿内二</w:t>
                  </w:r>
                </w:p>
              </w:tc>
              <w:tc>
                <w:tcPr>
                  <w:tcW w:w="64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早班2人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vMerge w:val="continue"/>
                  <w:tcBorders>
                    <w:top w:val="nil"/>
                    <w:left w:val="nil"/>
                    <w:bottom w:val="single" w:color="000000" w:sz="4" w:space="0"/>
                    <w:right w:val="single" w:color="000000" w:sz="4" w:space="0"/>
                  </w:tcBorders>
                </w:tcPr>
                <w:p/>
              </w:tc>
              <w:tc>
                <w:tcPr>
                  <w:tcW w:w="641" w:type="dxa"/>
                  <w:vMerge w:val="continue"/>
                  <w:tcBorders>
                    <w:top w:val="nil"/>
                    <w:left w:val="nil"/>
                    <w:bottom w:val="single" w:color="000000" w:sz="4" w:space="0"/>
                    <w:right w:val="single" w:color="000000" w:sz="4" w:space="0"/>
                  </w:tcBorders>
                </w:tcPr>
                <w:p/>
              </w:tc>
              <w:tc>
                <w:tcPr>
                  <w:tcW w:w="611" w:type="dxa"/>
                  <w:vMerge w:val="continue"/>
                  <w:tcBorders>
                    <w:top w:val="nil"/>
                    <w:left w:val="nil"/>
                    <w:bottom w:val="single" w:color="000000" w:sz="4" w:space="0"/>
                    <w:right w:val="single" w:color="000000" w:sz="4" w:space="0"/>
                  </w:tcBorders>
                </w:tcPr>
                <w:p/>
              </w:tc>
              <w:tc>
                <w:tcPr>
                  <w:tcW w:w="197" w:type="dxa"/>
                  <w:vMerge w:val="continue"/>
                  <w:tcBorders>
                    <w:top w:val="nil"/>
                    <w:left w:val="nil"/>
                    <w:bottom w:val="single" w:color="000000" w:sz="4" w:space="0"/>
                    <w:right w:val="single" w:color="000000" w:sz="4" w:space="0"/>
                  </w:tcBorders>
                </w:tcPr>
                <w:p/>
              </w:tc>
              <w:tc>
                <w:tcPr>
                  <w:tcW w:w="483" w:type="dxa"/>
                  <w:vMerge w:val="continue"/>
                  <w:tcBorders>
                    <w:top w:val="nil"/>
                    <w:left w:val="nil"/>
                    <w:bottom w:val="single" w:color="000000" w:sz="4" w:space="0"/>
                    <w:right w:val="single" w:color="000000" w:sz="4" w:space="0"/>
                  </w:tcBorders>
                </w:tcP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vMerge w:val="continue"/>
                  <w:tcBorders>
                    <w:top w:val="nil"/>
                    <w:left w:val="nil"/>
                    <w:bottom w:val="single" w:color="000000" w:sz="4" w:space="0"/>
                    <w:right w:val="single" w:color="000000" w:sz="4" w:space="0"/>
                  </w:tcBorders>
                </w:tcPr>
                <w:p/>
              </w:tc>
              <w:tc>
                <w:tcPr>
                  <w:tcW w:w="641" w:type="dxa"/>
                  <w:vMerge w:val="continue"/>
                  <w:tcBorders>
                    <w:top w:val="nil"/>
                    <w:left w:val="nil"/>
                    <w:bottom w:val="single" w:color="000000" w:sz="4" w:space="0"/>
                    <w:right w:val="single" w:color="000000" w:sz="4" w:space="0"/>
                  </w:tcBorders>
                </w:tcPr>
                <w:p/>
              </w:tc>
              <w:tc>
                <w:tcPr>
                  <w:tcW w:w="611" w:type="dxa"/>
                  <w:vMerge w:val="continue"/>
                  <w:tcBorders>
                    <w:top w:val="nil"/>
                    <w:left w:val="nil"/>
                    <w:bottom w:val="single" w:color="000000" w:sz="4" w:space="0"/>
                    <w:right w:val="single" w:color="000000" w:sz="4" w:space="0"/>
                  </w:tcBorders>
                </w:tcPr>
                <w:p/>
              </w:tc>
              <w:tc>
                <w:tcPr>
                  <w:tcW w:w="197" w:type="dxa"/>
                  <w:vMerge w:val="continue"/>
                  <w:tcBorders>
                    <w:top w:val="nil"/>
                    <w:left w:val="nil"/>
                    <w:bottom w:val="single" w:color="000000" w:sz="4" w:space="0"/>
                    <w:right w:val="single" w:color="000000" w:sz="4" w:space="0"/>
                  </w:tcBorders>
                </w:tcPr>
                <w:p/>
              </w:tc>
              <w:tc>
                <w:tcPr>
                  <w:tcW w:w="483" w:type="dxa"/>
                  <w:vMerge w:val="continue"/>
                  <w:tcBorders>
                    <w:top w:val="nil"/>
                    <w:left w:val="nil"/>
                    <w:bottom w:val="single" w:color="000000" w:sz="4" w:space="0"/>
                    <w:right w:val="single" w:color="000000" w:sz="4" w:space="0"/>
                  </w:tcBorders>
                </w:tcP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中班兼顾12F</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新院14F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儿外</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新院15F</w:t>
                  </w:r>
                </w:p>
              </w:tc>
              <w:tc>
                <w:tcPr>
                  <w:tcW w:w="121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综合外</w:t>
                  </w:r>
                </w:p>
              </w:tc>
              <w:tc>
                <w:tcPr>
                  <w:tcW w:w="64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早班2人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vMerge w:val="continue"/>
                  <w:tcBorders>
                    <w:top w:val="nil"/>
                    <w:left w:val="nil"/>
                    <w:bottom w:val="single" w:color="000000" w:sz="4" w:space="0"/>
                    <w:right w:val="single" w:color="000000" w:sz="4" w:space="0"/>
                  </w:tcBorders>
                </w:tcPr>
                <w:p/>
              </w:tc>
              <w:tc>
                <w:tcPr>
                  <w:tcW w:w="641" w:type="dxa"/>
                  <w:vMerge w:val="continue"/>
                  <w:tcBorders>
                    <w:top w:val="nil"/>
                    <w:left w:val="nil"/>
                    <w:bottom w:val="single" w:color="000000" w:sz="4" w:space="0"/>
                    <w:right w:val="single" w:color="000000" w:sz="4" w:space="0"/>
                  </w:tcBorders>
                </w:tcPr>
                <w:p/>
              </w:tc>
              <w:tc>
                <w:tcPr>
                  <w:tcW w:w="611" w:type="dxa"/>
                  <w:vMerge w:val="continue"/>
                  <w:tcBorders>
                    <w:top w:val="nil"/>
                    <w:left w:val="nil"/>
                    <w:bottom w:val="single" w:color="000000" w:sz="4" w:space="0"/>
                    <w:right w:val="single" w:color="000000" w:sz="4" w:space="0"/>
                  </w:tcBorders>
                </w:tcPr>
                <w:p/>
              </w:tc>
              <w:tc>
                <w:tcPr>
                  <w:tcW w:w="197" w:type="dxa"/>
                  <w:vMerge w:val="continue"/>
                  <w:tcBorders>
                    <w:top w:val="nil"/>
                    <w:left w:val="nil"/>
                    <w:bottom w:val="single" w:color="000000" w:sz="4" w:space="0"/>
                    <w:right w:val="single" w:color="000000" w:sz="4" w:space="0"/>
                  </w:tcBorders>
                </w:tcPr>
                <w:p/>
              </w:tc>
              <w:tc>
                <w:tcPr>
                  <w:tcW w:w="483" w:type="dxa"/>
                  <w:vMerge w:val="continue"/>
                  <w:tcBorders>
                    <w:top w:val="nil"/>
                    <w:left w:val="nil"/>
                    <w:bottom w:val="single" w:color="000000" w:sz="4" w:space="0"/>
                    <w:right w:val="single" w:color="000000" w:sz="4" w:space="0"/>
                  </w:tcBorders>
                </w:tcP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vMerge w:val="continue"/>
                  <w:tcBorders>
                    <w:top w:val="nil"/>
                    <w:left w:val="nil"/>
                    <w:bottom w:val="single" w:color="000000" w:sz="4" w:space="0"/>
                    <w:right w:val="single" w:color="000000" w:sz="4" w:space="0"/>
                  </w:tcBorders>
                </w:tcPr>
                <w:p/>
              </w:tc>
              <w:tc>
                <w:tcPr>
                  <w:tcW w:w="641" w:type="dxa"/>
                  <w:vMerge w:val="continue"/>
                  <w:tcBorders>
                    <w:top w:val="nil"/>
                    <w:left w:val="nil"/>
                    <w:bottom w:val="single" w:color="000000" w:sz="4" w:space="0"/>
                    <w:right w:val="single" w:color="000000" w:sz="4" w:space="0"/>
                  </w:tcBorders>
                </w:tcPr>
                <w:p/>
              </w:tc>
              <w:tc>
                <w:tcPr>
                  <w:tcW w:w="611" w:type="dxa"/>
                  <w:vMerge w:val="continue"/>
                  <w:tcBorders>
                    <w:top w:val="nil"/>
                    <w:left w:val="nil"/>
                    <w:bottom w:val="single" w:color="000000" w:sz="4" w:space="0"/>
                    <w:right w:val="single" w:color="000000" w:sz="4" w:space="0"/>
                  </w:tcBorders>
                </w:tcPr>
                <w:p/>
              </w:tc>
              <w:tc>
                <w:tcPr>
                  <w:tcW w:w="197" w:type="dxa"/>
                  <w:vMerge w:val="continue"/>
                  <w:tcBorders>
                    <w:top w:val="nil"/>
                    <w:left w:val="nil"/>
                    <w:bottom w:val="single" w:color="000000" w:sz="4" w:space="0"/>
                    <w:right w:val="single" w:color="000000" w:sz="4" w:space="0"/>
                  </w:tcBorders>
                </w:tcPr>
                <w:p/>
              </w:tc>
              <w:tc>
                <w:tcPr>
                  <w:tcW w:w="483" w:type="dxa"/>
                  <w:vMerge w:val="continue"/>
                  <w:tcBorders>
                    <w:top w:val="nil"/>
                    <w:left w:val="nil"/>
                    <w:bottom w:val="single" w:color="000000" w:sz="4" w:space="0"/>
                    <w:right w:val="single" w:color="000000" w:sz="4" w:space="0"/>
                  </w:tcBorders>
                </w:tcP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中班兼顾14F</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12-15F</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12-15F夜间公区清洁，应急处置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外围</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医疗废物、生活垃圾运送，垃圾房管理</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层流空调送回风口清洗</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48</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专项洗地/刷洗落蜡/地毯清洗</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玻璃，风口，拆洗窗帘床帘，电梯保养</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48</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仓管、保洁棉织品洗消</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新院</w:t>
                  </w:r>
                </w:p>
              </w:tc>
              <w:tc>
                <w:tcPr>
                  <w:tcW w:w="1213"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专项组长、应急响应</w:t>
                  </w:r>
                </w:p>
              </w:tc>
              <w:tc>
                <w:tcPr>
                  <w:tcW w:w="641"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48</w:t>
                  </w:r>
                </w:p>
              </w:tc>
              <w:tc>
                <w:tcPr>
                  <w:tcW w:w="611"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4"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合计</w:t>
                  </w:r>
                </w:p>
              </w:tc>
              <w:tc>
                <w:tcPr>
                  <w:tcW w:w="5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170.14</w:t>
                  </w:r>
                </w:p>
              </w:tc>
              <w:tc>
                <w:tcPr>
                  <w:tcW w:w="9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3" w:type="dxa"/>
                  <w:gridSpan w:val="9"/>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b/>
                      <w:sz w:val="24"/>
                    </w:rPr>
                    <w:t>运送及调度人员配置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single" w:color="000000" w:sz="4" w:space="0"/>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b/>
                      <w:sz w:val="24"/>
                    </w:rPr>
                    <w:t>院区</w:t>
                  </w:r>
                </w:p>
              </w:tc>
              <w:tc>
                <w:tcPr>
                  <w:tcW w:w="454" w:type="dxa"/>
                  <w:tcBorders>
                    <w:top w:val="single" w:color="000000" w:sz="4" w:space="0"/>
                    <w:left w:val="nil"/>
                    <w:bottom w:val="nil"/>
                    <w:right w:val="single" w:color="000000" w:sz="4" w:space="0"/>
                  </w:tcBorders>
                  <w:tcMar>
                    <w:top w:w="0" w:type="dxa"/>
                    <w:left w:w="105" w:type="dxa"/>
                    <w:bottom w:w="0" w:type="dxa"/>
                    <w:right w:w="105" w:type="dxa"/>
                  </w:tcMar>
                  <w:vAlign w:val="top"/>
                </w:tcPr>
                <w:p>
                  <w:pPr>
                    <w:pStyle w:val="4"/>
                    <w:jc w:val="center"/>
                  </w:pPr>
                  <w:r>
                    <w:rPr>
                      <w:b/>
                      <w:sz w:val="24"/>
                    </w:rPr>
                    <w:t>楼层区域</w:t>
                  </w:r>
                </w:p>
              </w:tc>
              <w:tc>
                <w:tcPr>
                  <w:tcW w:w="1213" w:type="dxa"/>
                  <w:tcBorders>
                    <w:top w:val="single" w:color="000000" w:sz="4" w:space="0"/>
                    <w:left w:val="nil"/>
                    <w:bottom w:val="nil"/>
                    <w:right w:val="single" w:color="000000" w:sz="4" w:space="0"/>
                  </w:tcBorders>
                  <w:tcMar>
                    <w:top w:w="0" w:type="dxa"/>
                    <w:left w:w="105" w:type="dxa"/>
                    <w:bottom w:w="0" w:type="dxa"/>
                    <w:right w:w="105" w:type="dxa"/>
                  </w:tcMar>
                  <w:vAlign w:val="top"/>
                </w:tcPr>
                <w:p>
                  <w:pPr>
                    <w:pStyle w:val="4"/>
                    <w:jc w:val="center"/>
                  </w:pPr>
                  <w:r>
                    <w:rPr>
                      <w:b/>
                      <w:sz w:val="24"/>
                    </w:rPr>
                    <w:t>科室</w:t>
                  </w:r>
                </w:p>
              </w:tc>
              <w:tc>
                <w:tcPr>
                  <w:tcW w:w="641" w:type="dxa"/>
                  <w:tcBorders>
                    <w:top w:val="single" w:color="000000" w:sz="4" w:space="0"/>
                    <w:left w:val="nil"/>
                    <w:bottom w:val="nil"/>
                    <w:right w:val="single" w:color="000000" w:sz="4" w:space="0"/>
                  </w:tcBorders>
                  <w:tcMar>
                    <w:top w:w="0" w:type="dxa"/>
                    <w:left w:w="105" w:type="dxa"/>
                    <w:bottom w:w="0" w:type="dxa"/>
                    <w:right w:w="105" w:type="dxa"/>
                  </w:tcMar>
                  <w:vAlign w:val="top"/>
                </w:tcPr>
                <w:p>
                  <w:pPr>
                    <w:pStyle w:val="4"/>
                    <w:jc w:val="center"/>
                  </w:pPr>
                  <w:r>
                    <w:rPr>
                      <w:b/>
                      <w:sz w:val="24"/>
                    </w:rPr>
                    <w:t>每岗位每周工作时长（小时）</w:t>
                  </w:r>
                </w:p>
              </w:tc>
              <w:tc>
                <w:tcPr>
                  <w:tcW w:w="611" w:type="dxa"/>
                  <w:tcBorders>
                    <w:top w:val="single" w:color="000000" w:sz="4" w:space="0"/>
                    <w:left w:val="nil"/>
                    <w:bottom w:val="nil"/>
                    <w:right w:val="single" w:color="000000" w:sz="4" w:space="0"/>
                  </w:tcBorders>
                  <w:tcMar>
                    <w:top w:w="0" w:type="dxa"/>
                    <w:left w:w="105" w:type="dxa"/>
                    <w:bottom w:w="0" w:type="dxa"/>
                    <w:right w:w="105" w:type="dxa"/>
                  </w:tcMar>
                  <w:vAlign w:val="top"/>
                </w:tcPr>
                <w:p>
                  <w:pPr>
                    <w:pStyle w:val="4"/>
                    <w:jc w:val="center"/>
                  </w:pPr>
                  <w:r>
                    <w:rPr>
                      <w:b/>
                      <w:sz w:val="24"/>
                    </w:rPr>
                    <w:t>每岗位每周工作天数</w:t>
                  </w:r>
                </w:p>
              </w:tc>
              <w:tc>
                <w:tcPr>
                  <w:tcW w:w="197" w:type="dxa"/>
                  <w:tcBorders>
                    <w:top w:val="single" w:color="000000" w:sz="4" w:space="0"/>
                    <w:left w:val="nil"/>
                    <w:bottom w:val="nil"/>
                    <w:right w:val="single" w:color="000000" w:sz="4" w:space="0"/>
                  </w:tcBorders>
                  <w:tcMar>
                    <w:top w:w="0" w:type="dxa"/>
                    <w:left w:w="105" w:type="dxa"/>
                    <w:bottom w:w="0" w:type="dxa"/>
                    <w:right w:w="105" w:type="dxa"/>
                  </w:tcMar>
                  <w:vAlign w:val="top"/>
                </w:tcPr>
                <w:p>
                  <w:pPr>
                    <w:pStyle w:val="4"/>
                    <w:jc w:val="center"/>
                  </w:pPr>
                  <w:r>
                    <w:rPr>
                      <w:b/>
                      <w:sz w:val="24"/>
                    </w:rPr>
                    <w:t>岗位数</w:t>
                  </w:r>
                </w:p>
              </w:tc>
              <w:tc>
                <w:tcPr>
                  <w:tcW w:w="483" w:type="dxa"/>
                  <w:tcBorders>
                    <w:top w:val="single" w:color="000000" w:sz="4" w:space="0"/>
                    <w:left w:val="nil"/>
                    <w:bottom w:val="nil"/>
                    <w:right w:val="single" w:color="000000" w:sz="4" w:space="0"/>
                  </w:tcBorders>
                  <w:tcMar>
                    <w:top w:w="0" w:type="dxa"/>
                    <w:left w:w="105" w:type="dxa"/>
                    <w:bottom w:w="0" w:type="dxa"/>
                    <w:right w:w="105" w:type="dxa"/>
                  </w:tcMar>
                  <w:vAlign w:val="top"/>
                </w:tcPr>
                <w:p>
                  <w:pPr>
                    <w:pStyle w:val="4"/>
                    <w:jc w:val="center"/>
                  </w:pPr>
                  <w:r>
                    <w:rPr>
                      <w:b/>
                      <w:sz w:val="24"/>
                    </w:rPr>
                    <w:t>编制数</w:t>
                  </w:r>
                </w:p>
              </w:tc>
              <w:tc>
                <w:tcPr>
                  <w:tcW w:w="552" w:type="dxa"/>
                  <w:tcBorders>
                    <w:top w:val="single" w:color="000000" w:sz="4" w:space="0"/>
                    <w:left w:val="nil"/>
                    <w:bottom w:val="nil"/>
                    <w:right w:val="single" w:color="000000" w:sz="4" w:space="0"/>
                  </w:tcBorders>
                  <w:tcMar>
                    <w:top w:w="0" w:type="dxa"/>
                    <w:left w:w="105" w:type="dxa"/>
                    <w:bottom w:w="0" w:type="dxa"/>
                    <w:right w:w="105" w:type="dxa"/>
                  </w:tcMar>
                  <w:vAlign w:val="top"/>
                </w:tcPr>
                <w:p>
                  <w:pPr>
                    <w:pStyle w:val="4"/>
                    <w:jc w:val="center"/>
                  </w:pPr>
                  <w:r>
                    <w:rPr>
                      <w:b/>
                      <w:sz w:val="24"/>
                    </w:rPr>
                    <w:t>编制数                        小计</w:t>
                  </w:r>
                </w:p>
              </w:tc>
              <w:tc>
                <w:tcPr>
                  <w:tcW w:w="957" w:type="dxa"/>
                  <w:tcBorders>
                    <w:top w:val="single" w:color="000000" w:sz="4" w:space="0"/>
                    <w:left w:val="nil"/>
                    <w:bottom w:val="nil"/>
                    <w:right w:val="single" w:color="000000" w:sz="4" w:space="0"/>
                  </w:tcBorders>
                  <w:tcMar>
                    <w:top w:w="0" w:type="dxa"/>
                    <w:left w:w="105" w:type="dxa"/>
                    <w:bottom w:w="0" w:type="dxa"/>
                    <w:right w:w="105" w:type="dxa"/>
                  </w:tcMar>
                  <w:vAlign w:val="top"/>
                </w:tcPr>
                <w:p>
                  <w:pPr>
                    <w:pStyle w:val="4"/>
                    <w:jc w:val="center"/>
                  </w:pPr>
                  <w:r>
                    <w:rPr>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上排总院及分院</w:t>
                  </w:r>
                </w:p>
              </w:tc>
              <w:tc>
                <w:tcPr>
                  <w:tcW w:w="4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布类运送</w:t>
                  </w:r>
                </w:p>
              </w:tc>
              <w:tc>
                <w:tcPr>
                  <w:tcW w:w="12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收集/分拣/输送/工衣发放</w:t>
                  </w:r>
                </w:p>
              </w:tc>
              <w:tc>
                <w:tcPr>
                  <w:tcW w:w="6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23.35</w:t>
                  </w:r>
                </w:p>
              </w:tc>
              <w:tc>
                <w:tcPr>
                  <w:tcW w:w="9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single" w:color="000000" w:sz="4" w:space="0"/>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物资配送</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物资配送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single" w:color="000000" w:sz="4" w:space="0"/>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single" w:color="000000" w:sz="4" w:space="0"/>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领班/仓管/分发物料</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52" w:type="dxa"/>
                  <w:vMerge w:val="continue"/>
                  <w:tcBorders>
                    <w:top w:val="single" w:color="000000" w:sz="4" w:space="0"/>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single" w:color="000000" w:sz="4" w:space="0"/>
                    <w:left w:val="single" w:color="000000" w:sz="4" w:space="0"/>
                    <w:bottom w:val="single" w:color="000000" w:sz="4" w:space="0"/>
                    <w:right w:val="single" w:color="000000" w:sz="4" w:space="0"/>
                  </w:tcBorders>
                </w:tcPr>
                <w:p/>
              </w:tc>
              <w:tc>
                <w:tcPr>
                  <w:tcW w:w="454"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标本运送</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标本运送早班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single" w:color="000000" w:sz="4" w:space="0"/>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主楼2人，                           时代与主楼往返1人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single" w:color="000000" w:sz="4" w:space="0"/>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机动运送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single" w:color="000000" w:sz="4" w:space="0"/>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single" w:color="000000" w:sz="4" w:space="0"/>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标本运送中班兼床边报告</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single" w:color="000000" w:sz="4" w:space="0"/>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single" w:color="000000" w:sz="4" w:space="0"/>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标本运送晚班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single" w:color="000000" w:sz="4" w:space="0"/>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single" w:color="000000" w:sz="4" w:space="0"/>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病人运送早班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4.8</w:t>
                  </w:r>
                </w:p>
              </w:tc>
              <w:tc>
                <w:tcPr>
                  <w:tcW w:w="552" w:type="dxa"/>
                  <w:vMerge w:val="continue"/>
                  <w:tcBorders>
                    <w:top w:val="single" w:color="000000" w:sz="4" w:space="0"/>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single" w:color="000000" w:sz="4" w:space="0"/>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病人运送中班兼床边报告</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single" w:color="000000" w:sz="4" w:space="0"/>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single" w:color="000000" w:sz="4" w:space="0"/>
                    <w:left w:val="single" w:color="000000" w:sz="4" w:space="0"/>
                    <w:bottom w:val="single" w:color="000000" w:sz="4" w:space="0"/>
                    <w:right w:val="single" w:color="000000" w:sz="4" w:space="0"/>
                  </w:tcBorders>
                </w:tcPr>
                <w:p/>
              </w:tc>
              <w:tc>
                <w:tcPr>
                  <w:tcW w:w="454" w:type="dxa"/>
                  <w:vMerge w:val="continue"/>
                  <w:tcBorders>
                    <w:top w:val="nil"/>
                    <w:left w:val="nil"/>
                    <w:bottom w:val="nil"/>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药品运送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single" w:color="000000" w:sz="4" w:space="0"/>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长嘱药品运送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药房</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药品运送员</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5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16.38</w:t>
                  </w: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机器人代替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物资器械</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物资运送（后勤，医用耗材，大输液运送，器械上收下送）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洗衣房</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棉织品管理</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棉织品分拣运送，工作服发放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运送中心</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标本运送员（手术室，门诊病理标本，送冰冻，玻片标本运送，检验报告发放，会诊单运送）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机器人代替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病人运送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病区患者检查运送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机动运送</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物品搬运及临时性工作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标本，药品运送由机器人代替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vMerge w:val="continue"/>
                  <w:tcBorders>
                    <w:top w:val="nil"/>
                    <w:left w:val="nil"/>
                    <w:bottom w:val="single" w:color="000000" w:sz="4" w:space="0"/>
                    <w:right w:val="single" w:color="000000" w:sz="4" w:space="0"/>
                  </w:tcBorders>
                </w:tc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夜班</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调度</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一站式服务中心调度</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vMerge w:val="continue"/>
                  <w:tcBorders>
                    <w:top w:val="nil"/>
                    <w:left w:val="nil"/>
                    <w:bottom w:val="single" w:color="000000" w:sz="4" w:space="0"/>
                    <w:right w:val="single" w:color="000000" w:sz="4" w:space="0"/>
                  </w:tcBorders>
                </w:tcP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一站式服务中心客服，24H热线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全院</w:t>
                  </w:r>
                </w:p>
              </w:tc>
              <w:tc>
                <w:tcPr>
                  <w:tcW w:w="4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调度中心</w:t>
                  </w: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调度员</w:t>
                  </w:r>
                </w:p>
              </w:tc>
              <w:tc>
                <w:tcPr>
                  <w:tcW w:w="6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医院后勤一站式服务中心调度人员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4"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运送合计</w:t>
                  </w:r>
                </w:p>
              </w:tc>
              <w:tc>
                <w:tcPr>
                  <w:tcW w:w="5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43.24</w:t>
                  </w: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4"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三个院区保洁与运送人员配置汇总</w:t>
                  </w:r>
                </w:p>
              </w:tc>
              <w:tc>
                <w:tcPr>
                  <w:tcW w:w="5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218</w:t>
                  </w:r>
                </w:p>
              </w:tc>
              <w:tc>
                <w:tcPr>
                  <w:tcW w:w="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3"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8"/>
                    </w:rPr>
                    <w:t>备注：所有服务人员不超过60周岁，其中55-60周岁人员比例不得超过10%。</w:t>
                  </w:r>
                </w:p>
              </w:tc>
            </w:tr>
          </w:tbl>
          <w:p>
            <w:pPr>
              <w:pStyle w:val="4"/>
              <w:ind w:firstLine="562"/>
              <w:jc w:val="both"/>
            </w:pPr>
            <w:r>
              <w:rPr>
                <w:b/>
                <w:sz w:val="28"/>
              </w:rPr>
              <w:t>（二）环境保洁及运送服务质量及标准：</w:t>
            </w:r>
          </w:p>
          <w:p>
            <w:pPr>
              <w:pStyle w:val="4"/>
              <w:ind w:firstLine="562"/>
              <w:jc w:val="both"/>
            </w:pPr>
            <w:r>
              <w:rPr>
                <w:b/>
                <w:sz w:val="28"/>
              </w:rPr>
              <w:t>2.1环境保洁服务内容：</w:t>
            </w:r>
          </w:p>
          <w:p>
            <w:pPr>
              <w:pStyle w:val="4"/>
              <w:ind w:firstLine="560"/>
              <w:jc w:val="both"/>
            </w:pPr>
            <w:r>
              <w:rPr>
                <w:sz w:val="28"/>
              </w:rPr>
              <w:t>2.1.1公共区域清洁保洁工作质量要求与标准</w:t>
            </w:r>
          </w:p>
          <w:p>
            <w:pPr>
              <w:pStyle w:val="4"/>
              <w:ind w:firstLine="560"/>
              <w:jc w:val="both"/>
            </w:pPr>
            <w:r>
              <w:rPr>
                <w:sz w:val="28"/>
              </w:rPr>
              <w:t>（1）地面应保持干净、干爽，无垃圾、污物、痰渍等残留。</w:t>
            </w:r>
          </w:p>
          <w:p>
            <w:pPr>
              <w:pStyle w:val="4"/>
              <w:ind w:firstLine="560"/>
              <w:jc w:val="both"/>
            </w:pPr>
            <w:r>
              <w:rPr>
                <w:sz w:val="28"/>
              </w:rPr>
              <w:t>（2）地面有废弃杂物要及时清理、保洁。</w:t>
            </w:r>
          </w:p>
          <w:p>
            <w:pPr>
              <w:pStyle w:val="4"/>
              <w:ind w:firstLine="560"/>
              <w:jc w:val="both"/>
            </w:pPr>
            <w:r>
              <w:rPr>
                <w:sz w:val="28"/>
              </w:rPr>
              <w:t>（3）地面有血渍、污液时，需立即清洗并按消毒规范进行消毒处理。</w:t>
            </w:r>
          </w:p>
          <w:p>
            <w:pPr>
              <w:pStyle w:val="4"/>
              <w:ind w:firstLine="560"/>
              <w:jc w:val="both"/>
            </w:pPr>
            <w:r>
              <w:rPr>
                <w:sz w:val="28"/>
              </w:rPr>
              <w:t>（4）垃圾箱内垃圾每天及时清倒,周围无不雅、异味,消毒规范。</w:t>
            </w:r>
          </w:p>
          <w:p>
            <w:pPr>
              <w:pStyle w:val="4"/>
              <w:ind w:firstLine="560"/>
              <w:jc w:val="both"/>
            </w:pPr>
            <w:r>
              <w:rPr>
                <w:sz w:val="28"/>
              </w:rPr>
              <w:t>（5）出水渠保持畅通。</w:t>
            </w:r>
          </w:p>
          <w:p>
            <w:pPr>
              <w:pStyle w:val="4"/>
              <w:ind w:firstLine="560"/>
              <w:jc w:val="both"/>
            </w:pPr>
            <w:r>
              <w:rPr>
                <w:sz w:val="28"/>
              </w:rPr>
              <w:t>（6）地面及附设物无明显青苔、杂草。</w:t>
            </w:r>
          </w:p>
          <w:p>
            <w:pPr>
              <w:pStyle w:val="4"/>
              <w:ind w:firstLine="560"/>
              <w:jc w:val="both"/>
            </w:pPr>
            <w:r>
              <w:rPr>
                <w:sz w:val="28"/>
              </w:rPr>
              <w:t>（7）各类标识、墙壁有不当广告、张贴物时要及时清理并不留污痕。</w:t>
            </w:r>
          </w:p>
          <w:p>
            <w:pPr>
              <w:pStyle w:val="4"/>
              <w:ind w:firstLine="560"/>
              <w:jc w:val="both"/>
            </w:pPr>
            <w:r>
              <w:rPr>
                <w:sz w:val="28"/>
              </w:rPr>
              <w:t>（8）清扫、清洗地面及公共附设物时不过分扬尘、无过分噪声。</w:t>
            </w:r>
          </w:p>
          <w:p>
            <w:pPr>
              <w:pStyle w:val="4"/>
              <w:ind w:firstLine="560"/>
              <w:jc w:val="both"/>
            </w:pPr>
            <w:r>
              <w:rPr>
                <w:sz w:val="28"/>
              </w:rPr>
              <w:t>2.1.2建筑物内部物体清洁保洁工作质量要求与标准</w:t>
            </w:r>
          </w:p>
          <w:p>
            <w:pPr>
              <w:pStyle w:val="4"/>
              <w:ind w:firstLine="560"/>
              <w:jc w:val="both"/>
            </w:pPr>
            <w:r>
              <w:rPr>
                <w:sz w:val="28"/>
              </w:rPr>
              <w:t>（1）地面:保持干净,无垃圾、污垢、痰液、青苔等。</w:t>
            </w:r>
          </w:p>
          <w:p>
            <w:pPr>
              <w:pStyle w:val="4"/>
              <w:ind w:firstLine="560"/>
              <w:jc w:val="both"/>
            </w:pPr>
            <w:r>
              <w:rPr>
                <w:sz w:val="28"/>
              </w:rPr>
              <w:t>（2）墙壁:3米以下手摸无明显灰尘、污迹、无青苔,不当张贴及时清理。</w:t>
            </w:r>
          </w:p>
          <w:p>
            <w:pPr>
              <w:pStyle w:val="4"/>
              <w:ind w:firstLine="560"/>
              <w:jc w:val="both"/>
            </w:pPr>
            <w:r>
              <w:rPr>
                <w:sz w:val="28"/>
              </w:rPr>
              <w:t>（3）大厅及走廊:保持干净,无垃圾、污垢、痰液、青苔、杂物及清理。</w:t>
            </w:r>
          </w:p>
          <w:p>
            <w:pPr>
              <w:pStyle w:val="4"/>
              <w:ind w:firstLine="560"/>
              <w:jc w:val="both"/>
            </w:pPr>
            <w:r>
              <w:rPr>
                <w:sz w:val="28"/>
              </w:rPr>
              <w:t>（4）楼梯:保持干净、无垃圾、污垢、痰液等。</w:t>
            </w:r>
          </w:p>
          <w:p>
            <w:pPr>
              <w:pStyle w:val="4"/>
              <w:ind w:firstLine="560"/>
              <w:jc w:val="both"/>
            </w:pPr>
            <w:r>
              <w:rPr>
                <w:sz w:val="28"/>
              </w:rPr>
              <w:t>（5）栏杆:保持干净、光亮,无水迹,手摸无明显灰尘。</w:t>
            </w:r>
          </w:p>
          <w:p>
            <w:pPr>
              <w:pStyle w:val="4"/>
              <w:ind w:firstLine="560"/>
              <w:jc w:val="both"/>
            </w:pPr>
            <w:r>
              <w:rPr>
                <w:sz w:val="28"/>
              </w:rPr>
              <w:t>（6）电梯:保持干净、光亮,无污迹,手摸无尘迹。</w:t>
            </w:r>
          </w:p>
          <w:p>
            <w:pPr>
              <w:pStyle w:val="4"/>
              <w:ind w:firstLine="560"/>
              <w:jc w:val="both"/>
            </w:pPr>
            <w:r>
              <w:rPr>
                <w:sz w:val="28"/>
              </w:rPr>
              <w:t>（7）天花:眼望无蛛网、无尘迹。</w:t>
            </w:r>
          </w:p>
          <w:p>
            <w:pPr>
              <w:pStyle w:val="4"/>
              <w:ind w:firstLine="560"/>
              <w:jc w:val="both"/>
            </w:pPr>
            <w:r>
              <w:rPr>
                <w:sz w:val="28"/>
              </w:rPr>
              <w:t>（8）天台:保持干净,无水迹(雨天除外),无垃圾、污垢、青苔,杂物及时清理。</w:t>
            </w:r>
          </w:p>
          <w:p>
            <w:pPr>
              <w:pStyle w:val="4"/>
              <w:ind w:firstLine="560"/>
              <w:jc w:val="both"/>
            </w:pPr>
            <w:r>
              <w:rPr>
                <w:sz w:val="28"/>
              </w:rPr>
              <w:t>（9）门窗:保持干净、光亮,手摸无尘迹。</w:t>
            </w:r>
          </w:p>
          <w:p>
            <w:pPr>
              <w:pStyle w:val="4"/>
              <w:ind w:firstLine="560"/>
              <w:jc w:val="both"/>
            </w:pPr>
            <w:r>
              <w:rPr>
                <w:sz w:val="28"/>
              </w:rPr>
              <w:t>（10）台、椅、柜:保持洁净,无垃圾,手摸无尘迹,并按《医疗机构消毒技术规范》执行。</w:t>
            </w:r>
          </w:p>
          <w:p>
            <w:pPr>
              <w:pStyle w:val="4"/>
              <w:ind w:firstLine="560"/>
              <w:jc w:val="both"/>
            </w:pPr>
            <w:r>
              <w:rPr>
                <w:sz w:val="28"/>
              </w:rPr>
              <w:t>（11）附属设备及工具:空调、风扇等附设物表面手摸无明显尘迹。</w:t>
            </w:r>
          </w:p>
          <w:p>
            <w:pPr>
              <w:pStyle w:val="4"/>
              <w:ind w:firstLine="560"/>
              <w:jc w:val="both"/>
            </w:pPr>
            <w:r>
              <w:rPr>
                <w:sz w:val="28"/>
              </w:rPr>
              <w:t>（12）垃圾箱:按规定及时清倒,表面干净无污渍,按《医疗机构消毒技术规范》执行。</w:t>
            </w:r>
          </w:p>
          <w:p>
            <w:pPr>
              <w:pStyle w:val="4"/>
              <w:ind w:firstLine="560"/>
              <w:jc w:val="both"/>
            </w:pPr>
            <w:r>
              <w:rPr>
                <w:sz w:val="28"/>
              </w:rPr>
              <w:t>（13）洗手盆、污物池:无污垢、不堵塞,按《医疗机构消毒技术规范》执行。</w:t>
            </w:r>
          </w:p>
          <w:p>
            <w:pPr>
              <w:pStyle w:val="4"/>
              <w:ind w:firstLine="560"/>
              <w:jc w:val="both"/>
            </w:pPr>
            <w:r>
              <w:rPr>
                <w:sz w:val="28"/>
              </w:rPr>
              <w:t>（14）灯具:眼望无尘迹,清洁时注意工作安全。</w:t>
            </w:r>
          </w:p>
          <w:p>
            <w:pPr>
              <w:pStyle w:val="4"/>
              <w:ind w:firstLine="560"/>
              <w:jc w:val="both"/>
            </w:pPr>
            <w:r>
              <w:rPr>
                <w:sz w:val="28"/>
              </w:rPr>
              <w:t>（15）标识:保持干净,无不当张贴物。</w:t>
            </w:r>
          </w:p>
          <w:p>
            <w:pPr>
              <w:pStyle w:val="4"/>
              <w:ind w:firstLine="560"/>
              <w:jc w:val="both"/>
            </w:pPr>
            <w:r>
              <w:rPr>
                <w:sz w:val="28"/>
              </w:rPr>
              <w:t>（16）出水渠:保持畅通,渠道、渠口的杂物及时清理。</w:t>
            </w:r>
          </w:p>
          <w:p>
            <w:pPr>
              <w:pStyle w:val="4"/>
              <w:ind w:firstLine="560"/>
              <w:jc w:val="both"/>
            </w:pPr>
            <w:r>
              <w:rPr>
                <w:sz w:val="28"/>
              </w:rPr>
              <w:t>（17）各类物体按规范进行消毒。</w:t>
            </w:r>
          </w:p>
          <w:p>
            <w:pPr>
              <w:pStyle w:val="4"/>
              <w:ind w:firstLine="560"/>
              <w:jc w:val="both"/>
            </w:pPr>
            <w:r>
              <w:rPr>
                <w:sz w:val="28"/>
              </w:rPr>
              <w:t>（18）保证PVC地面/橡胶、水磨石地板的养护服务质量。PVC按需求进行喷磨保养、刷洗补蜡、彻底起蜡补蜡。公共区域瓷砖、大理石、花岗岩按需求进行机洗。室内瓷砖、大理石、花岗岩按需求进行干湿拖。</w:t>
            </w:r>
          </w:p>
          <w:p>
            <w:pPr>
              <w:pStyle w:val="4"/>
              <w:ind w:firstLine="560"/>
              <w:jc w:val="both"/>
            </w:pPr>
            <w:r>
              <w:rPr>
                <w:sz w:val="28"/>
              </w:rPr>
              <w:t>2.1.3非临床科室清洁保洁工作要求及质量标准。</w:t>
            </w:r>
          </w:p>
          <w:p>
            <w:pPr>
              <w:pStyle w:val="4"/>
              <w:ind w:firstLine="560"/>
              <w:jc w:val="both"/>
            </w:pPr>
            <w:r>
              <w:rPr>
                <w:sz w:val="28"/>
              </w:rPr>
              <w:t>各类行政、办公、仓库、休息室、会议室、接待室、资料室等非临床用房的清洁保洁质量,在达到建筑物内部物体清洁保洁工作质量要求与标准的基础上,还需达到下列要求。</w:t>
            </w:r>
          </w:p>
          <w:p>
            <w:pPr>
              <w:pStyle w:val="4"/>
              <w:ind w:firstLine="560"/>
              <w:jc w:val="both"/>
            </w:pPr>
            <w:r>
              <w:rPr>
                <w:sz w:val="28"/>
              </w:rPr>
              <w:t>（1）保持洁净整齐,每天例行清洁的时间及周、月集中清洁时间为商定时间,清洁时以不影响医院公务为原则。</w:t>
            </w:r>
          </w:p>
          <w:p>
            <w:pPr>
              <w:pStyle w:val="4"/>
              <w:ind w:firstLine="560"/>
              <w:jc w:val="both"/>
            </w:pPr>
            <w:r>
              <w:rPr>
                <w:sz w:val="28"/>
              </w:rPr>
              <w:t>（2）除室外及垃圾箱内的垃圾外,室内文书、信函、纸张等物件(物体)在清理前须征得室内人员同意后进行。</w:t>
            </w:r>
          </w:p>
          <w:p>
            <w:pPr>
              <w:pStyle w:val="4"/>
              <w:ind w:firstLine="560"/>
              <w:jc w:val="both"/>
            </w:pPr>
            <w:r>
              <w:rPr>
                <w:sz w:val="28"/>
              </w:rPr>
              <w:t>（3）会议室每天保证开水供应，每周清洗开水容器1次,每次清洁过程中须对开水容器塞盖进行消毒。</w:t>
            </w:r>
          </w:p>
          <w:p>
            <w:pPr>
              <w:pStyle w:val="4"/>
              <w:ind w:firstLine="560"/>
              <w:jc w:val="both"/>
            </w:pPr>
            <w:r>
              <w:rPr>
                <w:sz w:val="28"/>
              </w:rPr>
              <w:t>（4）非临床区域的卫生间每天全面清洁、清理2次,消毒不少于1次,其余时间进行巡回保洁、防止产生异味。</w:t>
            </w:r>
          </w:p>
          <w:p>
            <w:pPr>
              <w:pStyle w:val="4"/>
              <w:ind w:firstLine="560"/>
              <w:jc w:val="both"/>
            </w:pPr>
            <w:r>
              <w:rPr>
                <w:sz w:val="28"/>
              </w:rPr>
              <w:t>（5）工作人员在工作过程中要按规范保持良好礼仪和礼貌用语,尊重自己,尊重他人。保持办公设备及用具整齐清洁,手摸无尘迹。</w:t>
            </w:r>
          </w:p>
          <w:p>
            <w:pPr>
              <w:pStyle w:val="4"/>
              <w:ind w:firstLine="560"/>
              <w:jc w:val="both"/>
            </w:pPr>
            <w:r>
              <w:rPr>
                <w:sz w:val="28"/>
              </w:rPr>
              <w:t>（6）工作人员在工作过程中必须遵守医院的保密制度。</w:t>
            </w:r>
          </w:p>
          <w:p>
            <w:pPr>
              <w:pStyle w:val="4"/>
              <w:ind w:firstLine="560"/>
              <w:jc w:val="both"/>
            </w:pPr>
            <w:r>
              <w:rPr>
                <w:sz w:val="28"/>
              </w:rPr>
              <w:t>2.1.4临床科室清洁保洁工作要求及质量标准</w:t>
            </w:r>
          </w:p>
          <w:p>
            <w:pPr>
              <w:pStyle w:val="4"/>
              <w:ind w:firstLine="560"/>
              <w:jc w:val="both"/>
            </w:pPr>
            <w:r>
              <w:rPr>
                <w:sz w:val="28"/>
              </w:rPr>
              <w:t>门诊、各住院病区、手术室等临床科室,以及检验、放射、B超、药房、挂号收费处等各类临床辅助科室的清洁保洁质量,在达到建筑物内部物体清洁保洁工作质量要求的标准的基础上,还需达到下列要求。</w:t>
            </w:r>
          </w:p>
          <w:p>
            <w:pPr>
              <w:pStyle w:val="4"/>
              <w:ind w:firstLine="560"/>
              <w:jc w:val="both"/>
            </w:pPr>
            <w:r>
              <w:rPr>
                <w:sz w:val="28"/>
              </w:rPr>
              <w:t>（1）各类临床医护办公室、更衣室、药房、储存室、值班室、休息室等区域每天全面清洁及消毒不少于2次,其余时间作巡回保洁,保持室内设备及用具的整齐清洁,手摸无尘迹。如遇特殊情况,按医务人员的要求及时清洁消毒。</w:t>
            </w:r>
          </w:p>
          <w:p>
            <w:pPr>
              <w:pStyle w:val="4"/>
              <w:ind w:firstLine="560"/>
              <w:jc w:val="both"/>
            </w:pPr>
            <w:r>
              <w:rPr>
                <w:sz w:val="28"/>
              </w:rPr>
              <w:t>（2）各类临床病区、监护室、手术室、注射室、治疗室、候诊室、诊室等污染区域每天按规定全面清洁、按《医疗机构消毒技术规范》执行,并做好保洁工作,保持室内设备及用具的整齐清洁,手摸无尘迹。如遇特殊情况,按医务人员的要求及时清洁消毒。</w:t>
            </w:r>
          </w:p>
          <w:p>
            <w:pPr>
              <w:pStyle w:val="4"/>
              <w:ind w:firstLine="560"/>
              <w:jc w:val="both"/>
            </w:pPr>
            <w:r>
              <w:rPr>
                <w:sz w:val="28"/>
              </w:rPr>
              <w:t>（3）临床科室附设各类治疗车、器械、消毒灯具、医疗设备及工具等,每日按规定全面清洁、按《医疗机构消毒技术规范》执行,保持洁净。</w:t>
            </w:r>
          </w:p>
          <w:p>
            <w:pPr>
              <w:pStyle w:val="4"/>
              <w:ind w:firstLine="560"/>
              <w:jc w:val="both"/>
            </w:pPr>
            <w:r>
              <w:rPr>
                <w:sz w:val="28"/>
              </w:rPr>
              <w:t>（4）某些科室临床使用的拖鞋、便盆等物品,按医务人员的要求及时清洗和按《医疗机构消毒技术规范》执行。</w:t>
            </w:r>
          </w:p>
          <w:p>
            <w:pPr>
              <w:pStyle w:val="4"/>
              <w:ind w:firstLine="560"/>
              <w:jc w:val="both"/>
            </w:pPr>
            <w:r>
              <w:rPr>
                <w:sz w:val="28"/>
              </w:rPr>
              <w:t>（5）病房内的床、椅、凳、柜等每天除了按规定进行清洁消毒外,出院病床单元还要及时进行全面清洁及终末消毒。</w:t>
            </w:r>
          </w:p>
          <w:p>
            <w:pPr>
              <w:pStyle w:val="4"/>
              <w:ind w:firstLine="560"/>
              <w:jc w:val="both"/>
            </w:pPr>
            <w:r>
              <w:rPr>
                <w:sz w:val="28"/>
              </w:rPr>
              <w:t>（6）临床区域的垃圾及时进行分类、院内集中收集;清倒后的垃圾箱、垃圾箩须及时按规定清洁和消毒。</w:t>
            </w:r>
          </w:p>
          <w:p>
            <w:pPr>
              <w:pStyle w:val="4"/>
              <w:ind w:firstLine="560"/>
              <w:jc w:val="both"/>
            </w:pPr>
            <w:r>
              <w:rPr>
                <w:sz w:val="28"/>
              </w:rPr>
              <w:t>（7）临床区域的洗手盆、卫生间每天全面清洁、清理、消毒不少于2次,其余时间进行巡回保洁,预防产生异味。</w:t>
            </w:r>
          </w:p>
          <w:p>
            <w:pPr>
              <w:pStyle w:val="4"/>
              <w:ind w:firstLine="560"/>
              <w:jc w:val="both"/>
            </w:pPr>
            <w:r>
              <w:rPr>
                <w:sz w:val="28"/>
              </w:rPr>
              <w:t>（8）各类临床科室的清洁及消毒工作除要达到上述要求外,另根据各科室的实际情况按医务人员的要求及安排(工作范围内)进行。</w:t>
            </w:r>
          </w:p>
          <w:p>
            <w:pPr>
              <w:pStyle w:val="4"/>
              <w:ind w:firstLine="560"/>
              <w:jc w:val="both"/>
            </w:pPr>
            <w:r>
              <w:rPr>
                <w:sz w:val="28"/>
              </w:rPr>
              <w:t>2.1.5垃圾的分类、收集、记录、保管(暂存)与交接的要求及标准：</w:t>
            </w:r>
          </w:p>
          <w:p>
            <w:pPr>
              <w:pStyle w:val="4"/>
              <w:ind w:firstLine="560"/>
              <w:jc w:val="both"/>
            </w:pPr>
            <w:r>
              <w:rPr>
                <w:sz w:val="28"/>
              </w:rPr>
              <w:t>1、工作要求:</w:t>
            </w:r>
          </w:p>
          <w:p>
            <w:pPr>
              <w:pStyle w:val="4"/>
              <w:ind w:firstLine="560"/>
              <w:jc w:val="both"/>
            </w:pPr>
            <w:r>
              <w:rPr>
                <w:sz w:val="28"/>
              </w:rPr>
              <w:t>（1）负责按指定路线将医院垃圾按医疗、生产垃圾进行分类收集,分别存放保管(暂存)在指定的垃圾间并锁好门,每天巡回进行。</w:t>
            </w:r>
          </w:p>
          <w:p>
            <w:pPr>
              <w:pStyle w:val="4"/>
              <w:ind w:firstLine="560"/>
              <w:jc w:val="both"/>
            </w:pPr>
            <w:r>
              <w:rPr>
                <w:sz w:val="28"/>
              </w:rPr>
              <w:t>（2）医院垃圾暂存间每天清洗、消毒1次,每周全面冲洗、消毒1次。</w:t>
            </w:r>
          </w:p>
          <w:p>
            <w:pPr>
              <w:pStyle w:val="4"/>
              <w:ind w:firstLine="560"/>
              <w:jc w:val="both"/>
            </w:pPr>
            <w:r>
              <w:rPr>
                <w:sz w:val="28"/>
              </w:rPr>
              <w:t>（3）每天对垃圾收集情况进行及时登记和签名,并与垃圾处理单位做好交接手续,以备检查。</w:t>
            </w:r>
          </w:p>
          <w:p>
            <w:pPr>
              <w:pStyle w:val="4"/>
              <w:ind w:firstLine="560"/>
              <w:jc w:val="both"/>
            </w:pPr>
            <w:r>
              <w:rPr>
                <w:sz w:val="28"/>
              </w:rPr>
              <w:t>2、质量要求及标准:</w:t>
            </w:r>
          </w:p>
          <w:p>
            <w:pPr>
              <w:pStyle w:val="4"/>
              <w:ind w:firstLine="560"/>
              <w:jc w:val="both"/>
            </w:pPr>
            <w:r>
              <w:rPr>
                <w:sz w:val="28"/>
              </w:rPr>
              <w:t>（1）垃圾分类准确,不错分。</w:t>
            </w:r>
          </w:p>
          <w:p>
            <w:pPr>
              <w:pStyle w:val="4"/>
              <w:ind w:firstLine="560"/>
              <w:jc w:val="both"/>
            </w:pPr>
            <w:r>
              <w:rPr>
                <w:sz w:val="28"/>
              </w:rPr>
              <w:t>（2）垃圾包装完整,不漏、不穿。</w:t>
            </w:r>
          </w:p>
          <w:p>
            <w:pPr>
              <w:pStyle w:val="4"/>
              <w:ind w:firstLine="560"/>
              <w:jc w:val="both"/>
            </w:pPr>
            <w:r>
              <w:rPr>
                <w:sz w:val="28"/>
              </w:rPr>
              <w:t>（3）运送垃圾过程需按指定路线进行,做到不漏、不丢、不碰撞他人。</w:t>
            </w:r>
          </w:p>
          <w:p>
            <w:pPr>
              <w:pStyle w:val="4"/>
              <w:ind w:firstLine="560"/>
              <w:jc w:val="both"/>
            </w:pPr>
            <w:r>
              <w:rPr>
                <w:sz w:val="28"/>
              </w:rPr>
              <w:t>（4）不能擅自拿取、盗用、倒卖垃圾。</w:t>
            </w:r>
          </w:p>
          <w:p>
            <w:pPr>
              <w:pStyle w:val="4"/>
              <w:ind w:firstLine="560"/>
              <w:jc w:val="both"/>
            </w:pPr>
            <w:r>
              <w:rPr>
                <w:sz w:val="28"/>
              </w:rPr>
              <w:t>（5）交接手续完善,记录及时、完整、不遗漏、不出错,资料保存完好。</w:t>
            </w:r>
          </w:p>
          <w:p>
            <w:pPr>
              <w:pStyle w:val="4"/>
              <w:ind w:firstLine="562"/>
              <w:jc w:val="both"/>
            </w:pPr>
            <w:r>
              <w:rPr>
                <w:b/>
                <w:sz w:val="28"/>
              </w:rPr>
              <w:t>2.2运送服务质量要求与标准</w:t>
            </w:r>
          </w:p>
          <w:p>
            <w:pPr>
              <w:pStyle w:val="4"/>
              <w:ind w:firstLine="560"/>
              <w:jc w:val="both"/>
            </w:pPr>
            <w:r>
              <w:rPr>
                <w:sz w:val="28"/>
              </w:rPr>
              <w:t>2.2.1运送服务范围：</w:t>
            </w:r>
          </w:p>
          <w:p>
            <w:pPr>
              <w:pStyle w:val="4"/>
              <w:ind w:firstLine="560"/>
              <w:jc w:val="both"/>
            </w:pPr>
            <w:r>
              <w:rPr>
                <w:sz w:val="28"/>
              </w:rPr>
              <w:t>（1）收送各种标本；</w:t>
            </w:r>
          </w:p>
          <w:p>
            <w:pPr>
              <w:pStyle w:val="4"/>
              <w:ind w:firstLine="560"/>
              <w:jc w:val="both"/>
            </w:pPr>
            <w:r>
              <w:rPr>
                <w:sz w:val="28"/>
              </w:rPr>
              <w:t>（2）收送各种检查报告单据；</w:t>
            </w:r>
          </w:p>
          <w:p>
            <w:pPr>
              <w:pStyle w:val="4"/>
              <w:ind w:firstLine="560"/>
              <w:jc w:val="both"/>
            </w:pPr>
            <w:r>
              <w:rPr>
                <w:sz w:val="28"/>
              </w:rPr>
              <w:t>（3）送住院病人院内检查；</w:t>
            </w:r>
          </w:p>
          <w:p>
            <w:pPr>
              <w:pStyle w:val="4"/>
              <w:ind w:firstLine="560"/>
              <w:jc w:val="both"/>
            </w:pPr>
            <w:r>
              <w:rPr>
                <w:sz w:val="28"/>
              </w:rPr>
              <w:t>（4）协助护士运送紧急病人到手术室、急诊室、监护病房；</w:t>
            </w:r>
          </w:p>
          <w:p>
            <w:pPr>
              <w:pStyle w:val="4"/>
              <w:ind w:firstLine="560"/>
              <w:jc w:val="both"/>
            </w:pPr>
            <w:r>
              <w:rPr>
                <w:sz w:val="28"/>
              </w:rPr>
              <w:t>（5）物资仓库领取；</w:t>
            </w:r>
          </w:p>
          <w:p>
            <w:pPr>
              <w:pStyle w:val="4"/>
              <w:ind w:firstLine="560"/>
              <w:jc w:val="both"/>
            </w:pPr>
            <w:r>
              <w:rPr>
                <w:sz w:val="28"/>
              </w:rPr>
              <w:t>（6）耗材仓库领取；</w:t>
            </w:r>
          </w:p>
          <w:p>
            <w:pPr>
              <w:pStyle w:val="4"/>
              <w:ind w:firstLine="560"/>
              <w:jc w:val="both"/>
            </w:pPr>
            <w:r>
              <w:rPr>
                <w:sz w:val="28"/>
              </w:rPr>
              <w:t>（7）药品仓库领取；</w:t>
            </w:r>
          </w:p>
          <w:p>
            <w:pPr>
              <w:pStyle w:val="4"/>
              <w:ind w:firstLine="560"/>
              <w:jc w:val="both"/>
            </w:pPr>
            <w:r>
              <w:rPr>
                <w:sz w:val="28"/>
              </w:rPr>
              <w:t>（8）清洗、消毒病区平车、轮椅；</w:t>
            </w:r>
          </w:p>
          <w:p>
            <w:pPr>
              <w:pStyle w:val="4"/>
              <w:ind w:firstLine="560"/>
              <w:jc w:val="both"/>
            </w:pPr>
            <w:r>
              <w:rPr>
                <w:sz w:val="28"/>
              </w:rPr>
              <w:t>（9）收送各种临时（急）手术中冰冻切片标本、检验标本；</w:t>
            </w:r>
          </w:p>
          <w:p>
            <w:pPr>
              <w:pStyle w:val="4"/>
              <w:ind w:firstLine="560"/>
              <w:jc w:val="both"/>
            </w:pPr>
            <w:r>
              <w:rPr>
                <w:sz w:val="28"/>
              </w:rPr>
              <w:t>（10）清洗、消毒运送车；</w:t>
            </w:r>
          </w:p>
          <w:p>
            <w:pPr>
              <w:pStyle w:val="4"/>
              <w:ind w:firstLine="560"/>
              <w:jc w:val="both"/>
            </w:pPr>
            <w:r>
              <w:rPr>
                <w:sz w:val="28"/>
              </w:rPr>
              <w:t>（11）每天至少三次来检查科收集报告单并分发到各病区(上午上班前一次，上午下班前一次，下午下班前一次)；特殊情况随叫随到。</w:t>
            </w:r>
          </w:p>
          <w:p>
            <w:pPr>
              <w:pStyle w:val="4"/>
              <w:ind w:firstLine="560"/>
              <w:jc w:val="both"/>
            </w:pPr>
            <w:r>
              <w:rPr>
                <w:sz w:val="28"/>
              </w:rPr>
              <w:t>（12）手术器械消毒供应室运送；</w:t>
            </w:r>
          </w:p>
          <w:p>
            <w:pPr>
              <w:pStyle w:val="4"/>
              <w:ind w:firstLine="560"/>
              <w:jc w:val="both"/>
            </w:pPr>
            <w:r>
              <w:rPr>
                <w:sz w:val="28"/>
              </w:rPr>
              <w:t>（13）布类回收运送；</w:t>
            </w:r>
          </w:p>
          <w:p>
            <w:pPr>
              <w:pStyle w:val="4"/>
              <w:ind w:firstLine="560"/>
              <w:jc w:val="both"/>
            </w:pPr>
            <w:r>
              <w:rPr>
                <w:sz w:val="28"/>
              </w:rPr>
              <w:t>（14）其它医疗相关运送工作。</w:t>
            </w:r>
          </w:p>
          <w:p>
            <w:pPr>
              <w:pStyle w:val="4"/>
              <w:ind w:firstLine="560"/>
              <w:jc w:val="both"/>
            </w:pPr>
            <w:r>
              <w:rPr>
                <w:sz w:val="28"/>
              </w:rPr>
              <w:t>2.2.2质量要求：</w:t>
            </w:r>
          </w:p>
          <w:p>
            <w:pPr>
              <w:pStyle w:val="4"/>
              <w:ind w:firstLine="560"/>
              <w:jc w:val="both"/>
            </w:pPr>
            <w:r>
              <w:rPr>
                <w:sz w:val="28"/>
              </w:rPr>
              <w:t>（1）紧急病人运送5分钟到达现场。一般运送病人15分钟到达现场。</w:t>
            </w:r>
          </w:p>
          <w:p>
            <w:pPr>
              <w:pStyle w:val="4"/>
              <w:ind w:firstLine="560"/>
              <w:jc w:val="both"/>
            </w:pPr>
            <w:r>
              <w:rPr>
                <w:sz w:val="28"/>
              </w:rPr>
              <w:t>（2）急查病人检查单、标本运送10分钟到达现场。</w:t>
            </w:r>
          </w:p>
          <w:p>
            <w:pPr>
              <w:pStyle w:val="4"/>
              <w:ind w:firstLine="560"/>
              <w:jc w:val="both"/>
            </w:pPr>
            <w:r>
              <w:rPr>
                <w:sz w:val="28"/>
              </w:rPr>
              <w:t>（3）接送病人检查、各种表单、标本常规运送10分钟到达现场。</w:t>
            </w:r>
          </w:p>
          <w:p>
            <w:pPr>
              <w:pStyle w:val="4"/>
              <w:ind w:firstLine="560"/>
              <w:jc w:val="both"/>
            </w:pPr>
            <w:r>
              <w:rPr>
                <w:sz w:val="28"/>
              </w:rPr>
              <w:t>（4）运送物资无损坏、无丢失。</w:t>
            </w:r>
          </w:p>
          <w:p>
            <w:pPr>
              <w:pStyle w:val="4"/>
              <w:ind w:firstLine="560"/>
              <w:jc w:val="both"/>
            </w:pPr>
            <w:r>
              <w:rPr>
                <w:sz w:val="28"/>
              </w:rPr>
              <w:t>（5）申请运送服务需确保完成率、准确率达100%，无遗漏或延误。</w:t>
            </w:r>
          </w:p>
          <w:p>
            <w:pPr>
              <w:pStyle w:val="4"/>
              <w:ind w:firstLine="560"/>
              <w:jc w:val="both"/>
            </w:pPr>
            <w:r>
              <w:rPr>
                <w:sz w:val="28"/>
              </w:rPr>
              <w:t>2.2.3调度服务中心服务工作内容</w:t>
            </w:r>
          </w:p>
          <w:p>
            <w:pPr>
              <w:pStyle w:val="4"/>
              <w:ind w:firstLine="560"/>
              <w:jc w:val="both"/>
            </w:pPr>
            <w:r>
              <w:rPr>
                <w:sz w:val="28"/>
              </w:rPr>
              <w:t>（1）24小时值班，负责报修、运送、后勤服务投诉等服务需求的受理；</w:t>
            </w:r>
          </w:p>
          <w:p>
            <w:pPr>
              <w:pStyle w:val="4"/>
              <w:ind w:firstLine="560"/>
              <w:jc w:val="both"/>
            </w:pPr>
            <w:r>
              <w:rPr>
                <w:sz w:val="28"/>
              </w:rPr>
              <w:t>（2）负责受理工作的转介派工；</w:t>
            </w:r>
          </w:p>
          <w:p>
            <w:pPr>
              <w:pStyle w:val="4"/>
              <w:ind w:firstLine="560"/>
              <w:jc w:val="both"/>
            </w:pPr>
            <w:r>
              <w:rPr>
                <w:sz w:val="28"/>
              </w:rPr>
              <w:t>（3）负责受理工作的跟进落实情况；</w:t>
            </w:r>
          </w:p>
          <w:p>
            <w:pPr>
              <w:pStyle w:val="4"/>
              <w:ind w:firstLine="560"/>
              <w:jc w:val="both"/>
            </w:pPr>
            <w:r>
              <w:rPr>
                <w:sz w:val="28"/>
              </w:rPr>
              <w:t>（4）对延期工作进行督办；</w:t>
            </w:r>
          </w:p>
          <w:p>
            <w:pPr>
              <w:pStyle w:val="4"/>
              <w:ind w:firstLine="560"/>
              <w:jc w:val="both"/>
            </w:pPr>
            <w:r>
              <w:rPr>
                <w:sz w:val="28"/>
              </w:rPr>
              <w:t>（5）及时反馈工作落实情况；</w:t>
            </w:r>
          </w:p>
          <w:p>
            <w:pPr>
              <w:pStyle w:val="4"/>
              <w:ind w:firstLine="560"/>
              <w:jc w:val="both"/>
            </w:pPr>
            <w:r>
              <w:rPr>
                <w:sz w:val="28"/>
              </w:rPr>
              <w:t>（6）对各服务对象进行回访，满意度测评。</w:t>
            </w:r>
          </w:p>
          <w:p>
            <w:pPr>
              <w:pStyle w:val="4"/>
              <w:ind w:firstLine="562"/>
              <w:jc w:val="both"/>
            </w:pPr>
            <w:r>
              <w:rPr>
                <w:b/>
                <w:sz w:val="28"/>
              </w:rPr>
              <w:t>2.3洗衣房及织布管理</w:t>
            </w:r>
          </w:p>
          <w:p>
            <w:pPr>
              <w:pStyle w:val="4"/>
              <w:ind w:firstLine="560"/>
              <w:jc w:val="both"/>
            </w:pPr>
            <w:r>
              <w:rPr>
                <w:sz w:val="28"/>
              </w:rPr>
              <w:t>2.3.1洗衣房管理</w:t>
            </w:r>
          </w:p>
          <w:p>
            <w:pPr>
              <w:pStyle w:val="4"/>
              <w:ind w:firstLine="560"/>
              <w:jc w:val="both"/>
            </w:pPr>
            <w:r>
              <w:rPr>
                <w:sz w:val="28"/>
              </w:rPr>
              <w:t>1.紧急/临时需求：手术室突发污染织物、污物窗帘等。</w:t>
            </w:r>
          </w:p>
          <w:p>
            <w:pPr>
              <w:pStyle w:val="4"/>
              <w:ind w:firstLine="560"/>
              <w:jc w:val="both"/>
            </w:pPr>
            <w:r>
              <w:rPr>
                <w:sz w:val="28"/>
              </w:rPr>
              <w:t>2.高价值织物（如丝绸、羊毛制品等需特殊护理）。</w:t>
            </w:r>
          </w:p>
          <w:p>
            <w:pPr>
              <w:pStyle w:val="4"/>
              <w:ind w:firstLine="560"/>
              <w:jc w:val="both"/>
            </w:pPr>
            <w:r>
              <w:rPr>
                <w:sz w:val="28"/>
              </w:rPr>
              <w:t>3.要求日常所有保洁布类用品，全部按要求洗涤消毒后使用。</w:t>
            </w:r>
          </w:p>
          <w:p>
            <w:pPr>
              <w:pStyle w:val="4"/>
              <w:ind w:firstLine="560"/>
              <w:jc w:val="both"/>
            </w:pPr>
            <w:r>
              <w:rPr>
                <w:sz w:val="28"/>
              </w:rPr>
              <w:t>4.备用支持：第三方服务中断时的应急小范围的洗涤。</w:t>
            </w:r>
          </w:p>
          <w:p>
            <w:pPr>
              <w:pStyle w:val="4"/>
              <w:ind w:firstLine="560"/>
              <w:jc w:val="both"/>
            </w:pPr>
            <w:r>
              <w:rPr>
                <w:sz w:val="28"/>
              </w:rPr>
              <w:t>2.3.2织布管理</w:t>
            </w:r>
          </w:p>
          <w:p>
            <w:pPr>
              <w:pStyle w:val="4"/>
              <w:ind w:firstLine="560"/>
              <w:jc w:val="both"/>
            </w:pPr>
            <w:r>
              <w:rPr>
                <w:sz w:val="28"/>
              </w:rPr>
              <w:t>1.保洁服务</w:t>
            </w:r>
          </w:p>
          <w:p>
            <w:pPr>
              <w:pStyle w:val="4"/>
              <w:ind w:firstLine="560"/>
              <w:jc w:val="both"/>
            </w:pPr>
            <w:r>
              <w:rPr>
                <w:sz w:val="28"/>
              </w:rPr>
              <w:t>（1）织物分类收集：按科室、颜色、污染程度（如医用织物分感染性/非感染性）分类存放。</w:t>
            </w:r>
          </w:p>
          <w:p>
            <w:pPr>
              <w:pStyle w:val="4"/>
              <w:ind w:firstLine="560"/>
              <w:jc w:val="both"/>
            </w:pPr>
            <w:r>
              <w:rPr>
                <w:sz w:val="28"/>
              </w:rPr>
              <w:t>（2）清洁消毒：使用专用消毒剂，避免交叉感染。</w:t>
            </w:r>
          </w:p>
          <w:p>
            <w:pPr>
              <w:pStyle w:val="4"/>
              <w:ind w:firstLine="560"/>
              <w:jc w:val="both"/>
            </w:pPr>
            <w:r>
              <w:rPr>
                <w:sz w:val="28"/>
              </w:rPr>
              <w:t>（3）破损检查：剔除破损、污染的织物，确保使用安全。</w:t>
            </w:r>
          </w:p>
          <w:p>
            <w:pPr>
              <w:pStyle w:val="4"/>
              <w:ind w:firstLine="560"/>
              <w:jc w:val="both"/>
            </w:pPr>
            <w:r>
              <w:rPr>
                <w:sz w:val="28"/>
              </w:rPr>
              <w:t>2.运送管理</w:t>
            </w:r>
          </w:p>
          <w:p>
            <w:pPr>
              <w:pStyle w:val="4"/>
              <w:ind w:firstLine="560"/>
              <w:jc w:val="both"/>
            </w:pPr>
            <w:r>
              <w:rPr>
                <w:sz w:val="28"/>
              </w:rPr>
              <w:t>（1）定时定点运输：按需求规划路线（如医院科室→洗衣房→仓库）。</w:t>
            </w:r>
          </w:p>
          <w:p>
            <w:pPr>
              <w:pStyle w:val="4"/>
              <w:ind w:firstLine="560"/>
              <w:jc w:val="both"/>
            </w:pPr>
            <w:r>
              <w:rPr>
                <w:sz w:val="28"/>
              </w:rPr>
              <w:t>（2）密闭容器运输：防污染、防尘、防潮，标识清晰（如“清洁/污染”）。</w:t>
            </w:r>
          </w:p>
          <w:p>
            <w:pPr>
              <w:pStyle w:val="4"/>
              <w:ind w:firstLine="560"/>
              <w:jc w:val="both"/>
            </w:pPr>
            <w:r>
              <w:rPr>
                <w:sz w:val="28"/>
              </w:rPr>
              <w:t>（3）交接记录：核对数量、签收确认，确保可追溯。</w:t>
            </w:r>
          </w:p>
          <w:p>
            <w:pPr>
              <w:pStyle w:val="4"/>
              <w:ind w:firstLine="560"/>
              <w:jc w:val="both"/>
            </w:pPr>
            <w:r>
              <w:rPr>
                <w:sz w:val="28"/>
              </w:rPr>
              <w:t>3.织布库存管理</w:t>
            </w:r>
          </w:p>
          <w:p>
            <w:pPr>
              <w:pStyle w:val="4"/>
              <w:ind w:firstLine="560"/>
              <w:jc w:val="both"/>
            </w:pPr>
            <w:r>
              <w:rPr>
                <w:sz w:val="28"/>
              </w:rPr>
              <w:t>（1）动态盘点：记录收发、报废数量，保持安全库存。</w:t>
            </w:r>
          </w:p>
          <w:p>
            <w:pPr>
              <w:pStyle w:val="4"/>
              <w:ind w:firstLine="560"/>
              <w:jc w:val="both"/>
            </w:pPr>
            <w:r>
              <w:rPr>
                <w:sz w:val="28"/>
              </w:rPr>
              <w:t>（2）存储条件：干燥通风，避免霉变（医用织物需无菌存放）。</w:t>
            </w:r>
          </w:p>
          <w:p>
            <w:pPr>
              <w:pStyle w:val="4"/>
              <w:spacing w:after="120"/>
              <w:ind w:firstLine="562"/>
              <w:jc w:val="both"/>
            </w:pPr>
            <w:r>
              <w:rPr>
                <w:b/>
                <w:sz w:val="28"/>
              </w:rPr>
              <w:t>2.4其他说明</w:t>
            </w:r>
          </w:p>
          <w:p>
            <w:pPr>
              <w:pStyle w:val="4"/>
              <w:ind w:firstLine="562"/>
              <w:jc w:val="both"/>
            </w:pPr>
            <w:r>
              <w:rPr>
                <w:b/>
                <w:sz w:val="28"/>
              </w:rPr>
              <w:t>（一）对招标有关项目的其他说明（除以下由医院负责提供的物资、费用、场地外，其余都由中标人负责）。</w:t>
            </w:r>
          </w:p>
          <w:p>
            <w:pPr>
              <w:pStyle w:val="4"/>
              <w:ind w:firstLine="560"/>
              <w:jc w:val="both"/>
            </w:pPr>
            <w:r>
              <w:rPr>
                <w:sz w:val="28"/>
              </w:rPr>
              <w:t>1.1公用水电（包括空调、清洁卫生、生活等各类用水；消防、水泵、照明、电梯、各类机电设备、中标人办公等各类用电）费用由医院承担；医院负责提供各类垃圾桶，负责生活垃圾、医疗垃圾的外运费和垃圾处理费用。</w:t>
            </w:r>
          </w:p>
          <w:p>
            <w:pPr>
              <w:pStyle w:val="4"/>
              <w:ind w:firstLine="560"/>
              <w:jc w:val="both"/>
            </w:pPr>
            <w:r>
              <w:rPr>
                <w:sz w:val="28"/>
              </w:rPr>
              <w:t>1.2医院负责提供：</w:t>
            </w:r>
          </w:p>
          <w:p>
            <w:pPr>
              <w:pStyle w:val="4"/>
              <w:ind w:firstLine="560"/>
              <w:jc w:val="both"/>
            </w:pPr>
            <w:r>
              <w:rPr>
                <w:sz w:val="28"/>
              </w:rPr>
              <w:t>（1）锐器盒；</w:t>
            </w:r>
          </w:p>
          <w:p>
            <w:pPr>
              <w:pStyle w:val="4"/>
              <w:ind w:firstLine="560"/>
              <w:jc w:val="both"/>
            </w:pPr>
            <w:r>
              <w:rPr>
                <w:sz w:val="28"/>
              </w:rPr>
              <w:t>（2）洗手间消耗用品（纸巾，洗手液、空气清新剂等）；</w:t>
            </w:r>
          </w:p>
          <w:p>
            <w:pPr>
              <w:pStyle w:val="4"/>
              <w:ind w:firstLine="560"/>
              <w:jc w:val="both"/>
            </w:pPr>
            <w:r>
              <w:rPr>
                <w:sz w:val="28"/>
              </w:rPr>
              <w:t>（3）医护人员手消毒剂；</w:t>
            </w:r>
          </w:p>
          <w:p>
            <w:pPr>
              <w:pStyle w:val="4"/>
              <w:ind w:firstLine="560"/>
              <w:jc w:val="both"/>
            </w:pPr>
            <w:r>
              <w:rPr>
                <w:sz w:val="28"/>
              </w:rPr>
              <w:t>（4）医疗垃圾分类标识贴；</w:t>
            </w:r>
          </w:p>
          <w:p>
            <w:pPr>
              <w:pStyle w:val="4"/>
              <w:ind w:firstLine="560"/>
              <w:jc w:val="both"/>
            </w:pPr>
            <w:r>
              <w:rPr>
                <w:sz w:val="28"/>
              </w:rPr>
              <w:t>1.3中标人管理办公用房、仓库用房，在服务期限内医院条件许可的情况下可提供给中标人免费使用。</w:t>
            </w:r>
          </w:p>
          <w:p>
            <w:pPr>
              <w:pStyle w:val="4"/>
              <w:ind w:firstLine="560"/>
              <w:jc w:val="both"/>
            </w:pPr>
            <w:r>
              <w:rPr>
                <w:sz w:val="28"/>
              </w:rPr>
              <w:t>1.4中标人配置项目相关人员的装备（包括对讲机、办公设备及耗材、办公家具等用品以及维修费用等）；维修所需各类常规工具、仪表；保洁设备（全自动多功能洗地机、手推式电瓶抛光机、带前置水扒吸尘吸水机、冷水高压清洗机、蒸汽或电加热洗涤机、蒸汽或电加热烘干机、智能医疗废物转运车、移动智能终端设备手持机等各种保洁设备工具用品）。</w:t>
            </w:r>
          </w:p>
          <w:p>
            <w:pPr>
              <w:pStyle w:val="4"/>
              <w:spacing w:before="105" w:after="105"/>
              <w:ind w:firstLine="560"/>
              <w:jc w:val="left"/>
            </w:pPr>
            <w:r>
              <w:rPr>
                <w:sz w:val="28"/>
              </w:rPr>
              <w:t>1.5中标人负责所有有关环境保洁所需的清洁、洗涤药剂，地面和物体表面擦拭用的清洁剂，地面养护药剂、材料、医疗和生活垃圾袋和保洁工具等耗材等。备好所有有关环境保洁所需的清洁、洗涤药剂、卫生间除臭剂、生活垃圾袋（含雨伞袋）和医疗垃圾袋（符合院感要求），地面和物体表面擦拭用的消毒剂，地面养护剂、材料等保洁工作的工具耗材。</w:t>
            </w:r>
          </w:p>
          <w:p>
            <w:pPr>
              <w:pStyle w:val="4"/>
              <w:ind w:firstLine="560"/>
              <w:jc w:val="both"/>
            </w:pPr>
            <w:r>
              <w:rPr>
                <w:sz w:val="28"/>
              </w:rPr>
              <w:t>1.6 中标人负责提供洗衣设备及维修费用，并负责所需漂白水、洗衣粉等洗衣用料，按协议规定的其他责任和义务。</w:t>
            </w:r>
          </w:p>
          <w:p>
            <w:pPr>
              <w:pStyle w:val="4"/>
              <w:ind w:firstLine="560"/>
              <w:jc w:val="both"/>
            </w:pPr>
            <w:r>
              <w:rPr>
                <w:sz w:val="28"/>
              </w:rPr>
              <w:t>1.7中标人提供自需电脑、考勤设备和打印机等办公设备和耗材。</w:t>
            </w:r>
          </w:p>
          <w:p>
            <w:pPr>
              <w:pStyle w:val="4"/>
              <w:ind w:firstLine="560"/>
              <w:jc w:val="both"/>
            </w:pPr>
            <w:r>
              <w:rPr>
                <w:sz w:val="28"/>
              </w:rPr>
              <w:t>1.8中标人的各岗位员工要统一服装，并由中标人负责其员工工服配备和洗涤。</w:t>
            </w:r>
          </w:p>
          <w:p>
            <w:pPr>
              <w:pStyle w:val="4"/>
              <w:ind w:firstLine="560"/>
              <w:jc w:val="both"/>
            </w:pPr>
            <w:r>
              <w:rPr>
                <w:sz w:val="28"/>
              </w:rPr>
              <w:t>1.9中标人进行岗前培训，服务人员100%经过岗前培训合格才上岗。</w:t>
            </w:r>
          </w:p>
          <w:p>
            <w:pPr>
              <w:pStyle w:val="4"/>
              <w:ind w:firstLine="560"/>
              <w:jc w:val="both"/>
            </w:pPr>
            <w:r>
              <w:rPr>
                <w:sz w:val="28"/>
              </w:rPr>
              <w:t>1.10.未经医院同意，中标人不得在合同期限内将本项目的管理权转包或分包。</w:t>
            </w:r>
          </w:p>
          <w:p>
            <w:pPr>
              <w:pStyle w:val="4"/>
              <w:ind w:firstLine="560"/>
              <w:jc w:val="both"/>
            </w:pPr>
            <w:r>
              <w:rPr>
                <w:sz w:val="28"/>
              </w:rPr>
              <w:t>1.11中标人须提供足够的作业机器,自行解决后勤管理服务时所需的日常工具和劳保用品,并能根据医院的行业形象要求及规范,保证文明工作。</w:t>
            </w:r>
          </w:p>
          <w:p>
            <w:pPr>
              <w:pStyle w:val="4"/>
              <w:ind w:firstLine="560"/>
              <w:jc w:val="both"/>
            </w:pPr>
            <w:r>
              <w:rPr>
                <w:sz w:val="28"/>
              </w:rPr>
              <w:t>1.12中标人须严格按照标准化的操作程序、完善的培训体系和质量控制体系完成本项目，以保证整个后勤系统安全、高效、有序和有计划地运转。</w:t>
            </w:r>
          </w:p>
          <w:p>
            <w:pPr>
              <w:pStyle w:val="4"/>
              <w:ind w:firstLine="560"/>
              <w:jc w:val="both"/>
            </w:pPr>
            <w:r>
              <w:rPr>
                <w:sz w:val="28"/>
              </w:rPr>
              <w:t>1.13中标人有责任配合医院接受上级领导部门的监督、检查，提供必须的资料。</w:t>
            </w:r>
          </w:p>
          <w:p>
            <w:pPr>
              <w:pStyle w:val="4"/>
              <w:ind w:firstLine="560"/>
              <w:jc w:val="both"/>
            </w:pPr>
            <w:r>
              <w:rPr>
                <w:sz w:val="28"/>
              </w:rPr>
              <w:t>1.14中标人须严格按照国家规定给所有的员工缴纳各种福利待遇。</w:t>
            </w:r>
          </w:p>
          <w:p>
            <w:pPr>
              <w:pStyle w:val="4"/>
              <w:ind w:firstLine="560"/>
              <w:jc w:val="both"/>
            </w:pPr>
            <w:r>
              <w:rPr>
                <w:sz w:val="28"/>
              </w:rPr>
              <w:t>1.15中标人自行负责其招聘员工的一切工资、福利；如发生工伤、疾病乃至死亡的一切责任及费用由中标人全部负责；中标人应严格遵守国家有关的法律、法规及行业标准。</w:t>
            </w:r>
          </w:p>
          <w:p>
            <w:pPr>
              <w:pStyle w:val="4"/>
              <w:ind w:firstLine="560"/>
              <w:jc w:val="both"/>
            </w:pPr>
            <w:r>
              <w:rPr>
                <w:sz w:val="28"/>
              </w:rPr>
              <w:t>（1）全部服务人员的工作时间应按国家规定要求的标准执行。</w:t>
            </w:r>
          </w:p>
          <w:p>
            <w:pPr>
              <w:pStyle w:val="4"/>
              <w:ind w:firstLine="560"/>
              <w:jc w:val="both"/>
            </w:pPr>
            <w:r>
              <w:rPr>
                <w:sz w:val="28"/>
              </w:rPr>
              <w:t>（2）所有员工入院服务前半年内都必须参加体检，并且合格的才能上岗。</w:t>
            </w:r>
          </w:p>
          <w:p>
            <w:pPr>
              <w:pStyle w:val="4"/>
              <w:ind w:firstLine="560"/>
              <w:jc w:val="both"/>
            </w:pPr>
            <w:r>
              <w:rPr>
                <w:sz w:val="28"/>
              </w:rPr>
              <w:t>（3）中标人承担服务人员职业安全与个人防护费用及管理。</w:t>
            </w:r>
          </w:p>
          <w:p>
            <w:pPr>
              <w:pStyle w:val="4"/>
              <w:ind w:firstLine="560"/>
              <w:jc w:val="both"/>
            </w:pPr>
            <w:r>
              <w:rPr>
                <w:sz w:val="28"/>
              </w:rPr>
              <w:t>1.16投标人需在报价中涵盖所有可能产生的费用，院方不接受因投标人漏报、错报导致的费用追加。因投标人违反《中华人民共和国劳动法》等法律法规而造成院方的连带责任和损失全部由投标人承担。</w:t>
            </w:r>
          </w:p>
          <w:p>
            <w:pPr>
              <w:pStyle w:val="4"/>
              <w:ind w:firstLine="560"/>
              <w:jc w:val="both"/>
            </w:pPr>
            <w:r>
              <w:rPr>
                <w:sz w:val="28"/>
              </w:rPr>
              <w:t>1.17投标报价包含前期初始化费用及项目全部运作费用（如人员、保险、检测、配件、验收、测试、培训、交通、税金及不可预见的一切费用）。</w:t>
            </w:r>
          </w:p>
          <w:p>
            <w:pPr>
              <w:pStyle w:val="4"/>
              <w:ind w:firstLine="560"/>
              <w:jc w:val="both"/>
            </w:pPr>
            <w:r>
              <w:rPr>
                <w:sz w:val="28"/>
              </w:rPr>
              <w:t>1.18江北新院启用前的开荒服务，根据交付情况双方另行确定开荒结算价格，不高于市场价。</w:t>
            </w:r>
          </w:p>
          <w:p>
            <w:pPr>
              <w:pStyle w:val="4"/>
              <w:ind w:firstLine="560"/>
              <w:jc w:val="both"/>
            </w:pPr>
            <w:r>
              <w:rPr>
                <w:sz w:val="28"/>
              </w:rPr>
              <w:t>1.19保洁服务不包括手不及之处的医院外立墙面、玻璃幕墙的清洗。保洁服务不包括医院内所有设备运行与维护服务范围内的设备房及管井等的卫生清洁以及消防监控室的卫生清洁。保洁服务不包括医院范围内食堂、小卖部。保洁服务不包括建筑垃圾、装修材料的清运。</w:t>
            </w:r>
          </w:p>
          <w:p>
            <w:pPr>
              <w:pStyle w:val="4"/>
              <w:ind w:firstLine="562"/>
              <w:jc w:val="both"/>
            </w:pPr>
            <w:r>
              <w:rPr>
                <w:b/>
                <w:sz w:val="28"/>
              </w:rPr>
              <w:t>（二）绩效考核</w:t>
            </w:r>
          </w:p>
          <w:p>
            <w:pPr>
              <w:pStyle w:val="4"/>
              <w:ind w:firstLine="560"/>
              <w:jc w:val="both"/>
            </w:pPr>
            <w:r>
              <w:rPr>
                <w:sz w:val="28"/>
              </w:rPr>
              <w:t>2.1中标人因工作失误所造成医院的损失，由中标人负责。</w:t>
            </w:r>
          </w:p>
          <w:p>
            <w:pPr>
              <w:pStyle w:val="4"/>
              <w:ind w:firstLine="560"/>
              <w:jc w:val="both"/>
            </w:pPr>
            <w:r>
              <w:rPr>
                <w:sz w:val="28"/>
              </w:rPr>
              <w:t>2.2中标人工作人员适用于医院《工作人员违规、违纪处罚规定》。</w:t>
            </w:r>
          </w:p>
          <w:p>
            <w:pPr>
              <w:pStyle w:val="4"/>
              <w:ind w:firstLine="560"/>
              <w:jc w:val="both"/>
            </w:pPr>
            <w:r>
              <w:rPr>
                <w:sz w:val="28"/>
              </w:rPr>
              <w:t>2.3医院管理部门按照后勤服务社会化服务质量考核标准及管理制度，不定期组织开展大检查并对检查结果进行评分，每月向各科室发放满意度调查表，并对中标人的服务情况进行综合评分。若服务质量未达标，低于医院要求的分数，医院有权根据考核结果按合同约定比例扣减服务管理费。</w:t>
            </w:r>
          </w:p>
          <w:p>
            <w:pPr>
              <w:pStyle w:val="4"/>
              <w:ind w:firstLine="562"/>
              <w:jc w:val="both"/>
            </w:pPr>
            <w:r>
              <w:rPr>
                <w:b/>
                <w:sz w:val="28"/>
              </w:rPr>
              <w:t>（三）人员进驻安排</w:t>
            </w:r>
          </w:p>
          <w:p>
            <w:pPr>
              <w:pStyle w:val="4"/>
              <w:ind w:firstLine="560"/>
              <w:jc w:val="both"/>
            </w:pPr>
            <w:r>
              <w:rPr>
                <w:sz w:val="28"/>
              </w:rPr>
              <w:t xml:space="preserve">（1）搬迁前：沿用原148人配置（其中上排院区114人，江北分院34人）。  </w:t>
            </w:r>
          </w:p>
          <w:p>
            <w:pPr>
              <w:pStyle w:val="4"/>
              <w:ind w:firstLine="560"/>
              <w:jc w:val="both"/>
            </w:pPr>
            <w:r>
              <w:rPr>
                <w:sz w:val="28"/>
              </w:rPr>
              <w:t>（2）搬迁后：逐步增加人员，最高结算人数不超过218人。</w:t>
            </w:r>
          </w:p>
          <w:p>
            <w:pPr>
              <w:pStyle w:val="4"/>
              <w:ind w:firstLine="560"/>
              <w:jc w:val="both"/>
            </w:pPr>
            <w:r>
              <w:rPr>
                <w:sz w:val="28"/>
              </w:rPr>
              <w:t>（3）根据医院实际需求配置人员，按实际配置人员进行结算。</w:t>
            </w:r>
          </w:p>
          <w:p>
            <w:pPr>
              <w:pStyle w:val="4"/>
              <w:ind w:firstLine="560"/>
              <w:jc w:val="both"/>
            </w:pPr>
            <w:r>
              <w:rPr>
                <w:sz w:val="28"/>
              </w:rPr>
              <w:t>搬迁前后人员配置表详见附件1-1江北新院搬迁前全院保洁与运送管理服务采购项目配置表、附件1-2江北新院搬迁后全院保洁与运送管理服务采购项目配置表。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564"/>
              <w:gridCol w:w="696"/>
              <w:gridCol w:w="694"/>
              <w:gridCol w:w="452"/>
              <w:gridCol w:w="879"/>
              <w:gridCol w:w="636"/>
              <w:gridCol w:w="879"/>
              <w:gridCol w:w="76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6" w:type="dxa"/>
                  <w:gridSpan w:val="9"/>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附件：1-1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6"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江北新院搬迁前全院保洁与运送管理服务采购项目配置表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6"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管理人员岗位配置表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b/>
                      <w:sz w:val="24"/>
                    </w:rPr>
                    <w:t>各院区</w:t>
                  </w:r>
                </w:p>
              </w:tc>
              <w:tc>
                <w:tcPr>
                  <w:tcW w:w="5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楼层区域</w:t>
                  </w:r>
                </w:p>
              </w:tc>
              <w:tc>
                <w:tcPr>
                  <w:tcW w:w="8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类别</w:t>
                  </w:r>
                </w:p>
              </w:tc>
              <w:tc>
                <w:tcPr>
                  <w:tcW w:w="7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每岗位每周工作时长（小时）</w:t>
                  </w:r>
                </w:p>
              </w:tc>
              <w:tc>
                <w:tcPr>
                  <w:tcW w:w="5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每岗位每周工作天数</w:t>
                  </w:r>
                </w:p>
              </w:tc>
              <w:tc>
                <w:tcPr>
                  <w:tcW w:w="5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岗位数</w:t>
                  </w:r>
                </w:p>
              </w:tc>
              <w:tc>
                <w:tcPr>
                  <w:tcW w:w="4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w:t>
                  </w:r>
                </w:p>
              </w:tc>
              <w:tc>
                <w:tcPr>
                  <w:tcW w:w="5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                       小计</w:t>
                  </w:r>
                </w:p>
              </w:tc>
              <w:tc>
                <w:tcPr>
                  <w:tcW w:w="8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保洁人员岗位配置</w:t>
                  </w:r>
                </w:p>
              </w:tc>
              <w:tc>
                <w:tcPr>
                  <w:tcW w:w="54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管理岗位</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经理</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项目管理人员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single" w:color="000000" w:sz="4" w:space="0"/>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上排保洁主管</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上排保洁管理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single" w:color="000000" w:sz="4" w:space="0"/>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上排运送主管</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上排运送管理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single" w:color="000000" w:sz="4" w:space="0"/>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江北分院主管</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江北分院管理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3"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合计</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6"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保洁人员岗位配置表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院区</w:t>
                  </w:r>
                </w:p>
              </w:tc>
              <w:tc>
                <w:tcPr>
                  <w:tcW w:w="5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楼层区域</w:t>
                  </w:r>
                </w:p>
              </w:tc>
              <w:tc>
                <w:tcPr>
                  <w:tcW w:w="8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科室</w:t>
                  </w:r>
                </w:p>
              </w:tc>
              <w:tc>
                <w:tcPr>
                  <w:tcW w:w="7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每岗位每周工作时长（小时）</w:t>
                  </w:r>
                </w:p>
              </w:tc>
              <w:tc>
                <w:tcPr>
                  <w:tcW w:w="5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每岗位每周工作天数</w:t>
                  </w:r>
                </w:p>
              </w:tc>
              <w:tc>
                <w:tcPr>
                  <w:tcW w:w="5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岗位数</w:t>
                  </w:r>
                </w:p>
              </w:tc>
              <w:tc>
                <w:tcPr>
                  <w:tcW w:w="4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w:t>
                  </w:r>
                </w:p>
              </w:tc>
              <w:tc>
                <w:tcPr>
                  <w:tcW w:w="5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                        小计</w:t>
                  </w:r>
                </w:p>
              </w:tc>
              <w:tc>
                <w:tcPr>
                  <w:tcW w:w="8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上排总院</w:t>
                  </w: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急诊、大厅，药房，收费</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63.51</w:t>
                  </w: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早中晚班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儿科门诊</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专职专岗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上排2F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检验</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儿科门诊</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上排3F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功能科（电生理）</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妇科门诊</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上排4F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孕产门诊</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产前诊断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上排5F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生殖中心</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上排6F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儿科住院早班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儿科住院中班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6.7楼共用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儿科住院夜班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6.7楼共用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上排7F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妇科住院早班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儿科/妇科住院中班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儿科/妇科住院夜班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上排8F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爱婴区早班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爱婴区中班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爱婴区夜班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8.9楼共用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上排9F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综合外早班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综合外中班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爱婴区/综合外夜班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上排10F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新生儿科新区早中班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新生儿东区早中班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新生儿夜班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上排11F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产前病区早中班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产房早中晚班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上排12F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供应室</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特需门诊</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上排13F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人流室/西侧大厅</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手术室早班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手术室中班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手术室夜班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上排附楼</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 xml:space="preserve">  5-8F公共区域                                                       (兼顾会议室保洁，茶杯消毒)</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1.25</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1.5</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1-4F公共区域，1F放射科</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公共</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外围、停车场及地下室</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创文创卫控烟巡扫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医疗废物、生活垃圾运送，垃圾房管理</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空调送回风口清洗</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玻璃/风口、专项洗地/落蜡/电梯保养</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江北分院</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江北1F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儿科门诊/收费、药房/放射室/实验室</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江北2F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妇科门诊，人流室，孕妇学校，电生理科，功能科</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江北3F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儿保、康复科</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江北4F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空置</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江北5F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儿科住院部早中班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兼顾6F妇科中班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江北6F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妇科住院部早班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江北7F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产科VIP早班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江北8F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产科住院部早中班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兼顾7FVIP中班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LDR住院部保洁部</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江北9F</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产房早中晚班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江北手术室</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江北院区</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外围、停车场</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江北保洁组长、分发物料、公区楼梯巡扫</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               计划组</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专项洗地、打蜡、玻璃、风口、窗帘拆洗</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上排分院</w:t>
                  </w: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A栋</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3层中医传统疗法中心</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0.625</w:t>
                  </w:r>
                </w:p>
              </w:tc>
              <w:tc>
                <w:tcPr>
                  <w:tcW w:w="49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1.5</w:t>
                  </w:r>
                </w:p>
              </w:tc>
              <w:tc>
                <w:tcPr>
                  <w:tcW w:w="5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21.98</w:t>
                  </w: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4层口腔中心</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0.625</w:t>
                  </w:r>
                </w:p>
              </w:tc>
              <w:tc>
                <w:tcPr>
                  <w:tcW w:w="495" w:type="dxa"/>
                  <w:vMerge w:val="continue"/>
                  <w:tcBorders>
                    <w:top w:val="nil"/>
                    <w:left w:val="nil"/>
                    <w:bottom w:val="single" w:color="000000" w:sz="4" w:space="0"/>
                    <w:right w:val="single" w:color="000000" w:sz="4" w:space="0"/>
                  </w:tcBorders>
                </w:tcP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5层产前诊断实验室</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6层病理科/PCR实验室</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兼顾病案室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6-7层病案室，示教室含公共区域</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B栋</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6楼VIP保洁</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中班和夜班共用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5楼VIP保洁</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4楼VIP保洁</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3楼VIP保洁</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2楼中医康复科、火爟清洗</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C栋</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1层疫苗接种，兼顾B1中药房</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2层儿童保健中心</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3层儿童早期发展中心及神内门诊</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0.5625</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1.3</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4层神经内科门诊</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0.5625</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5层神经内科病房（18人）</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1.5</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1.8</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1楼大堂、外围，医疗垃圾运送</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专项玻璃，风口，窗帘拆洗，电梯不锈钢，地毯清洗</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时代院区组长、应急响应</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48</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3"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合计</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108.89</w:t>
                  </w: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6"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运送及调度人员配置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院区</w:t>
                  </w:r>
                </w:p>
              </w:tc>
              <w:tc>
                <w:tcPr>
                  <w:tcW w:w="5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楼层区域</w:t>
                  </w:r>
                </w:p>
              </w:tc>
              <w:tc>
                <w:tcPr>
                  <w:tcW w:w="8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科室</w:t>
                  </w:r>
                </w:p>
              </w:tc>
              <w:tc>
                <w:tcPr>
                  <w:tcW w:w="7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每岗位每周工作时长（小时）</w:t>
                  </w:r>
                </w:p>
              </w:tc>
              <w:tc>
                <w:tcPr>
                  <w:tcW w:w="5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每岗位每周工作天数</w:t>
                  </w:r>
                </w:p>
              </w:tc>
              <w:tc>
                <w:tcPr>
                  <w:tcW w:w="5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岗位数</w:t>
                  </w:r>
                </w:p>
              </w:tc>
              <w:tc>
                <w:tcPr>
                  <w:tcW w:w="4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w:t>
                  </w:r>
                </w:p>
              </w:tc>
              <w:tc>
                <w:tcPr>
                  <w:tcW w:w="5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                        小计</w:t>
                  </w:r>
                </w:p>
              </w:tc>
              <w:tc>
                <w:tcPr>
                  <w:tcW w:w="8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上排总院及分院</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布类运送</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收集/分拣/输送/工衣发放</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23.52</w:t>
                  </w: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物资配送</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物资配送</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领班/仓管/分发物料</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标本运送</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标本运送早班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主楼2人，                          时代与主楼往返1人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运送早中班（机动人员）</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标本运送中班兼床边报告</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标本运送晚班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病人运送早班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4.8</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病人运送中班兼床边报告</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药品运送</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江北分院</w:t>
                  </w:r>
                </w:p>
              </w:tc>
              <w:tc>
                <w:tcPr>
                  <w:tcW w:w="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标本运送</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标本运送早班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8.19</w:t>
                  </w: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病人运送早班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运送中班床边报告</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运送夜班</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医疗废物运送员</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vMerge w:val="continue"/>
                  <w:tcBorders>
                    <w:top w:val="nil"/>
                    <w:left w:val="single" w:color="000000" w:sz="4" w:space="0"/>
                    <w:bottom w:val="single" w:color="000000" w:sz="4" w:space="0"/>
                    <w:right w:val="single" w:color="000000" w:sz="4" w:space="0"/>
                  </w:tcBorders>
                </w:tcPr>
                <w:p/>
              </w:tc>
              <w:tc>
                <w:tcPr>
                  <w:tcW w:w="547" w:type="dxa"/>
                  <w:vMerge w:val="continue"/>
                  <w:tcBorders>
                    <w:top w:val="nil"/>
                    <w:left w:val="nil"/>
                    <w:bottom w:val="nil"/>
                    <w:right w:val="single" w:color="000000" w:sz="4" w:space="0"/>
                  </w:tcBorders>
                </w:tcP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江北物资配送</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38" w:type="dxa"/>
                  <w:vMerge w:val="continue"/>
                  <w:tcBorders>
                    <w:top w:val="nil"/>
                    <w:left w:val="nil"/>
                    <w:bottom w:val="single" w:color="000000" w:sz="4" w:space="0"/>
                    <w:right w:val="single" w:color="000000" w:sz="4" w:space="0"/>
                  </w:tcBorders>
                </w:tcP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全院</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调度中心</w:t>
                  </w:r>
                </w:p>
              </w:tc>
              <w:tc>
                <w:tcPr>
                  <w:tcW w:w="8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调度员</w:t>
                  </w:r>
                </w:p>
              </w:tc>
              <w:tc>
                <w:tcPr>
                  <w:tcW w:w="7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医院后勤一站式服务中心调度人员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3"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运送合计</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35.22</w:t>
                  </w: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3"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三个院区保洁与运送人员配置汇总</w:t>
                  </w:r>
                </w:p>
              </w:tc>
              <w:tc>
                <w:tcPr>
                  <w:tcW w:w="5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148人</w:t>
                  </w:r>
                </w:p>
              </w:tc>
              <w:tc>
                <w:tcPr>
                  <w:tcW w:w="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bl>
          <w:p>
            <w:pPr>
              <w:pStyle w:val="4"/>
            </w:pPr>
            <w: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2"/>
              <w:gridCol w:w="881"/>
              <w:gridCol w:w="697"/>
              <w:gridCol w:w="692"/>
              <w:gridCol w:w="452"/>
              <w:gridCol w:w="451"/>
              <w:gridCol w:w="636"/>
              <w:gridCol w:w="879"/>
              <w:gridCol w:w="88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6" w:type="dxa"/>
                  <w:gridSpan w:val="9"/>
                  <w:tcBorders>
                    <w:top w:val="nil"/>
                    <w:left w:val="nil"/>
                    <w:bottom w:val="nil"/>
                    <w:right w:val="nil"/>
                  </w:tcBorders>
                  <w:tcMar>
                    <w:top w:w="0" w:type="dxa"/>
                    <w:left w:w="105" w:type="dxa"/>
                    <w:bottom w:w="0" w:type="dxa"/>
                    <w:right w:w="105" w:type="dxa"/>
                  </w:tcMar>
                  <w:vAlign w:val="top"/>
                </w:tcPr>
                <w:p>
                  <w:pPr>
                    <w:pStyle w:val="4"/>
                    <w:jc w:val="left"/>
                  </w:pPr>
                  <w:r>
                    <w:rPr>
                      <w:sz w:val="24"/>
                    </w:rPr>
                    <w:t>附件：1-2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6" w:type="dxa"/>
                  <w:gridSpan w:val="9"/>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江北新院搬迁后全院保洁与运送管理服务采购项目配置表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6"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管理人员岗位配置表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b/>
                      <w:sz w:val="24"/>
                    </w:rPr>
                    <w:t>各院区</w:t>
                  </w:r>
                </w:p>
              </w:tc>
              <w:tc>
                <w:tcPr>
                  <w:tcW w:w="6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楼层区域</w:t>
                  </w:r>
                </w:p>
              </w:tc>
              <w:tc>
                <w:tcPr>
                  <w:tcW w:w="10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类别</w:t>
                  </w:r>
                </w:p>
              </w:tc>
              <w:tc>
                <w:tcPr>
                  <w:tcW w:w="5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每岗位每周工作时长（小时）</w:t>
                  </w:r>
                </w:p>
              </w:tc>
              <w:tc>
                <w:tcPr>
                  <w:tcW w:w="5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每岗位每周工作天数</w:t>
                  </w:r>
                </w:p>
              </w:tc>
              <w:tc>
                <w:tcPr>
                  <w:tcW w:w="4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岗位数</w:t>
                  </w:r>
                </w:p>
              </w:tc>
              <w:tc>
                <w:tcPr>
                  <w:tcW w:w="4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人员配置数</w:t>
                  </w:r>
                </w:p>
              </w:tc>
              <w:tc>
                <w:tcPr>
                  <w:tcW w:w="5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 小计</w:t>
                  </w:r>
                </w:p>
              </w:tc>
              <w:tc>
                <w:tcPr>
                  <w:tcW w:w="8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保洁人员岗位配置</w:t>
                  </w:r>
                </w:p>
              </w:tc>
              <w:tc>
                <w:tcPr>
                  <w:tcW w:w="6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管理岗位</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项目经理</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0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项目管理人员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上排保洁主管</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上排保洁管理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上排运送主管</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上排运送管理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江北新院保洁主管</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江北运送主管</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2"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合计</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6"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保洁人员岗位配置表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院区</w:t>
                  </w:r>
                </w:p>
              </w:tc>
              <w:tc>
                <w:tcPr>
                  <w:tcW w:w="6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楼层区域</w:t>
                  </w:r>
                </w:p>
              </w:tc>
              <w:tc>
                <w:tcPr>
                  <w:tcW w:w="10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科室</w:t>
                  </w:r>
                </w:p>
              </w:tc>
              <w:tc>
                <w:tcPr>
                  <w:tcW w:w="5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每岗位每周工作时长（小时）</w:t>
                  </w:r>
                </w:p>
              </w:tc>
              <w:tc>
                <w:tcPr>
                  <w:tcW w:w="5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每岗位每周工作天数</w:t>
                  </w:r>
                </w:p>
              </w:tc>
              <w:tc>
                <w:tcPr>
                  <w:tcW w:w="4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岗位数</w:t>
                  </w:r>
                </w:p>
              </w:tc>
              <w:tc>
                <w:tcPr>
                  <w:tcW w:w="4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人员配置数</w:t>
                  </w:r>
                </w:p>
              </w:tc>
              <w:tc>
                <w:tcPr>
                  <w:tcW w:w="5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                       小计</w:t>
                  </w:r>
                </w:p>
              </w:tc>
              <w:tc>
                <w:tcPr>
                  <w:tcW w:w="8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上排总院</w:t>
                  </w: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急诊、大厅，药房，收费</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63.18</w:t>
                  </w: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早中晚班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儿科门诊</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专职专岗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上排2F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检验</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儿科门诊</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上排3F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功能科（电生理）</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妇科门诊</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上排4F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孕产门诊</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产前诊断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上排5F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生殖中心</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上排6F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儿科住院早班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儿科住院中班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6.7楼共用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儿科住院夜班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6.7楼共用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上排7F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妇科住院早班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儿科/妇科住院中班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儿科/妇科住院夜班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上排8F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爱婴区早班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爱婴区中班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8.9楼共用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上排9F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综合外早班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综合外中班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爱婴区/综合外夜班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上排10F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新生儿科新区早中班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新生儿东区早中班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上排11F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产前病区早中班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产房早中晚班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上排12F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供应室</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特需门诊</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上排13F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人流室/西侧大厅</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手术室早班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手术室中班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手术室夜班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上排附楼</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 xml:space="preserve">  5-8F公共区域                                                       (兼顾会议室保洁，茶杯消毒)</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1-4F公共区域，1F放射科</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公共</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外围、停车场及地下室</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创文创卫控烟巡扫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医疗废物、生活垃圾运送，垃圾房管理</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空调送回风口清洗</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玻璃/风口、专项洗地/落蜡/电梯保养</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上排分院</w:t>
                  </w: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A栋</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3层中医传统疗法中心</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20.89</w:t>
                  </w: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4层口腔中心</w:t>
                  </w:r>
                </w:p>
              </w:tc>
              <w:tc>
                <w:tcPr>
                  <w:tcW w:w="5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438" w:type="dxa"/>
                  <w:vMerge w:val="continue"/>
                  <w:tcBorders>
                    <w:top w:val="nil"/>
                    <w:left w:val="nil"/>
                    <w:bottom w:val="single" w:color="000000" w:sz="4" w:space="0"/>
                    <w:right w:val="single" w:color="000000" w:sz="4" w:space="0"/>
                  </w:tcBorders>
                </w:tcPr>
                <w:p/>
              </w:tc>
              <w:tc>
                <w:tcPr>
                  <w:tcW w:w="473" w:type="dxa"/>
                  <w:vMerge w:val="continue"/>
                  <w:tcBorders>
                    <w:top w:val="nil"/>
                    <w:left w:val="nil"/>
                    <w:bottom w:val="single" w:color="000000" w:sz="4" w:space="0"/>
                    <w:right w:val="single" w:color="000000" w:sz="4" w:space="0"/>
                  </w:tcBorders>
                </w:tcP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5层产前诊断实验室</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6层病理科/PCR实验室</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兼顾病案室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6-7层病案室，示教室含公共区域</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B栋</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6楼VIP保洁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中班和夜班共用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5楼VIP保洁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4楼VIP保洁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3楼VIP保洁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2楼中医康复科、火爟清洗</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C栋</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1层疫苗接种，兼顾B1中药房</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2层儿童保健中心</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3层儿童早期发展中心及神内门诊</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4层神经内科门诊</w:t>
                  </w:r>
                </w:p>
              </w:tc>
              <w:tc>
                <w:tcPr>
                  <w:tcW w:w="5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438" w:type="dxa"/>
                  <w:vMerge w:val="continue"/>
                  <w:tcBorders>
                    <w:top w:val="nil"/>
                    <w:left w:val="nil"/>
                    <w:bottom w:val="single" w:color="000000" w:sz="4" w:space="0"/>
                    <w:right w:val="single" w:color="000000" w:sz="4" w:space="0"/>
                  </w:tcBorders>
                </w:tcPr>
                <w:p/>
              </w:tc>
              <w:tc>
                <w:tcPr>
                  <w:tcW w:w="473" w:type="dxa"/>
                  <w:vMerge w:val="continue"/>
                  <w:tcBorders>
                    <w:top w:val="nil"/>
                    <w:left w:val="nil"/>
                    <w:bottom w:val="single" w:color="000000" w:sz="4" w:space="0"/>
                    <w:right w:val="single" w:color="000000" w:sz="4" w:space="0"/>
                  </w:tcBorders>
                </w:tcP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5层神经内科病房（18人）</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4"/>
                    </w:rPr>
                    <w:t>1楼大堂、外围，医疗垃圾运送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专项玻璃，风口，窗帘拆洗，电梯不锈钢，地毯清洗</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时代院区组长、应急响应</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江北新院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新院负2F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垃圾房，太平间，停车位，机房</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86.07</w:t>
                  </w: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新院负1F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总务仓库，耗材仓库，餐厅，设备机房，停车位</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负1-2F公区停车场，医院后勤、耗材仓库清洁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门诊大厅，挂号，收费，药房，综合服务，儿外门诊，急诊，产科门诊，胎监，儿内门诊，影像中心，DSA,行政门厅</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5.85</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1F中夜班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中班2人，夜班1人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新院2F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儿童保健：康复门诊，心理门诊，大厅上空；耳鼻喉，眼科，口腔，神内，早教，抽血；病理科，检验中心，新筛中心，血库；产前筛查实验室。</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5.85</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新院3F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妇女保健，妇科门诊；中医门诊，特需门诊；信息中心；超声科。</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5.85</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新院3F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中心供应室</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新院4F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产前诊断，VIP孕期；孕期保健，婚前孕前；手术中心；内镜中心，产后康复，孕妇学校</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5.85</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孕产门诊4人，手术室3人，内镜、产后1人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新院4F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4F手术室中夜班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手术室中班1人，手术室夜班1人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新院4F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2-4F中班，公厕清洁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新院5F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天面机房，庭院，机房，管理用房；大会议室，报告厅，接待室。</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行政用房，5F管理用房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新院6F</w:t>
                  </w:r>
                </w:p>
              </w:tc>
              <w:tc>
                <w:tcPr>
                  <w:tcW w:w="10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ICU病房，行政办</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ICU2人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438" w:type="dxa"/>
                  <w:vMerge w:val="continue"/>
                  <w:tcBorders>
                    <w:top w:val="nil"/>
                    <w:left w:val="nil"/>
                    <w:bottom w:val="single" w:color="000000" w:sz="4" w:space="0"/>
                    <w:right w:val="single" w:color="000000" w:sz="4" w:space="0"/>
                  </w:tcBorders>
                </w:tcPr>
                <w:p/>
              </w:tc>
              <w:tc>
                <w:tcPr>
                  <w:tcW w:w="473" w:type="dxa"/>
                  <w:vMerge w:val="continue"/>
                  <w:tcBorders>
                    <w:top w:val="nil"/>
                    <w:left w:val="nil"/>
                    <w:bottom w:val="single" w:color="000000" w:sz="4" w:space="0"/>
                    <w:right w:val="single" w:color="000000" w:sz="4" w:space="0"/>
                  </w:tcBorders>
                </w:tcP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行政1人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新院6F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ICU中班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ICU夜班由9F兼顾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新院7F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新生儿科，行政领导办，会议室</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新生儿保洁2人，清洗1人，行政1人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新院7F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新生儿中夜班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新生儿中班1人，夜班1人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新院8F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产房分娩室5间，隔离1，剖腹产手术间1，待产10床</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新院8F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产房中夜班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产房中班1人，夜班1人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新院9F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LDR室</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新院9F</w:t>
                  </w:r>
                </w:p>
              </w:tc>
              <w:tc>
                <w:tcPr>
                  <w:tcW w:w="10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LDR中夜班</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438" w:type="dxa"/>
                  <w:vMerge w:val="continue"/>
                  <w:tcBorders>
                    <w:top w:val="nil"/>
                    <w:left w:val="nil"/>
                    <w:bottom w:val="single" w:color="000000" w:sz="4" w:space="0"/>
                    <w:right w:val="single" w:color="000000" w:sz="4" w:space="0"/>
                  </w:tcBorders>
                </w:tcPr>
                <w:p/>
              </w:tc>
              <w:tc>
                <w:tcPr>
                  <w:tcW w:w="473" w:type="dxa"/>
                  <w:vMerge w:val="continue"/>
                  <w:tcBorders>
                    <w:top w:val="nil"/>
                    <w:left w:val="nil"/>
                    <w:bottom w:val="single" w:color="000000" w:sz="4" w:space="0"/>
                    <w:right w:val="single" w:color="000000" w:sz="4" w:space="0"/>
                  </w:tcBorders>
                </w:tcP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夜班1人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438" w:type="dxa"/>
                  <w:vMerge w:val="continue"/>
                  <w:tcBorders>
                    <w:top w:val="nil"/>
                    <w:left w:val="nil"/>
                    <w:bottom w:val="single" w:color="000000" w:sz="4" w:space="0"/>
                    <w:right w:val="single" w:color="000000" w:sz="4" w:space="0"/>
                  </w:tcBorders>
                </w:tcPr>
                <w:p/>
              </w:tc>
              <w:tc>
                <w:tcPr>
                  <w:tcW w:w="473" w:type="dxa"/>
                  <w:vMerge w:val="continue"/>
                  <w:tcBorders>
                    <w:top w:val="nil"/>
                    <w:left w:val="nil"/>
                    <w:bottom w:val="single" w:color="000000" w:sz="4" w:space="0"/>
                    <w:right w:val="single" w:color="000000" w:sz="4" w:space="0"/>
                  </w:tcBorders>
                </w:tcP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夜班需兼顾ICU，9-11F</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新院10F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产一</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新院11F</w:t>
                  </w:r>
                </w:p>
              </w:tc>
              <w:tc>
                <w:tcPr>
                  <w:tcW w:w="10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产二</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早班2人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438" w:type="dxa"/>
                  <w:vMerge w:val="continue"/>
                  <w:tcBorders>
                    <w:top w:val="nil"/>
                    <w:left w:val="nil"/>
                    <w:bottom w:val="single" w:color="000000" w:sz="4" w:space="0"/>
                    <w:right w:val="single" w:color="000000" w:sz="4" w:space="0"/>
                  </w:tcBorders>
                </w:tcPr>
                <w:p/>
              </w:tc>
              <w:tc>
                <w:tcPr>
                  <w:tcW w:w="473" w:type="dxa"/>
                  <w:vMerge w:val="continue"/>
                  <w:tcBorders>
                    <w:top w:val="nil"/>
                    <w:left w:val="nil"/>
                    <w:bottom w:val="single" w:color="000000" w:sz="4" w:space="0"/>
                    <w:right w:val="single" w:color="000000" w:sz="4" w:space="0"/>
                  </w:tcBorders>
                </w:tcP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438" w:type="dxa"/>
                  <w:vMerge w:val="continue"/>
                  <w:tcBorders>
                    <w:top w:val="nil"/>
                    <w:left w:val="nil"/>
                    <w:bottom w:val="single" w:color="000000" w:sz="4" w:space="0"/>
                    <w:right w:val="single" w:color="000000" w:sz="4" w:space="0"/>
                  </w:tcBorders>
                </w:tcPr>
                <w:p/>
              </w:tc>
              <w:tc>
                <w:tcPr>
                  <w:tcW w:w="473" w:type="dxa"/>
                  <w:vMerge w:val="continue"/>
                  <w:tcBorders>
                    <w:top w:val="nil"/>
                    <w:left w:val="nil"/>
                    <w:bottom w:val="single" w:color="000000" w:sz="4" w:space="0"/>
                    <w:right w:val="single" w:color="000000" w:sz="4" w:space="0"/>
                  </w:tcBorders>
                </w:tcP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中班兼顾10F</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新院12F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儿内一</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新院13F</w:t>
                  </w:r>
                </w:p>
              </w:tc>
              <w:tc>
                <w:tcPr>
                  <w:tcW w:w="10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儿内二</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早班2人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438" w:type="dxa"/>
                  <w:vMerge w:val="continue"/>
                  <w:tcBorders>
                    <w:top w:val="nil"/>
                    <w:left w:val="nil"/>
                    <w:bottom w:val="single" w:color="000000" w:sz="4" w:space="0"/>
                    <w:right w:val="single" w:color="000000" w:sz="4" w:space="0"/>
                  </w:tcBorders>
                </w:tcPr>
                <w:p/>
              </w:tc>
              <w:tc>
                <w:tcPr>
                  <w:tcW w:w="473" w:type="dxa"/>
                  <w:vMerge w:val="continue"/>
                  <w:tcBorders>
                    <w:top w:val="nil"/>
                    <w:left w:val="nil"/>
                    <w:bottom w:val="single" w:color="000000" w:sz="4" w:space="0"/>
                    <w:right w:val="single" w:color="000000" w:sz="4" w:space="0"/>
                  </w:tcBorders>
                </w:tcP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438" w:type="dxa"/>
                  <w:vMerge w:val="continue"/>
                  <w:tcBorders>
                    <w:top w:val="nil"/>
                    <w:left w:val="nil"/>
                    <w:bottom w:val="single" w:color="000000" w:sz="4" w:space="0"/>
                    <w:right w:val="single" w:color="000000" w:sz="4" w:space="0"/>
                  </w:tcBorders>
                </w:tcPr>
                <w:p/>
              </w:tc>
              <w:tc>
                <w:tcPr>
                  <w:tcW w:w="473" w:type="dxa"/>
                  <w:vMerge w:val="continue"/>
                  <w:tcBorders>
                    <w:top w:val="nil"/>
                    <w:left w:val="nil"/>
                    <w:bottom w:val="single" w:color="000000" w:sz="4" w:space="0"/>
                    <w:right w:val="single" w:color="000000" w:sz="4" w:space="0"/>
                  </w:tcBorders>
                </w:tcP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中班兼顾12F</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新院14F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儿外</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新院15F</w:t>
                  </w:r>
                </w:p>
              </w:tc>
              <w:tc>
                <w:tcPr>
                  <w:tcW w:w="10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综合外</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早班2人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438" w:type="dxa"/>
                  <w:vMerge w:val="continue"/>
                  <w:tcBorders>
                    <w:top w:val="nil"/>
                    <w:left w:val="nil"/>
                    <w:bottom w:val="single" w:color="000000" w:sz="4" w:space="0"/>
                    <w:right w:val="single" w:color="000000" w:sz="4" w:space="0"/>
                  </w:tcBorders>
                </w:tcPr>
                <w:p/>
              </w:tc>
              <w:tc>
                <w:tcPr>
                  <w:tcW w:w="473" w:type="dxa"/>
                  <w:vMerge w:val="continue"/>
                  <w:tcBorders>
                    <w:top w:val="nil"/>
                    <w:left w:val="nil"/>
                    <w:bottom w:val="single" w:color="000000" w:sz="4" w:space="0"/>
                    <w:right w:val="single" w:color="000000" w:sz="4" w:space="0"/>
                  </w:tcBorders>
                </w:tcP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526" w:type="dxa"/>
                  <w:vMerge w:val="continue"/>
                  <w:tcBorders>
                    <w:top w:val="nil"/>
                    <w:left w:val="nil"/>
                    <w:bottom w:val="single" w:color="000000" w:sz="4" w:space="0"/>
                    <w:right w:val="single" w:color="000000" w:sz="4" w:space="0"/>
                  </w:tcBorders>
                </w:tcPr>
                <w:p/>
              </w:tc>
              <w:tc>
                <w:tcPr>
                  <w:tcW w:w="438" w:type="dxa"/>
                  <w:vMerge w:val="continue"/>
                  <w:tcBorders>
                    <w:top w:val="nil"/>
                    <w:left w:val="nil"/>
                    <w:bottom w:val="single" w:color="000000" w:sz="4" w:space="0"/>
                    <w:right w:val="single" w:color="000000" w:sz="4" w:space="0"/>
                  </w:tcBorders>
                </w:tcPr>
                <w:p/>
              </w:tc>
              <w:tc>
                <w:tcPr>
                  <w:tcW w:w="473" w:type="dxa"/>
                  <w:vMerge w:val="continue"/>
                  <w:tcBorders>
                    <w:top w:val="nil"/>
                    <w:left w:val="nil"/>
                    <w:bottom w:val="single" w:color="000000" w:sz="4" w:space="0"/>
                    <w:right w:val="single" w:color="000000" w:sz="4" w:space="0"/>
                  </w:tcBorders>
                </w:tcP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中班兼顾14F</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12-15F</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12-15F夜间公区清洁，应急处置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外围</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医疗废物、生活垃圾运送，垃圾房管理</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层流空调送回风口清洗</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专项洗地/刷洗落蜡/地毯清洗</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玻璃，风口，拆洗窗帘床帘，电梯保养</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仓管、保洁棉织品洗消</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专项组长、应急响应</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2"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合计</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170.14</w:t>
                  </w: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6"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运送及调度人员配置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院区</w:t>
                  </w:r>
                </w:p>
              </w:tc>
              <w:tc>
                <w:tcPr>
                  <w:tcW w:w="6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楼层区域</w:t>
                  </w:r>
                </w:p>
              </w:tc>
              <w:tc>
                <w:tcPr>
                  <w:tcW w:w="10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科室</w:t>
                  </w:r>
                </w:p>
              </w:tc>
              <w:tc>
                <w:tcPr>
                  <w:tcW w:w="5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每岗位每周工作时长（小时）</w:t>
                  </w:r>
                </w:p>
              </w:tc>
              <w:tc>
                <w:tcPr>
                  <w:tcW w:w="5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每岗位每周工作天数</w:t>
                  </w:r>
                </w:p>
              </w:tc>
              <w:tc>
                <w:tcPr>
                  <w:tcW w:w="4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岗位数</w:t>
                  </w:r>
                </w:p>
              </w:tc>
              <w:tc>
                <w:tcPr>
                  <w:tcW w:w="4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人员配置数</w:t>
                  </w:r>
                </w:p>
              </w:tc>
              <w:tc>
                <w:tcPr>
                  <w:tcW w:w="5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编制数                        小计</w:t>
                  </w:r>
                </w:p>
              </w:tc>
              <w:tc>
                <w:tcPr>
                  <w:tcW w:w="8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上排总院及分院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布类运送</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收集/分拣/输送/工衣发放</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23.35</w:t>
                  </w: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物资配送</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物资配送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领班/仓管/分发物料</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标本运送</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标本运送早班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主楼2人，                           时代与主楼往返1人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运送早中班（机动人员）</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标本运送中班兼床边报告</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标本运送晚班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病人运送早班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4.8</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病人运送中班兼床边报告</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nil"/>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药品运送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新院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药房</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药品运送员</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0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16.38</w:t>
                  </w: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机器人代替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物资器械</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物资运送（后勤，医用耗材，大输液运送，器械上收下送）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洗衣房及织布管理</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棉织品管理</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棉织品分拣运送，工作服发放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运送中心</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标本运送员（手术室，门诊病理标本，送冰冻，玻片标本运送，检验报告发放，会诊单运送）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0</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机器人代替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病人运送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病区患者检查运送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机动运送</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2.34</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物品搬运及临时性工作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中班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标本，药品运送由机器人代替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vMerge w:val="continue"/>
                  <w:tcBorders>
                    <w:top w:val="nil"/>
                    <w:left w:val="nil"/>
                    <w:bottom w:val="single" w:color="000000" w:sz="4" w:space="0"/>
                    <w:right w:val="single" w:color="000000" w:sz="4" w:space="0"/>
                  </w:tcBorders>
                </w:tcP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夜班</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1.17</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vMerge w:val="continue"/>
                  <w:tcBorders>
                    <w:top w:val="nil"/>
                    <w:left w:val="single" w:color="000000" w:sz="4" w:space="0"/>
                    <w:bottom w:val="single" w:color="000000" w:sz="4" w:space="0"/>
                    <w:right w:val="single" w:color="000000" w:sz="4" w:space="0"/>
                  </w:tcBorders>
                </w:tc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调度</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一站式服务中心调度</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vMerge w:val="continue"/>
                  <w:tcBorders>
                    <w:top w:val="nil"/>
                    <w:left w:val="nil"/>
                    <w:bottom w:val="single" w:color="000000" w:sz="4" w:space="0"/>
                    <w:right w:val="single" w:color="000000" w:sz="4" w:space="0"/>
                  </w:tcBorders>
                </w:tcP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一站式服务中心客服，24H热线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全院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调度中心</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调度员</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3.51</w:t>
                  </w: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医院后勤一站式服务中心调度人员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2"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运送合计</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43.24</w:t>
                  </w: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2"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三个院区保洁与运送人员配置汇总</w:t>
                  </w:r>
                </w:p>
              </w:tc>
              <w:tc>
                <w:tcPr>
                  <w:tcW w:w="5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218</w:t>
                  </w:r>
                </w:p>
              </w:tc>
              <w:tc>
                <w:tcPr>
                  <w:tcW w:w="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218</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1.采购代理机构：本项目是指惠州市公共资源交易中心惠城分中心，负责整个采购活动的组织，依法负责编制和发布招标文件，对招标文件拥有最终的解释权，不以任何身份出任评标委员会成员。</w:t>
      </w:r>
    </w:p>
    <w:p>
      <w:pPr>
        <w:pStyle w:val="4"/>
        <w:ind w:firstLine="480"/>
      </w:pPr>
      <w:r>
        <w:t xml:space="preserve"> 2.采购人：本项目是指惠州市第二妇幼保健院，是采购活动当事人之一，负责项目的整体规划、技术方案可行性设计论证与实施，作为合同采购方（用户）的主体承担质疑回复、履行合同、验收与评价等义务。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pPr>
            <w:r>
              <w:t>采购包1：保证金人民币：0.00元整。</w:t>
            </w:r>
          </w:p>
          <w:p>
            <w:pPr>
              <w:pStyle w:val="4"/>
            </w:pPr>
            <w:r>
              <w:t>开户单位： 无</w:t>
            </w:r>
          </w:p>
          <w:p>
            <w:pPr>
              <w:pStyle w:val="4"/>
            </w:pPr>
            <w:r>
              <w:t>开户账号： 无</w:t>
            </w:r>
          </w:p>
          <w:p>
            <w:pPr>
              <w:pStyle w:val="4"/>
            </w:pPr>
            <w:r>
              <w:t>开户银行： 无</w:t>
            </w:r>
          </w:p>
          <w:p>
            <w:pPr>
              <w:pStyle w:val="4"/>
            </w:pPr>
            <w:r>
              <w:t>支票提交方式： 无</w:t>
            </w:r>
          </w:p>
          <w:p>
            <w:pPr>
              <w:pStyle w:val="4"/>
            </w:pPr>
            <w:r>
              <w:t>汇票、本票提交方式： 无</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盘(或光盘)0份，加密的电子投标文件与非加密的电子投标文件必须完全一致。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采购包1：2家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惠州市公共资源交易中心惠城分中心代收。具体操作要求详见惠州市公共资源交易中心惠城分中心有关指引，递交事宜请自行咨询惠州市公共资源交易中心惠城分中心；请各投标人在投标文件递交截止时间前按须知前附表规定的金额递交至惠州市公共资源交易中心惠城分中心，到账情况以开标时惠州市公共资源交易中心惠城分中心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质疑联系人：陈女士</w:t>
      </w:r>
    </w:p>
    <w:p>
      <w:pPr>
        <w:pStyle w:val="4"/>
        <w:ind w:firstLine="480"/>
      </w:pPr>
      <w:r>
        <w:t>电话：0752-7381667</w:t>
      </w:r>
    </w:p>
    <w:p>
      <w:pPr>
        <w:pStyle w:val="4"/>
        <w:ind w:firstLine="480"/>
      </w:pPr>
      <w:r>
        <w:t>传真：无</w:t>
      </w:r>
    </w:p>
    <w:p>
      <w:pPr>
        <w:pStyle w:val="4"/>
        <w:ind w:firstLine="480"/>
      </w:pPr>
      <w:r>
        <w:t>邮箱：无</w:t>
      </w:r>
    </w:p>
    <w:p>
      <w:pPr>
        <w:pStyle w:val="4"/>
        <w:ind w:firstLine="480"/>
      </w:pPr>
      <w:r>
        <w:t>地址：惠州市惠城区上排大岭路10号</w:t>
      </w:r>
    </w:p>
    <w:p>
      <w:pPr>
        <w:pStyle w:val="4"/>
        <w:ind w:firstLine="480"/>
      </w:pPr>
      <w:r>
        <w:t>邮编：无</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政府采购监督管理机构名称：惠州市惠城区政府采购事务中心</w:t>
      </w:r>
    </w:p>
    <w:p>
      <w:pPr>
        <w:pStyle w:val="4"/>
      </w:pPr>
      <w:r>
        <w:t>地 址：惠州市惠城区龙丰上排新联路5号</w:t>
      </w:r>
    </w:p>
    <w:p>
      <w:pPr>
        <w:pStyle w:val="4"/>
      </w:pPr>
      <w:r>
        <w:t>电 话：0752-7809708</w:t>
      </w:r>
    </w:p>
    <w:p>
      <w:pPr>
        <w:pStyle w:val="4"/>
      </w:pPr>
      <w:r>
        <w:t>邮 编：516000</w:t>
      </w:r>
    </w:p>
    <w:p>
      <w:pPr>
        <w:pStyle w:val="4"/>
      </w:pPr>
      <w:r>
        <w:t>传 真：0752-7809707</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采购包1(保洁及运送服务管理)：综合评分法,是指投标文件满足招标文件全部实质性要求，且按照评审因素的量化指标评审得分最高的投标人为中标候选人的评标方法。（最低报价不是中标的唯一依据。）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（1）评标情况不得私自外泄，有关信息由惠州市公共资源交易中心惠城分中心统一对外发布。</w:t>
      </w:r>
    </w:p>
    <w:p>
      <w:pPr>
        <w:pStyle w:val="4"/>
        <w:ind w:firstLine="480"/>
      </w:pPr>
      <w:r>
        <w:t>（2）对惠州市公共资源交易中心惠城分中心或投标人提供的要求保密的资料，不得摘记翻印和外传。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r>
        <w:t>采购包1（保洁及运送服务管理）：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10%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采购包1（保洁及运送服务管理）：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投标人必须具有良好的商业信誉和健全的财务会计制度（提供2023年度或2024年度财务状况报告或基本开户行出具的资信证明；投标人注册未满一年的，提供成立至今的月或季度财务状况报告或基本开户行出具的资信证明）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提供履行合同所必需的设备和专业技术能力的声明函（或承诺函）（格式自拟）。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投标人必须符合法律、行政法规规定的其他条件</w:t>
            </w:r>
          </w:p>
        </w:tc>
        <w:tc>
          <w:tcPr>
            <w:tcW w:w="4238" w:type="dxa"/>
          </w:tcPr>
          <w:p>
            <w:pPr>
              <w:pStyle w:val="4"/>
            </w:pPr>
            <w:r>
              <w:t>单位负责人为同一人或者存在直接控股、 管理关系的不同投标人，不得同时参加本采购项目（或采购包） 投标（响应）。 为本项目提供整体设计、 规范编制或者项目管理、 监理、 检测等服务的投标人， 不得再参与本项目投标（响应）。 投标函相关承诺要求内容。</w:t>
            </w:r>
          </w:p>
        </w:tc>
      </w:tr>
    </w:tbl>
    <w:p>
      <w:pPr>
        <w:pStyle w:val="4"/>
        <w:ind w:firstLine="480"/>
      </w:pPr>
      <w:r>
        <w:t>表二符合性审查表：</w:t>
      </w:r>
    </w:p>
    <w:p>
      <w:pPr>
        <w:pStyle w:val="4"/>
      </w:pPr>
      <w:r>
        <w:t>采购包1（保洁及运送服务管理）：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1、投标人没有违反采购文件关于联合体投标的相关约定（相关约定请查看采购文件“第二章 采购需求”“一、采购项目的基本信息”中的“关于联合体投标”）</w:t>
            </w:r>
          </w:p>
        </w:tc>
        <w:tc>
          <w:tcPr>
            <w:tcW w:w="4238" w:type="dxa"/>
          </w:tcPr>
          <w:p>
            <w:pPr>
              <w:pStyle w:val="4"/>
            </w:pPr>
            <w:r>
              <w:t>1、投标人没有违反采购文件关于联合体投标的相关约定（相关约定请查看采购文件“第二章 采购需求”“一、采购项目的基本信息”中的“关于联合体投标”）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2、如果要求缴纳投标保证金的，投标人按照采购文件要求缴纳并提供缴纳凭证，否则无需提供</w:t>
            </w:r>
          </w:p>
        </w:tc>
        <w:tc>
          <w:tcPr>
            <w:tcW w:w="4238" w:type="dxa"/>
          </w:tcPr>
          <w:p>
            <w:pPr>
              <w:pStyle w:val="4"/>
            </w:pPr>
            <w:r>
              <w:t>2、如果要求缴纳投标保证金的，投标人按照采购文件要求缴纳并提供缴纳凭证，否则无需提供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3、投标人按照采购文件要求提供了《投标函》</w:t>
            </w:r>
          </w:p>
        </w:tc>
        <w:tc>
          <w:tcPr>
            <w:tcW w:w="4238" w:type="dxa"/>
          </w:tcPr>
          <w:p>
            <w:pPr>
              <w:pStyle w:val="4"/>
            </w:pPr>
            <w:r>
              <w:t>3、投标人按照采购文件要求提供了《投标函》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4、投标文件没有无效签署的</w:t>
            </w:r>
          </w:p>
        </w:tc>
        <w:tc>
          <w:tcPr>
            <w:tcW w:w="4238" w:type="dxa"/>
          </w:tcPr>
          <w:p>
            <w:pPr>
              <w:pStyle w:val="4"/>
            </w:pPr>
            <w:r>
              <w:t>4、投标文件没有无效签署的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5、按照采购文件的报价方式、 报价要求进行了报价且报价方案是唯一确定</w:t>
            </w:r>
          </w:p>
        </w:tc>
        <w:tc>
          <w:tcPr>
            <w:tcW w:w="4238" w:type="dxa"/>
          </w:tcPr>
          <w:p>
            <w:pPr>
              <w:pStyle w:val="4"/>
            </w:pPr>
            <w:r>
              <w:t>5、按照采购文件的报价方式、 报价要求进行了报价且报价方案是唯一确定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6、投标报价未超出采购预算的，如设定最高限价的，且未超出最高限价</w:t>
            </w:r>
          </w:p>
        </w:tc>
        <w:tc>
          <w:tcPr>
            <w:tcW w:w="4238" w:type="dxa"/>
          </w:tcPr>
          <w:p>
            <w:pPr>
              <w:pStyle w:val="4"/>
            </w:pPr>
            <w:r>
              <w:t>6、投标报价未超出采购预算的，如设定最高限价的，且未超出最高限价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7、投标有效期符合采购文件要求的</w:t>
            </w:r>
          </w:p>
        </w:tc>
        <w:tc>
          <w:tcPr>
            <w:tcW w:w="4238" w:type="dxa"/>
          </w:tcPr>
          <w:p>
            <w:pPr>
              <w:pStyle w:val="4"/>
            </w:pPr>
            <w:r>
              <w:t>7、投标有效期符合采购文件要求的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8、若采购文件中有★号条款和指标的，投标文件须完全响应；若采购文件中没有★号条款和指标的，则无需响应</w:t>
            </w:r>
          </w:p>
        </w:tc>
        <w:tc>
          <w:tcPr>
            <w:tcW w:w="4238" w:type="dxa"/>
          </w:tcPr>
          <w:p>
            <w:pPr>
              <w:pStyle w:val="4"/>
            </w:pPr>
            <w:r>
              <w:t>8、若采购文件中有★号条款和指标的，投标文件须完全响应；若采购文件中没有★号条款和指标的，则无需响应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9、评标委员会认为投标人没有串通投标情形</w:t>
            </w:r>
          </w:p>
        </w:tc>
        <w:tc>
          <w:tcPr>
            <w:tcW w:w="4238" w:type="dxa"/>
          </w:tcPr>
          <w:p>
            <w:pPr>
              <w:pStyle w:val="4"/>
            </w:pPr>
            <w:r>
              <w:t>9、评标委员会认为投标人没有串通投标情形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10</w:t>
            </w:r>
          </w:p>
        </w:tc>
        <w:tc>
          <w:tcPr>
            <w:tcW w:w="3178" w:type="dxa"/>
          </w:tcPr>
          <w:p>
            <w:pPr>
              <w:pStyle w:val="4"/>
            </w:pPr>
            <w:r>
              <w:t>10、投标文件未附带有采购人依法不能接受的条件</w:t>
            </w:r>
          </w:p>
        </w:tc>
        <w:tc>
          <w:tcPr>
            <w:tcW w:w="4238" w:type="dxa"/>
          </w:tcPr>
          <w:p>
            <w:pPr>
              <w:pStyle w:val="4"/>
            </w:pPr>
            <w:r>
              <w:t>10、投标文件未附带有采购人依法不能接受的条件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11</w:t>
            </w:r>
          </w:p>
        </w:tc>
        <w:tc>
          <w:tcPr>
            <w:tcW w:w="3178" w:type="dxa"/>
          </w:tcPr>
          <w:p>
            <w:pPr>
              <w:pStyle w:val="4"/>
            </w:pPr>
            <w:r>
              <w:t>11、无法律、法规、规章规定无效投标、未实质性响应的其他情形</w:t>
            </w:r>
          </w:p>
        </w:tc>
        <w:tc>
          <w:tcPr>
            <w:tcW w:w="4238" w:type="dxa"/>
          </w:tcPr>
          <w:p>
            <w:pPr>
              <w:pStyle w:val="4"/>
            </w:pPr>
            <w:r>
              <w:t>11、无法律、法规、规章规定无效投标、未实质性响应的其他情形</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保洁及运送服务管理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商务部分17.0分</w:t>
            </w:r>
          </w:p>
          <w:p>
            <w:pPr>
              <w:pStyle w:val="4"/>
            </w:pPr>
            <w:r>
              <w:t>技术部分63.0分</w:t>
            </w:r>
          </w:p>
          <w:p>
            <w:pPr>
              <w:pStyle w:val="4"/>
            </w:pPr>
            <w:r>
              <w:t>报价得分20.0分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环境保洁服务方案 (7.0分)</w:t>
            </w:r>
          </w:p>
        </w:tc>
        <w:tc>
          <w:tcPr>
            <w:tcW w:w="5076" w:type="dxa"/>
          </w:tcPr>
          <w:p>
            <w:pPr>
              <w:pStyle w:val="4"/>
              <w:jc w:val="left"/>
            </w:pPr>
            <w:r>
              <w:t>根据各投标人提供的环境保洁服务方案进行综合评审，详见技术要求“（二）环境保洁及运送服务质量及标准：2.1环境保洁服务内容”： 1.方案合理，内容详细，符合本项目物业特性的卫生管理要求，完全满足且优于项目需求的，得7分； 2.方案较合理，内容较详细，符合一般物业的卫生管理要求，完全满足项目需求的，得4分； 3.方案不合理，内容简单，不完全符合一般物业的卫生管理要求，不完全满足项目需求的，得1分； 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运送服务方案 (7.0分)</w:t>
            </w:r>
          </w:p>
        </w:tc>
        <w:tc>
          <w:tcPr>
            <w:tcW w:w="5076" w:type="dxa"/>
          </w:tcPr>
          <w:p>
            <w:pPr>
              <w:pStyle w:val="4"/>
              <w:jc w:val="left"/>
            </w:pPr>
            <w:r>
              <w:t>根据各投标人提供的运送服务方案进行综合评审，详见技术要求“（二）环境保洁及运送服务质量及标准：2.2运送服务质量要求与标准”： 1.方案合理，内容详细，符合本项目物业特性的运送管理要求，完全满足且优于项目需求的，得7分； 2.方案较合理，内容较详细，符合一般物业的运送管理要求，完全满足项目需求的，得4分； 3.方案不合理，内容简单，不完全符合一般物业的运送管理要求，不完全满足项目需求的，得1分； 4.未提供相关内容的得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日常管理及工作人员培训方案 (7.0分)</w:t>
            </w:r>
          </w:p>
        </w:tc>
        <w:tc>
          <w:tcPr>
            <w:tcW w:w="5076" w:type="dxa"/>
          </w:tcPr>
          <w:p>
            <w:pPr>
              <w:pStyle w:val="4"/>
              <w:jc w:val="left"/>
            </w:pPr>
            <w:r>
              <w:t>根据各投标人提供的日常管理及工作人员培训方案进行综合评审，详见技术要求“2.4其他说明：（一）对招标有关项目的其他说明1.5-1.19条款”： 1.方案合理，内容详细，符合本项目物业特性的管理要求，完全满足且优于项目需求的，得7分； 2.方案较合理，内容较详细，符合一般物业的管理要求，完全满足项目需求的，得4 分； 3.方案不合理，内容简单，不完全符合一般物业的管理要求，不完全满足项目需求的，得1分； 4.未提供相关内容的得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洗衣房及织布管理方案 (7.0分)</w:t>
            </w:r>
          </w:p>
        </w:tc>
        <w:tc>
          <w:tcPr>
            <w:tcW w:w="5076" w:type="dxa"/>
          </w:tcPr>
          <w:p>
            <w:pPr>
              <w:pStyle w:val="4"/>
              <w:jc w:val="left"/>
            </w:pPr>
            <w:r>
              <w:t>根据各投标人提供的洗衣房及织布管理方案进行综合评审，详见技术要求“（二）环境保洁及运送服务质量及标准：2.3洗衣房及织布管理”： 1.方案合理，内容详细，符合本项目物业特性的洗衣房及织布管理要求，完全满足且优于项目需求的，得7分； 2.方案较合理，内容较详细，符合一般物业的洗衣房及织布管理要求，完全满足项目需求的，得4分； 3.方案不合理，内容简单，不完全符合一般物业的洗衣房及织布管理要求，不完全满足项目需求的，得1分； 4.未提供相关内容的得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投入设备情况 (9.0分)</w:t>
            </w:r>
          </w:p>
        </w:tc>
        <w:tc>
          <w:tcPr>
            <w:tcW w:w="5076" w:type="dxa"/>
          </w:tcPr>
          <w:p>
            <w:pPr>
              <w:pStyle w:val="4"/>
              <w:jc w:val="left"/>
            </w:pPr>
            <w:r>
              <w:t>根据各投标人使用的设备进行综合评审，详见技术要求“2.4其他说明：（一）对招标有关项目的其他说明1.4条款”： 使用的设备（对讲机、全自动多功能洗地机、手推式电瓶抛光机、带前置水扒吸尘吸水机、冷水高压清洗机、蒸汽/电加热洗涤机、蒸汽/电加热烘干机、智能医疗废物转运车、移动智能终端设备手持机），提供上述在用设备的凭证，每提供1种设备购买凭证得1分，最高得9分（提供发票扫描件加盖公章，发票抬头应为投标人或投标人下属分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项目主要负责人资历 (8.0分)</w:t>
            </w:r>
          </w:p>
        </w:tc>
        <w:tc>
          <w:tcPr>
            <w:tcW w:w="5076" w:type="dxa"/>
          </w:tcPr>
          <w:p>
            <w:pPr>
              <w:pStyle w:val="4"/>
              <w:jc w:val="left"/>
            </w:pPr>
            <w:r>
              <w:t>项目负责人1人： 1.具有人社部门颁发的人力资源或物业管理相关的中级或中级以上的职业资格证书得3分，初级职业资格证书得1分，未提供不得分。 2.具有本科或以上学历，得2分；具有专科学历得1分；学历证明需提供学历证书复印件或“中国高等教育学生学信网（学信网）”的《教育部学历证书电子注册备案表》。 3.具有保洁物业管理经验8年及以上管理经验得3分；5年以上8年以下的管理经验得2分；管理经验5年得1分；5年以下或无提供不得分。相关工作经验的证明由投标人出具声明文件,声明内容应包含该人员从事对应工作内容及起止时间并加盖公章。 在投标文件中需提供持证人的证书复印件、社保局出具的开标当月之前6个月中任意一个月社保缴纳证明及加盖公章的相关工作经验证明材料，未提供不得分。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项目其他管理人员资历 (12.0分)</w:t>
            </w:r>
          </w:p>
        </w:tc>
        <w:tc>
          <w:tcPr>
            <w:tcW w:w="5076" w:type="dxa"/>
          </w:tcPr>
          <w:p>
            <w:pPr>
              <w:pStyle w:val="4"/>
              <w:jc w:val="left"/>
            </w:pPr>
            <w:r>
              <w:t>保洁主管2人： 1.具备大专或以上学历，得1分/人；高中或职中学历得0.5分/人；本项最高得2分；(提供学历证书复印件或中国高等教育学生信息网(学信网)的《中国高等教育学历认证报告》） 2.有医院感染控制知识，具有医院感染管理岗位培训合格证的，得1分/人；本项最高得2分； 3、具有保洁管理经验3年（含3年）及以上管理经验得1分/人，本项最高得2分；3年以下或无提供不得分。相关工作经验的证明由投标人出具声明文件,声明内容应包含该人员从事对应工作内容及起止时间并加盖公章。 运送主管2人： 1.具备大专或以上学历得1分/人；高中或职中学历得0.5分/人；本项最高得2分；(提供学历证书复印件或中国高等教育学生信息网(学信网)的《中国高等教育学历认证报告》） 2、有应急救护技能，具有应急救护技能岗位培训合格证的，得1分/人；本项最高得2分； 3、具有运送管理经验3年（含3年）及以上管理经验得1分/分，本项最高得2分；3年以下或无提供不得分。相关工作经验的证明由投标人出具声明文件,声明内容应包含该人员从事对应工作内容及起止时间并加盖公章。 注：在投标文件中需提供持证人的证书复印件、社保局出具的开标当月之前6个月中任意一个月社保缴纳证明，未提供不得分。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信息化管理水平 (6.0分)</w:t>
            </w:r>
          </w:p>
        </w:tc>
        <w:tc>
          <w:tcPr>
            <w:tcW w:w="5076" w:type="dxa"/>
          </w:tcPr>
          <w:p>
            <w:pPr>
              <w:pStyle w:val="4"/>
              <w:jc w:val="left"/>
            </w:pPr>
            <w:r>
              <w:t>对比投标人拟投入医院后勤信息化管理服务能力，投标人能提供医院后勤服务系统或相关支持服务系统与医院系统对接，每提供一个有关医院后勤保洁、运送服务方面的信息化服务系统得1分，本项最高得分不超过6分。需同时提供由国家版权局颁发的相关证明材料和系统有关医院后勤保洁或运送服务功能截图，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项目业绩 (8.0分)</w:t>
            </w:r>
          </w:p>
        </w:tc>
        <w:tc>
          <w:tcPr>
            <w:tcW w:w="5076" w:type="dxa"/>
          </w:tcPr>
          <w:p>
            <w:pPr>
              <w:pStyle w:val="4"/>
              <w:jc w:val="left"/>
            </w:pPr>
            <w:r>
              <w:t>根据投标人2022年1月1日至今取得的同类项目业绩，每提供一个有效的项目业绩得 2分。 注1：业绩时间以合同签订时间为准。 注2：此项最高得8分。投标人应提供合同关键页复印件（合同关键页包括：合同封面、服务内容页及双方签章页；加盖投标人公章）。 注3：同一项目不同年份的合同按一份业绩计算，不重复计算业绩分数。同一业主在同一招标/采购项目中续签的合同不重复计分。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客户评价 (4.0分)</w:t>
            </w:r>
          </w:p>
        </w:tc>
        <w:tc>
          <w:tcPr>
            <w:tcW w:w="5076" w:type="dxa"/>
          </w:tcPr>
          <w:p>
            <w:pPr>
              <w:pStyle w:val="4"/>
              <w:jc w:val="left"/>
            </w:pPr>
            <w:r>
              <w:t>2022年1月1日至今的项目（必须为以上投标人业绩情况中的有效计分的业绩，须提供评价单位的联系人及联系方式） 获得项目用户考核评价为正面评价（优秀，优良，良好，满意相当于类似评价），每份得1分，同一项目按一份评价计算，不重复计算分数，此项最高得4分。 注：提供合同甲方或者甲方负责物业服务工作主管/分管部门盖章的评价文件或者考核验收文件，不提供不得分。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认证情况 (5.0分)</w:t>
            </w:r>
          </w:p>
        </w:tc>
        <w:tc>
          <w:tcPr>
            <w:tcW w:w="5076" w:type="dxa"/>
          </w:tcPr>
          <w:p>
            <w:pPr>
              <w:pStyle w:val="4"/>
              <w:jc w:val="left"/>
            </w:pPr>
            <w:r>
              <w:t>1.投标人通过以下管理体系认证：具有质量管理体系、环境管理体系、职业健康安全管理体系，每提供一个得有效认证得1分，最高3分。 2.投标人通过以下服务体系认证：物业服务认证，得2分。 注：需同时提供以上证书原件扫描件及国家认证认可监督管理委员的“全国认证认可信息公共服务平台”（http://cx.cnca.cn）查询结果截图，失效、撤销或暂停的对应证书项不得分。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(20.0分)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b/>
          <w:sz w:val="84"/>
        </w:rPr>
        <w:t>保洁及运送服务管理合同</w:t>
      </w:r>
    </w:p>
    <w:p>
      <w:pPr>
        <w:pStyle w:val="4"/>
        <w:jc w:val="both"/>
      </w:pPr>
      <w:r>
        <w:rPr>
          <w:b/>
          <w:sz w:val="30"/>
        </w:rPr>
        <w:t>合同名称：</w:t>
      </w:r>
    </w:p>
    <w:p>
      <w:pPr>
        <w:pStyle w:val="4"/>
        <w:spacing w:after="120"/>
        <w:jc w:val="both"/>
      </w:pPr>
      <w:r>
        <w:rPr>
          <w:b/>
          <w:sz w:val="30"/>
        </w:rPr>
        <w:t xml:space="preserve">        合同编号：</w:t>
      </w:r>
    </w:p>
    <w:p>
      <w:pPr>
        <w:pStyle w:val="4"/>
        <w:ind w:firstLine="1205"/>
        <w:jc w:val="both"/>
      </w:pPr>
      <w:r>
        <w:rPr>
          <w:b/>
          <w:sz w:val="30"/>
        </w:rPr>
        <w:t>甲方：</w:t>
      </w:r>
    </w:p>
    <w:p>
      <w:pPr>
        <w:pStyle w:val="4"/>
        <w:spacing w:after="120"/>
        <w:ind w:firstLine="1205"/>
        <w:jc w:val="both"/>
      </w:pPr>
      <w:r>
        <w:rPr>
          <w:b/>
          <w:sz w:val="30"/>
        </w:rPr>
        <w:t>地址：</w:t>
      </w:r>
    </w:p>
    <w:p>
      <w:pPr>
        <w:pStyle w:val="4"/>
        <w:ind w:firstLine="1205"/>
        <w:jc w:val="both"/>
      </w:pPr>
      <w:r>
        <w:rPr>
          <w:b/>
          <w:sz w:val="30"/>
        </w:rPr>
        <w:t>乙方：</w:t>
      </w:r>
    </w:p>
    <w:p>
      <w:pPr>
        <w:pStyle w:val="4"/>
        <w:spacing w:after="120"/>
        <w:ind w:firstLine="1205"/>
        <w:jc w:val="both"/>
      </w:pPr>
      <w:r>
        <w:rPr>
          <w:b/>
          <w:sz w:val="30"/>
        </w:rPr>
        <w:t>地址：</w:t>
      </w:r>
    </w:p>
    <w:p>
      <w:pPr>
        <w:pStyle w:val="4"/>
        <w:ind w:firstLine="1205"/>
        <w:jc w:val="both"/>
      </w:pPr>
      <w:r>
        <w:rPr>
          <w:b/>
          <w:sz w:val="30"/>
        </w:rPr>
        <w:t>合同签订地：惠州</w:t>
      </w:r>
    </w:p>
    <w:p>
      <w:pPr>
        <w:pStyle w:val="4"/>
        <w:spacing w:after="120"/>
        <w:jc w:val="both"/>
      </w:pPr>
      <w:r>
        <w:rPr>
          <w:sz w:val="28"/>
        </w:rPr>
        <w:t>根据《中华人民共和国政府采购法》和《中华人民共和国民法典》规定，以及物业服务行业的相关规则，在平等、自愿、协商一致的基础，就甲方（采购人）委托乙方（中标人)对（项目名称）实行一体化、专型化的物业管理服务订立本合同。</w:t>
      </w:r>
    </w:p>
    <w:p>
      <w:pPr>
        <w:pStyle w:val="4"/>
        <w:jc w:val="both"/>
      </w:pPr>
      <w:r>
        <w:rPr>
          <w:b/>
          <w:sz w:val="28"/>
        </w:rPr>
        <w:t>第一条　服务项目</w:t>
      </w:r>
    </w:p>
    <w:p>
      <w:pPr>
        <w:pStyle w:val="4"/>
        <w:ind w:firstLine="560"/>
        <w:jc w:val="both"/>
      </w:pPr>
      <w:r>
        <w:rPr>
          <w:sz w:val="28"/>
        </w:rPr>
        <w:t>1、服务范围：惠州市第二妇幼保健院全院（上排院区、江北分院、上排分院、江北新院），由于医院江北新院项目正在建设中，涉及江北新院与江北分院搬迁问题，根据医院规划部署按阶段完成，在服务过程中涉及保洁人员院区之间调整，要求乙方根据医院部署完成相关保洁物业人员调整，具体服务人员以按实际岗位工时进行计算。</w:t>
      </w:r>
    </w:p>
    <w:p>
      <w:pPr>
        <w:pStyle w:val="4"/>
        <w:ind w:firstLine="560"/>
        <w:jc w:val="both"/>
      </w:pPr>
      <w:r>
        <w:rPr>
          <w:sz w:val="28"/>
        </w:rPr>
        <w:t>2、服务内容：保洁及物资配送。具体服务要求以招标文件为基准，甲方保留适当调整的权利。</w:t>
      </w:r>
    </w:p>
    <w:p>
      <w:pPr>
        <w:pStyle w:val="4"/>
        <w:jc w:val="both"/>
      </w:pPr>
      <w:r>
        <w:rPr>
          <w:b/>
          <w:sz w:val="28"/>
        </w:rPr>
        <w:t>第二条　服务期限</w:t>
      </w:r>
    </w:p>
    <w:p>
      <w:pPr>
        <w:pStyle w:val="4"/>
        <w:ind w:firstLine="560"/>
        <w:jc w:val="both"/>
      </w:pPr>
      <w:r>
        <w:rPr>
          <w:sz w:val="21"/>
          <w:u w:val="single"/>
        </w:rPr>
        <w:t xml:space="preserve">      </w:t>
      </w:r>
      <w:r>
        <w:rPr>
          <w:sz w:val="28"/>
        </w:rPr>
        <w:t>年</w:t>
      </w:r>
      <w:r>
        <w:rPr>
          <w:sz w:val="21"/>
          <w:u w:val="single"/>
        </w:rPr>
        <w:t xml:space="preserve">    </w:t>
      </w:r>
      <w:r>
        <w:rPr>
          <w:sz w:val="28"/>
        </w:rPr>
        <w:t>月</w:t>
      </w:r>
      <w:r>
        <w:rPr>
          <w:sz w:val="21"/>
          <w:u w:val="single"/>
        </w:rPr>
        <w:t xml:space="preserve">      </w:t>
      </w:r>
      <w:r>
        <w:rPr>
          <w:sz w:val="28"/>
        </w:rPr>
        <w:t>日至</w:t>
      </w:r>
      <w:r>
        <w:rPr>
          <w:sz w:val="21"/>
          <w:u w:val="single"/>
        </w:rPr>
        <w:t xml:space="preserve">     </w:t>
      </w:r>
      <w:r>
        <w:rPr>
          <w:sz w:val="28"/>
        </w:rPr>
        <w:t>年</w:t>
      </w:r>
      <w:r>
        <w:rPr>
          <w:sz w:val="21"/>
          <w:u w:val="single"/>
        </w:rPr>
        <w:t xml:space="preserve">    </w:t>
      </w:r>
      <w:r>
        <w:rPr>
          <w:sz w:val="28"/>
        </w:rPr>
        <w:t>月</w:t>
      </w:r>
      <w:r>
        <w:rPr>
          <w:sz w:val="21"/>
          <w:u w:val="single"/>
        </w:rPr>
        <w:t xml:space="preserve">     </w:t>
      </w:r>
      <w:r>
        <w:rPr>
          <w:sz w:val="28"/>
        </w:rPr>
        <w:t>日（即：服务期为2年）。</w:t>
      </w:r>
    </w:p>
    <w:p>
      <w:pPr>
        <w:pStyle w:val="4"/>
        <w:jc w:val="both"/>
      </w:pPr>
      <w:r>
        <w:rPr>
          <w:b/>
          <w:sz w:val="28"/>
        </w:rPr>
        <w:t>第三条　服务费用</w:t>
      </w:r>
    </w:p>
    <w:p>
      <w:pPr>
        <w:pStyle w:val="4"/>
        <w:ind w:firstLine="560"/>
        <w:jc w:val="both"/>
      </w:pPr>
      <w:r>
        <w:rPr>
          <w:sz w:val="28"/>
        </w:rPr>
        <w:t>1、合同金额为（大写）：</w:t>
      </w:r>
      <w:r>
        <w:rPr>
          <w:sz w:val="21"/>
          <w:u w:val="single"/>
        </w:rPr>
        <w:t xml:space="preserve">        </w:t>
      </w:r>
      <w:r>
        <w:rPr>
          <w:sz w:val="28"/>
        </w:rPr>
        <w:t>（￥</w:t>
      </w:r>
      <w:r>
        <w:rPr>
          <w:sz w:val="21"/>
          <w:u w:val="single"/>
        </w:rPr>
        <w:t xml:space="preserve">        </w:t>
      </w:r>
      <w:r>
        <w:rPr>
          <w:sz w:val="28"/>
        </w:rPr>
        <w:t>元）人民币。</w:t>
      </w:r>
    </w:p>
    <w:p>
      <w:pPr>
        <w:pStyle w:val="4"/>
        <w:ind w:left="420"/>
        <w:jc w:val="both"/>
      </w:pPr>
      <w:r>
        <w:rPr>
          <w:sz w:val="28"/>
        </w:rPr>
        <w:t>明细如下：</w:t>
      </w:r>
    </w:p>
    <w:p>
      <w:pPr>
        <w:pStyle w:val="4"/>
        <w:ind w:firstLine="560"/>
        <w:jc w:val="both"/>
      </w:pPr>
      <w:r>
        <w:rPr>
          <w:sz w:val="28"/>
        </w:rPr>
        <w:t>2、合同金额的调整：</w:t>
      </w:r>
      <w:r>
        <w:rPr>
          <w:sz w:val="28"/>
          <w:u w:val="single"/>
        </w:rPr>
        <w:t>服务范围及内容变更</w:t>
      </w:r>
    </w:p>
    <w:p>
      <w:pPr>
        <w:pStyle w:val="4"/>
        <w:ind w:firstLine="560"/>
        <w:jc w:val="both"/>
      </w:pPr>
      <w:r>
        <w:rPr>
          <w:sz w:val="28"/>
        </w:rPr>
        <w:t>本合同金额是根据招标文件中所列的服务区域及面积、乙方工作职责说明、服务人员职责、设备和具体工作任务而确定的。如果:</w:t>
      </w:r>
    </w:p>
    <w:p>
      <w:pPr>
        <w:pStyle w:val="4"/>
        <w:ind w:firstLine="560"/>
        <w:jc w:val="both"/>
      </w:pPr>
      <w:r>
        <w:rPr>
          <w:sz w:val="28"/>
        </w:rPr>
        <w:t>a.乙方或者服务人员提供服务的区域、区域用途、服务项目、设备或工作任务的总量以任何方式出现增加或减少的情况，则本合同金额也要作相应的增加或减少；</w:t>
      </w:r>
    </w:p>
    <w:p>
      <w:pPr>
        <w:pStyle w:val="4"/>
        <w:ind w:firstLine="560"/>
        <w:jc w:val="both"/>
      </w:pPr>
      <w:r>
        <w:rPr>
          <w:sz w:val="28"/>
        </w:rPr>
        <w:t>b.为了保障管理服务工作安全、及时、有效并确保管理服务质量和较高的医护人员、患者满意度，当甲方工作量增加，而导致必须增加服务人员数量或工时时，则经双方协商同意应增加服务人员并相应增加合同金额。上述调整应在增加发生后甲方第一次支付合同金额时开始执行。</w:t>
      </w:r>
    </w:p>
    <w:p>
      <w:pPr>
        <w:pStyle w:val="4"/>
        <w:spacing w:after="120"/>
        <w:ind w:firstLine="560"/>
        <w:jc w:val="both"/>
      </w:pPr>
      <w:r>
        <w:rPr>
          <w:sz w:val="28"/>
        </w:rPr>
        <w:t>c.以上调整双方协商一致，但增加合同总金额不应超过主合同总金额10%且应签订补充协议。</w:t>
      </w:r>
    </w:p>
    <w:p>
      <w:pPr>
        <w:pStyle w:val="4"/>
        <w:jc w:val="both"/>
      </w:pPr>
      <w:r>
        <w:rPr>
          <w:b/>
          <w:sz w:val="28"/>
        </w:rPr>
        <w:t>第四条服务内容</w:t>
      </w:r>
    </w:p>
    <w:p>
      <w:pPr>
        <w:pStyle w:val="4"/>
        <w:ind w:firstLine="560"/>
        <w:jc w:val="both"/>
      </w:pPr>
      <w:r>
        <w:rPr>
          <w:sz w:val="28"/>
        </w:rPr>
        <w:t>乙方应培训、管理和指导其员工向甲方提供各项服务内容，主要服务职能包括保洁、运送、洗衣等。人员岗位安排根据医院业务开展所需服务为准。</w:t>
      </w:r>
    </w:p>
    <w:p>
      <w:pPr>
        <w:pStyle w:val="4"/>
        <w:ind w:firstLine="560"/>
        <w:jc w:val="both"/>
      </w:pPr>
      <w:r>
        <w:rPr>
          <w:sz w:val="28"/>
        </w:rPr>
        <w:t>关于相关服务的材料与物品，具体要求如下：</w:t>
      </w:r>
    </w:p>
    <w:p>
      <w:pPr>
        <w:pStyle w:val="4"/>
        <w:ind w:firstLine="560"/>
        <w:jc w:val="both"/>
      </w:pPr>
      <w:r>
        <w:rPr>
          <w:sz w:val="28"/>
        </w:rPr>
        <w:t>1、保洁：</w:t>
      </w:r>
    </w:p>
    <w:p>
      <w:pPr>
        <w:pStyle w:val="4"/>
        <w:spacing w:before="105" w:after="105"/>
        <w:ind w:firstLine="560"/>
        <w:jc w:val="left"/>
      </w:pPr>
      <w:r>
        <w:rPr>
          <w:sz w:val="28"/>
        </w:rPr>
        <w:t>（1）乙方负责所有有关环境保洁所需的清洁、洗涤药剂，地面和物体表面擦拭用的清洁剂，地面养护药剂、材料、医疗和生活垃圾袋和保洁工具等耗材等。备好所有有关环境保洁所需的清洁、洗涤药剂、卫生间除臭剂、生活垃圾袋（含雨伞袋）和医疗垃圾袋（符合院感要求），地面和物体表面擦拭用的消毒剂，地面养护剂、材料等保洁工作的工具耗材。</w:t>
      </w:r>
    </w:p>
    <w:p>
      <w:pPr>
        <w:pStyle w:val="4"/>
        <w:ind w:firstLine="560"/>
        <w:jc w:val="both"/>
      </w:pPr>
      <w:r>
        <w:rPr>
          <w:sz w:val="28"/>
        </w:rPr>
        <w:t>2、运送：</w:t>
      </w:r>
    </w:p>
    <w:p>
      <w:pPr>
        <w:pStyle w:val="4"/>
        <w:ind w:firstLine="560"/>
        <w:jc w:val="both"/>
      </w:pPr>
      <w:r>
        <w:rPr>
          <w:sz w:val="28"/>
        </w:rPr>
        <w:t>（1）甲方提供平车、轮椅等设备，乙方按医院规定要求提供其它所有的运送工具。</w:t>
      </w:r>
    </w:p>
    <w:p>
      <w:pPr>
        <w:pStyle w:val="4"/>
        <w:ind w:firstLine="560"/>
        <w:jc w:val="both"/>
      </w:pPr>
      <w:r>
        <w:rPr>
          <w:sz w:val="28"/>
        </w:rPr>
        <w:t>（2）乙方应爱护使用运送工具、设备，但自然损耗、零配件更换维修由甲方负责。</w:t>
      </w:r>
    </w:p>
    <w:p>
      <w:pPr>
        <w:pStyle w:val="4"/>
        <w:ind w:firstLine="560"/>
        <w:jc w:val="both"/>
      </w:pPr>
      <w:r>
        <w:rPr>
          <w:sz w:val="28"/>
        </w:rPr>
        <w:t>（3）乙方提供相应的劳动保护用品如手套、口罩等，但不包括对服务人员进入特殊区域穿戴的保护性用品。</w:t>
      </w:r>
    </w:p>
    <w:p>
      <w:pPr>
        <w:pStyle w:val="4"/>
        <w:spacing w:after="120"/>
        <w:ind w:firstLine="840"/>
        <w:jc w:val="both"/>
      </w:pPr>
      <w:r>
        <w:rPr>
          <w:sz w:val="28"/>
        </w:rPr>
        <w:t>3、洗衣</w:t>
      </w:r>
    </w:p>
    <w:p>
      <w:pPr>
        <w:pStyle w:val="4"/>
        <w:ind w:firstLine="560"/>
        <w:jc w:val="both"/>
      </w:pPr>
      <w:r>
        <w:rPr>
          <w:sz w:val="28"/>
        </w:rPr>
        <w:t>乙方负责提供洗衣设备及维修费用，并负责所需漂白水、洗衣粉等洗衣用料，</w:t>
      </w:r>
    </w:p>
    <w:p>
      <w:pPr>
        <w:pStyle w:val="4"/>
        <w:jc w:val="both"/>
      </w:pPr>
      <w:r>
        <w:rPr>
          <w:b/>
          <w:sz w:val="28"/>
        </w:rPr>
        <w:t>第五条　甲、乙双方的责任</w:t>
      </w:r>
    </w:p>
    <w:p>
      <w:pPr>
        <w:pStyle w:val="4"/>
        <w:ind w:firstLine="560"/>
        <w:jc w:val="both"/>
      </w:pPr>
      <w:r>
        <w:rPr>
          <w:sz w:val="28"/>
        </w:rPr>
        <w:t>一、甲方责任</w:t>
      </w:r>
    </w:p>
    <w:p>
      <w:pPr>
        <w:pStyle w:val="4"/>
        <w:ind w:firstLine="560"/>
        <w:jc w:val="both"/>
      </w:pPr>
      <w:r>
        <w:rPr>
          <w:sz w:val="28"/>
        </w:rPr>
        <w:t>1、按合同约定向乙方支付服务费。</w:t>
      </w:r>
    </w:p>
    <w:p>
      <w:pPr>
        <w:pStyle w:val="4"/>
        <w:ind w:firstLine="560"/>
        <w:jc w:val="both"/>
      </w:pPr>
      <w:r>
        <w:rPr>
          <w:sz w:val="28"/>
        </w:rPr>
        <w:t>2、无偿为乙方提供作业所需用水、电等能源。</w:t>
      </w:r>
    </w:p>
    <w:p>
      <w:pPr>
        <w:pStyle w:val="4"/>
        <w:ind w:firstLine="560"/>
        <w:jc w:val="both"/>
      </w:pPr>
      <w:r>
        <w:rPr>
          <w:sz w:val="28"/>
        </w:rPr>
        <w:t>3、对乙方服务质量及时监督检查及考核，发现质量问题及时要求乙方返工，直至达到质量标准。</w:t>
      </w:r>
    </w:p>
    <w:p>
      <w:pPr>
        <w:pStyle w:val="4"/>
        <w:ind w:firstLine="560"/>
        <w:jc w:val="both"/>
      </w:pPr>
      <w:r>
        <w:rPr>
          <w:sz w:val="28"/>
        </w:rPr>
        <w:t>4、为乙方提供必要的物料仓库、办公用房等设施。</w:t>
      </w:r>
    </w:p>
    <w:p>
      <w:pPr>
        <w:pStyle w:val="4"/>
        <w:ind w:firstLine="560"/>
        <w:jc w:val="both"/>
      </w:pPr>
      <w:r>
        <w:rPr>
          <w:sz w:val="28"/>
        </w:rPr>
        <w:t>5、协助乙方解决工作现场遇到的特殊问题。</w:t>
      </w:r>
    </w:p>
    <w:p>
      <w:pPr>
        <w:pStyle w:val="4"/>
        <w:ind w:firstLine="560"/>
        <w:jc w:val="both"/>
      </w:pPr>
      <w:r>
        <w:rPr>
          <w:sz w:val="28"/>
        </w:rPr>
        <w:t>二、乙方责任</w:t>
      </w:r>
    </w:p>
    <w:p>
      <w:pPr>
        <w:pStyle w:val="4"/>
        <w:ind w:firstLine="560"/>
        <w:jc w:val="both"/>
      </w:pPr>
      <w:r>
        <w:rPr>
          <w:sz w:val="28"/>
        </w:rPr>
        <w:t>1、乙方收到甲方进驻现场书面通知后，要积极做好准备，准时进驻现场。</w:t>
      </w:r>
    </w:p>
    <w:p>
      <w:pPr>
        <w:pStyle w:val="4"/>
        <w:ind w:firstLine="560"/>
        <w:jc w:val="both"/>
      </w:pPr>
      <w:r>
        <w:rPr>
          <w:sz w:val="28"/>
        </w:rPr>
        <w:t>2、乙方在甲方设立办公场所。办公场所在业务上受乙方和甲方双重监督、领导。</w:t>
      </w:r>
    </w:p>
    <w:p>
      <w:pPr>
        <w:pStyle w:val="4"/>
        <w:ind w:firstLine="560"/>
        <w:jc w:val="both"/>
      </w:pPr>
      <w:r>
        <w:rPr>
          <w:sz w:val="28"/>
        </w:rPr>
        <w:t>3、认真完成甲方招标文件内规定的各项标准，确保卫生质量，达到甲方满意。</w:t>
      </w:r>
    </w:p>
    <w:p>
      <w:pPr>
        <w:pStyle w:val="4"/>
        <w:ind w:firstLine="560"/>
        <w:jc w:val="both"/>
      </w:pPr>
      <w:r>
        <w:rPr>
          <w:sz w:val="28"/>
        </w:rPr>
        <w:t>4、乙方应根据现场需要合理安排人员岗位（包括替班、轮休岗位），保证各项工作质量。乙方配置人员应提交甲方审核同意后执行。</w:t>
      </w:r>
    </w:p>
    <w:p>
      <w:pPr>
        <w:pStyle w:val="4"/>
        <w:ind w:firstLine="560"/>
        <w:jc w:val="both"/>
      </w:pPr>
      <w:r>
        <w:rPr>
          <w:sz w:val="28"/>
        </w:rPr>
        <w:t>5、乙方人员要统一着装，衣帽整洁，佩戴本公司工牌，进入工作现场的出入证由甲方配发，遵守甲方各项内部规章制度，乙方不得在甲方服务区域内未经甲方同意擅自承揽业务。</w:t>
      </w:r>
    </w:p>
    <w:p>
      <w:pPr>
        <w:pStyle w:val="4"/>
        <w:ind w:firstLine="560"/>
        <w:jc w:val="both"/>
      </w:pPr>
      <w:r>
        <w:rPr>
          <w:sz w:val="28"/>
        </w:rPr>
        <w:t>6、乙方员工在工作期间不得随意离开工作岗位，若乙方主管负责人不在作业现场，乙方临时负责人应接受甲方主管负责人的监督指导，并按甲方的工作标准进行检查。</w:t>
      </w:r>
    </w:p>
    <w:p>
      <w:pPr>
        <w:pStyle w:val="4"/>
        <w:ind w:firstLine="560"/>
        <w:jc w:val="both"/>
      </w:pPr>
      <w:r>
        <w:rPr>
          <w:sz w:val="28"/>
        </w:rPr>
        <w:t>7、乙方用工应严格遵照《中华人民共和国劳动法》聘用员工，并与员工签订《劳动合同》，办理各种用工手续，若乙方用工问题导致甲方损失（如劳动纠纷赔偿），乙方需全额承担。</w:t>
      </w:r>
    </w:p>
    <w:p>
      <w:pPr>
        <w:pStyle w:val="4"/>
        <w:ind w:firstLine="560"/>
        <w:jc w:val="both"/>
      </w:pPr>
      <w:r>
        <w:rPr>
          <w:sz w:val="28"/>
        </w:rPr>
        <w:t>8、乙方教育员工爱护甲方内建筑物及室内各种设施。注意节水节电。</w:t>
      </w:r>
    </w:p>
    <w:p>
      <w:pPr>
        <w:pStyle w:val="4"/>
        <w:ind w:firstLine="560"/>
        <w:jc w:val="both"/>
      </w:pPr>
      <w:r>
        <w:rPr>
          <w:sz w:val="28"/>
        </w:rPr>
        <w:t>9、乙方作业人员须经专业培训和具有专业知识人员担任，加强对于员工的岗前培训和提高服务意识，加强管理人员的培训，不断提高服务意识。</w:t>
      </w:r>
    </w:p>
    <w:p>
      <w:pPr>
        <w:pStyle w:val="4"/>
        <w:ind w:firstLine="560"/>
        <w:jc w:val="both"/>
      </w:pPr>
      <w:r>
        <w:rPr>
          <w:sz w:val="28"/>
        </w:rPr>
        <w:t>10、乙方作业应遵守甲方规定的时间要求，如有变更，双方协商解决。</w:t>
      </w:r>
    </w:p>
    <w:p>
      <w:pPr>
        <w:pStyle w:val="4"/>
        <w:ind w:firstLine="560"/>
        <w:jc w:val="both"/>
      </w:pPr>
      <w:r>
        <w:rPr>
          <w:sz w:val="28"/>
        </w:rPr>
        <w:t>11、乙方服务人员须符合体检健康合格标准。</w:t>
      </w:r>
    </w:p>
    <w:p>
      <w:pPr>
        <w:pStyle w:val="4"/>
        <w:ind w:firstLine="560"/>
        <w:jc w:val="both"/>
      </w:pPr>
      <w:r>
        <w:rPr>
          <w:sz w:val="28"/>
        </w:rPr>
        <w:t>12、如果甲方基于适当的理由确认乙方的任何人员为甲方所不能接受，甲方可以书面形式要求撤换该人员，乙方在收到该通知后，可以在合理的时间（一个月内）内向甲方提供其可合理接受的替换人员。</w:t>
      </w:r>
    </w:p>
    <w:p>
      <w:pPr>
        <w:pStyle w:val="4"/>
        <w:jc w:val="both"/>
      </w:pPr>
      <w:r>
        <w:rPr>
          <w:b/>
          <w:sz w:val="28"/>
        </w:rPr>
        <w:t>第六条　付款方式</w:t>
      </w:r>
    </w:p>
    <w:p>
      <w:pPr>
        <w:pStyle w:val="4"/>
        <w:ind w:firstLine="560"/>
        <w:jc w:val="both"/>
      </w:pPr>
      <w:r>
        <w:rPr>
          <w:sz w:val="28"/>
        </w:rPr>
        <w:t>1、按月支付，乙方与甲方须在每月的</w:t>
      </w:r>
      <w:r>
        <w:rPr>
          <w:sz w:val="21"/>
          <w:u w:val="single"/>
        </w:rPr>
        <w:t xml:space="preserve"> </w:t>
      </w:r>
      <w:r>
        <w:rPr>
          <w:sz w:val="28"/>
          <w:u w:val="single"/>
        </w:rPr>
        <w:t>10</w:t>
      </w:r>
      <w:r>
        <w:rPr>
          <w:sz w:val="21"/>
          <w:u w:val="single"/>
        </w:rPr>
        <w:t xml:space="preserve">  </w:t>
      </w:r>
      <w:r>
        <w:rPr>
          <w:sz w:val="28"/>
        </w:rPr>
        <w:t>日前共同核对上月服务费的相关数据及资料，双方核对无误后，乙方开具有效、合法的等额服务发票，甲方应在收到发票之日起</w:t>
      </w:r>
      <w:r>
        <w:rPr>
          <w:sz w:val="28"/>
          <w:u w:val="single"/>
        </w:rPr>
        <w:t>30</w:t>
      </w:r>
      <w:r>
        <w:rPr>
          <w:sz w:val="21"/>
          <w:u w:val="single"/>
        </w:rPr>
        <w:t xml:space="preserve">  </w:t>
      </w:r>
      <w:r>
        <w:rPr>
          <w:sz w:val="28"/>
        </w:rPr>
        <w:t>个工作日内以银行转账方式向乙方支付上月物业管理服务费用。</w:t>
      </w:r>
    </w:p>
    <w:p>
      <w:pPr>
        <w:pStyle w:val="4"/>
        <w:ind w:firstLine="560"/>
        <w:jc w:val="both"/>
      </w:pPr>
      <w:r>
        <w:rPr>
          <w:sz w:val="28"/>
        </w:rPr>
        <w:t>2、合同履行过程中，如因甲方需要，乙方为甲方提供合同规定范围以外的有偿特约服务，甲方应向乙方支付有偿服务费，费用标准双方协商而定，乙方有责任向甲方开具有偿特约服务的发票或收据。</w:t>
      </w:r>
    </w:p>
    <w:p>
      <w:pPr>
        <w:pStyle w:val="4"/>
        <w:jc w:val="both"/>
      </w:pPr>
      <w:r>
        <w:rPr>
          <w:b/>
          <w:sz w:val="28"/>
        </w:rPr>
        <w:t>第七条　工作总结与计划</w:t>
      </w:r>
    </w:p>
    <w:p>
      <w:pPr>
        <w:pStyle w:val="4"/>
        <w:jc w:val="both"/>
      </w:pPr>
      <w:r>
        <w:rPr>
          <w:sz w:val="28"/>
        </w:rPr>
        <w:t>　　乙方派出一名主管负责人负责工作质量检查和工作过程中紧急情况的处理，并于每月28日之前将当月的工作总结和下月的工计划以书面形式报告甲方。</w:t>
      </w:r>
    </w:p>
    <w:p>
      <w:pPr>
        <w:pStyle w:val="4"/>
        <w:jc w:val="both"/>
      </w:pPr>
      <w:r>
        <w:rPr>
          <w:b/>
          <w:sz w:val="28"/>
        </w:rPr>
        <w:t>第八条　质量承诺</w:t>
      </w:r>
    </w:p>
    <w:p>
      <w:pPr>
        <w:pStyle w:val="4"/>
        <w:ind w:firstLine="560"/>
        <w:jc w:val="both"/>
      </w:pPr>
      <w:r>
        <w:rPr>
          <w:sz w:val="28"/>
        </w:rPr>
        <w:t>1、乙方保证认真完成招标文件所规定的作业项目和标准，确保工作质量，达到客户满意，并每月征求临床工作人员对服务工作的意见，并将结果向甲方积极汇报。</w:t>
      </w:r>
    </w:p>
    <w:p>
      <w:pPr>
        <w:pStyle w:val="4"/>
        <w:ind w:firstLine="560"/>
        <w:jc w:val="both"/>
      </w:pPr>
      <w:r>
        <w:rPr>
          <w:sz w:val="28"/>
        </w:rPr>
        <w:t>2、乙方在承担的工作范围内，需力保达到服务标准并不断提高服务质量，甲方每月进行满意度调查，并纳入每月服务质量考核，满意度调查结果不得低于85%，不达标将按医院相关考核办法进行考评，考评结果与结算金额挂钩（服务质量考评规定，考评标准总分数为1000分，低于900分的，按50元/分予以经济处罚，900分以上视为合格），调查对象包括院内职工、管理干部、就诊人员。</w:t>
      </w:r>
    </w:p>
    <w:p>
      <w:pPr>
        <w:pStyle w:val="4"/>
        <w:jc w:val="both"/>
      </w:pPr>
      <w:r>
        <w:rPr>
          <w:b/>
          <w:sz w:val="28"/>
        </w:rPr>
        <w:t>第九条　原料与设备</w:t>
      </w:r>
    </w:p>
    <w:p>
      <w:pPr>
        <w:pStyle w:val="4"/>
        <w:ind w:firstLine="560"/>
        <w:jc w:val="both"/>
      </w:pPr>
      <w:r>
        <w:rPr>
          <w:sz w:val="28"/>
        </w:rPr>
        <w:t>1、乙方提供设备、绿色环保用品、用具（品牌），作业用品应按照投标文件的承诺进行投入以保证安全，所用材料必须是合格产品，有合格证等证明材料。</w:t>
      </w:r>
    </w:p>
    <w:p>
      <w:pPr>
        <w:pStyle w:val="4"/>
        <w:jc w:val="both"/>
      </w:pPr>
      <w:r>
        <w:rPr>
          <w:sz w:val="28"/>
        </w:rPr>
        <w:t>2、乙方为保证工作质量，须根据不同材质，采用相适应的原料和操作方法。</w:t>
      </w:r>
    </w:p>
    <w:p>
      <w:pPr>
        <w:pStyle w:val="4"/>
        <w:jc w:val="both"/>
      </w:pPr>
      <w:r>
        <w:rPr>
          <w:sz w:val="28"/>
        </w:rPr>
        <w:t>3、由于乙方在工作中不慎给甲方设施、材料及甲方工作人员或就医患者造成人身及财产损失，乙方应承担赔偿责任。</w:t>
      </w:r>
    </w:p>
    <w:p>
      <w:pPr>
        <w:pStyle w:val="4"/>
        <w:jc w:val="both"/>
      </w:pPr>
      <w:r>
        <w:rPr>
          <w:b/>
          <w:sz w:val="28"/>
        </w:rPr>
        <w:t>第十条　监督检查</w:t>
      </w:r>
    </w:p>
    <w:p>
      <w:pPr>
        <w:pStyle w:val="4"/>
        <w:jc w:val="both"/>
      </w:pPr>
      <w:r>
        <w:rPr>
          <w:sz w:val="28"/>
        </w:rPr>
        <w:t>1、甲方对乙方提供的服务享有监督权和检查权，有权对乙方服务提出意见和建议。</w:t>
      </w:r>
    </w:p>
    <w:p>
      <w:pPr>
        <w:pStyle w:val="4"/>
        <w:ind w:firstLine="560"/>
        <w:jc w:val="both"/>
      </w:pPr>
      <w:r>
        <w:rPr>
          <w:sz w:val="28"/>
        </w:rPr>
        <w:t>2、乙方应当保证其服务质量的，作业完毕应主动邀请甲方进行检查；对不合格部分，乙方应进行重新处理，直到甲方满意为止。</w:t>
      </w:r>
    </w:p>
    <w:p>
      <w:pPr>
        <w:pStyle w:val="4"/>
        <w:ind w:firstLine="560"/>
        <w:jc w:val="both"/>
      </w:pPr>
      <w:r>
        <w:rPr>
          <w:sz w:val="28"/>
        </w:rPr>
        <w:t>3、甲方根据医院规定对乙方工作进行考核和奖惩，乙方对存在的不足应及时整改落实。具体考核标准由甲方根据医院实际情况确定（服务质量考评规定，考评标准总分数为1000分，低于900分的，按50元/分予以经济处罚，900分以上视为合格）。</w:t>
      </w:r>
    </w:p>
    <w:p>
      <w:pPr>
        <w:pStyle w:val="4"/>
        <w:ind w:firstLine="480"/>
        <w:jc w:val="both"/>
      </w:pPr>
      <w:r>
        <w:rPr>
          <w:sz w:val="28"/>
        </w:rPr>
        <w:t>4、乙方应积极采纳甲方在管理方面的合理化建议，协助甲方处理有关投诉。</w:t>
      </w:r>
    </w:p>
    <w:p>
      <w:pPr>
        <w:pStyle w:val="4"/>
        <w:jc w:val="both"/>
      </w:pPr>
      <w:r>
        <w:rPr>
          <w:b/>
          <w:sz w:val="28"/>
        </w:rPr>
        <w:t>第十一条　损害赔偿</w:t>
      </w:r>
    </w:p>
    <w:p>
      <w:pPr>
        <w:pStyle w:val="4"/>
        <w:ind w:firstLine="480"/>
        <w:jc w:val="both"/>
      </w:pPr>
      <w:r>
        <w:rPr>
          <w:sz w:val="28"/>
        </w:rPr>
        <w:t>1、乙方在作业中应严格要求工作人员，做好各种防护措施，不得擅自挪用甲方的物品。要加强管理，安全生产。</w:t>
      </w:r>
    </w:p>
    <w:p>
      <w:pPr>
        <w:pStyle w:val="4"/>
        <w:jc w:val="left"/>
      </w:pPr>
      <w:r>
        <w:rPr>
          <w:sz w:val="28"/>
        </w:rPr>
        <w:t>2、乙方工作进行中，如发现甲方物业材质有破损迹象，应及时保护现场，立即向甲方通报。由于乙方在日常工作中不慎给甲方设施、材料及甲方工作人员或就医患者造成人身财产损失，乙方应承担赔偿责任，赔偿范围包括但不限于直接损失、间接损失、因处理事故产生的合理费用等。</w:t>
      </w:r>
    </w:p>
    <w:p>
      <w:pPr>
        <w:pStyle w:val="4"/>
        <w:jc w:val="both"/>
      </w:pPr>
      <w:r>
        <w:rPr>
          <w:b/>
          <w:sz w:val="28"/>
        </w:rPr>
        <w:t>第十二条　安全防护</w:t>
      </w:r>
    </w:p>
    <w:p>
      <w:pPr>
        <w:pStyle w:val="4"/>
        <w:jc w:val="both"/>
      </w:pPr>
      <w:r>
        <w:rPr>
          <w:sz w:val="28"/>
        </w:rPr>
        <w:t>1、乙方有权按照自己的施工方案（主要是涉及安全方面工程，符合相关规定）进行服务的权利，乙方人员应当遵守国家法律法规以及甲方的规章制度。</w:t>
      </w:r>
    </w:p>
    <w:p>
      <w:pPr>
        <w:pStyle w:val="4"/>
        <w:ind w:firstLine="480"/>
        <w:jc w:val="both"/>
      </w:pPr>
      <w:r>
        <w:rPr>
          <w:sz w:val="28"/>
        </w:rPr>
        <w:t>2、乙方应为员工提供工作所必须的防护用品，确保员工作业安全。</w:t>
      </w:r>
    </w:p>
    <w:p>
      <w:pPr>
        <w:pStyle w:val="4"/>
        <w:ind w:firstLine="480"/>
        <w:jc w:val="both"/>
      </w:pPr>
      <w:r>
        <w:rPr>
          <w:sz w:val="28"/>
        </w:rPr>
        <w:t>3、如乙方员工因操作不当造成的一切工伤与意外伤害由乙方负责。</w:t>
      </w:r>
    </w:p>
    <w:p>
      <w:pPr>
        <w:pStyle w:val="4"/>
        <w:jc w:val="both"/>
      </w:pPr>
      <w:r>
        <w:rPr>
          <w:b/>
          <w:sz w:val="28"/>
        </w:rPr>
        <w:t>第十三条　违约责任</w:t>
      </w:r>
    </w:p>
    <w:p>
      <w:pPr>
        <w:pStyle w:val="4"/>
        <w:jc w:val="both"/>
      </w:pPr>
      <w:r>
        <w:rPr>
          <w:sz w:val="28"/>
        </w:rPr>
        <w:t>　　如乙方未按合同要求进行服务（按合同标准）给甲方造成恶劣影响和损失时，经甲乙双方确认或政府相关部门确认，乙方应按实际损失金额的1.5倍赔偿甲方损失，且甲方有权中止与乙方的合作关系，由此造成的一切责任和损失由乙方承担。</w:t>
      </w:r>
    </w:p>
    <w:p>
      <w:pPr>
        <w:pStyle w:val="4"/>
        <w:jc w:val="both"/>
      </w:pPr>
      <w:r>
        <w:rPr>
          <w:b/>
          <w:sz w:val="28"/>
        </w:rPr>
        <w:t>第十四条　合同变更与终止</w:t>
      </w:r>
    </w:p>
    <w:p>
      <w:pPr>
        <w:pStyle w:val="4"/>
        <w:ind w:firstLine="560"/>
        <w:jc w:val="both"/>
      </w:pPr>
      <w:r>
        <w:rPr>
          <w:sz w:val="28"/>
        </w:rPr>
        <w:t>1、生效：本合同经双方授权代表签字盖章后生效。</w:t>
      </w:r>
    </w:p>
    <w:p>
      <w:pPr>
        <w:pStyle w:val="4"/>
        <w:ind w:firstLine="560"/>
        <w:jc w:val="both"/>
      </w:pPr>
      <w:r>
        <w:rPr>
          <w:sz w:val="28"/>
        </w:rPr>
        <w:t>2、终止：</w:t>
      </w:r>
    </w:p>
    <w:p>
      <w:pPr>
        <w:pStyle w:val="4"/>
        <w:ind w:firstLine="560"/>
        <w:jc w:val="both"/>
      </w:pPr>
      <w:r>
        <w:rPr>
          <w:sz w:val="28"/>
        </w:rPr>
        <w:t>2.1提前终止、协议终止</w:t>
      </w:r>
    </w:p>
    <w:p>
      <w:pPr>
        <w:pStyle w:val="4"/>
        <w:ind w:firstLine="560"/>
        <w:jc w:val="both"/>
      </w:pPr>
      <w:r>
        <w:rPr>
          <w:sz w:val="28"/>
        </w:rPr>
        <w:t>2.1.1因承包区域布局调整，导致乙方无法正常经营，或者本合同期满，甲方决定不委托乙方的，甲方须提前一个月向乙方发出书面通知。</w:t>
      </w:r>
    </w:p>
    <w:p>
      <w:pPr>
        <w:pStyle w:val="4"/>
        <w:ind w:firstLine="560"/>
        <w:jc w:val="both"/>
      </w:pPr>
      <w:r>
        <w:rPr>
          <w:sz w:val="28"/>
        </w:rPr>
        <w:t>2.1.2若提前终止服务期早于月底最后一天，应按实际服务日结算。</w:t>
      </w:r>
    </w:p>
    <w:p>
      <w:pPr>
        <w:pStyle w:val="4"/>
        <w:ind w:firstLine="560"/>
        <w:jc w:val="both"/>
      </w:pPr>
      <w:r>
        <w:rPr>
          <w:sz w:val="28"/>
        </w:rPr>
        <w:t>2.1.3乙方出现以下情况之一，甲方可立即终止承包，并追讨相应的损失，涉及法律责任的，乙方还须承担相应的法律责任。</w:t>
      </w:r>
    </w:p>
    <w:p>
      <w:pPr>
        <w:pStyle w:val="4"/>
        <w:ind w:firstLine="560"/>
        <w:jc w:val="both"/>
      </w:pPr>
      <w:r>
        <w:rPr>
          <w:sz w:val="28"/>
        </w:rPr>
        <w:t>2.1.3.1 乙方违反合同“乙方的责任”的有关约定或违反本合同要求的其他规定，在甲方发出书面警告后仍无采取补救措施或补救无效的；</w:t>
      </w:r>
    </w:p>
    <w:p>
      <w:pPr>
        <w:pStyle w:val="4"/>
        <w:ind w:firstLine="560"/>
        <w:jc w:val="both"/>
      </w:pPr>
      <w:r>
        <w:rPr>
          <w:sz w:val="28"/>
        </w:rPr>
        <w:t>2.1.3.2乙方提供的服务在接受国家或地方政府部门（含卫生行政部门）的专项检查中，被列为不合格或受到通报批评的；</w:t>
      </w:r>
    </w:p>
    <w:p>
      <w:pPr>
        <w:pStyle w:val="4"/>
        <w:ind w:firstLine="560"/>
        <w:jc w:val="both"/>
      </w:pPr>
      <w:r>
        <w:rPr>
          <w:sz w:val="28"/>
        </w:rPr>
        <w:t>2.1.3.3乙方出现重大服务失误（如因乙方过失导致医院感染事件、群体性投诉、舆情事件等），对医院或公共事业造成较大影响的；</w:t>
      </w:r>
    </w:p>
    <w:p>
      <w:pPr>
        <w:pStyle w:val="4"/>
        <w:ind w:firstLine="560"/>
        <w:jc w:val="both"/>
      </w:pPr>
      <w:r>
        <w:rPr>
          <w:sz w:val="28"/>
        </w:rPr>
        <w:t>2.1.3.4其他按照国家法律法规政策要求及本合同相关规定，乙方违反相关规定的。</w:t>
      </w:r>
    </w:p>
    <w:p>
      <w:pPr>
        <w:pStyle w:val="4"/>
        <w:ind w:firstLine="560"/>
        <w:jc w:val="both"/>
      </w:pPr>
      <w:r>
        <w:rPr>
          <w:sz w:val="28"/>
        </w:rPr>
        <w:t>2.2自然终止</w:t>
      </w:r>
    </w:p>
    <w:p>
      <w:pPr>
        <w:pStyle w:val="4"/>
        <w:ind w:firstLine="560"/>
        <w:jc w:val="both"/>
      </w:pPr>
      <w:r>
        <w:rPr>
          <w:sz w:val="28"/>
        </w:rPr>
        <w:t>合同规定的承包期满，承包自然终止。</w:t>
      </w:r>
    </w:p>
    <w:p>
      <w:pPr>
        <w:pStyle w:val="4"/>
        <w:ind w:firstLine="560"/>
        <w:jc w:val="both"/>
      </w:pPr>
      <w:r>
        <w:rPr>
          <w:sz w:val="28"/>
        </w:rPr>
        <w:t>3、承包终止</w:t>
      </w:r>
    </w:p>
    <w:p>
      <w:pPr>
        <w:pStyle w:val="4"/>
        <w:ind w:firstLine="560"/>
        <w:jc w:val="both"/>
      </w:pPr>
      <w:r>
        <w:rPr>
          <w:sz w:val="28"/>
        </w:rPr>
        <w:t>3.1终止承包，不影响根据合同规定进行的赔偿、补偿，也不影响履约的效力。</w:t>
      </w:r>
    </w:p>
    <w:p>
      <w:pPr>
        <w:pStyle w:val="4"/>
        <w:ind w:firstLine="560"/>
        <w:jc w:val="both"/>
      </w:pPr>
      <w:r>
        <w:rPr>
          <w:sz w:val="28"/>
        </w:rPr>
        <w:t>3.2承包终止时，双方应进行结算，甲方同时进行乙方承包区域设施、设备状况检查并要求乙方7天内将乙方物品撤离承包区域。</w:t>
      </w:r>
    </w:p>
    <w:p>
      <w:pPr>
        <w:pStyle w:val="4"/>
        <w:ind w:firstLine="560"/>
        <w:jc w:val="both"/>
      </w:pPr>
      <w:r>
        <w:rPr>
          <w:sz w:val="28"/>
        </w:rPr>
        <w:t>4、续约</w:t>
      </w:r>
    </w:p>
    <w:p>
      <w:pPr>
        <w:pStyle w:val="4"/>
        <w:ind w:firstLine="560"/>
        <w:jc w:val="both"/>
      </w:pPr>
      <w:r>
        <w:rPr>
          <w:sz w:val="28"/>
        </w:rPr>
        <w:t>在甲方未能聘请新的清洁公司的情况下，经甲乙双方协商一致，乙方应仍按本合同的有关规定，继续对工作现场进行管理，直到新清洁公司进场接管现场。在此期间的有关费用和服务约定，双方同意仍按本合同的约定执行。</w:t>
      </w:r>
    </w:p>
    <w:p>
      <w:pPr>
        <w:pStyle w:val="4"/>
        <w:spacing w:after="120"/>
        <w:jc w:val="both"/>
      </w:pPr>
      <w:r>
        <w:rPr>
          <w:b/>
          <w:sz w:val="28"/>
        </w:rPr>
        <w:t>第十五条退出机制</w:t>
      </w:r>
    </w:p>
    <w:p>
      <w:pPr>
        <w:pStyle w:val="4"/>
        <w:spacing w:after="120"/>
        <w:jc w:val="both"/>
      </w:pPr>
      <w:r>
        <w:rPr>
          <w:sz w:val="28"/>
        </w:rPr>
        <w:t>（1）乙方所有工作人员需遵守物业服务范围内各项行为准则和各项目管理制度，物业服务期间，因乙方原因发生重大安全责任事故的，医院有权终止合同，并追究相应的法律责任。</w:t>
      </w:r>
    </w:p>
    <w:p>
      <w:pPr>
        <w:pStyle w:val="4"/>
        <w:spacing w:after="120"/>
        <w:jc w:val="both"/>
      </w:pPr>
      <w:r>
        <w:rPr>
          <w:sz w:val="28"/>
        </w:rPr>
        <w:t>（2）乙方不得将本项目转包、分包，并不得将合同全部及任何权利、义务向第三方转让，否则将被视为严重违约，医院有权决定终止或解除合同等依约处理。</w:t>
      </w:r>
    </w:p>
    <w:p>
      <w:pPr>
        <w:pStyle w:val="4"/>
        <w:spacing w:after="120"/>
        <w:jc w:val="both"/>
      </w:pPr>
      <w:r>
        <w:rPr>
          <w:sz w:val="28"/>
        </w:rPr>
        <w:t>（3）乙方不得拖欠物业服务人员的工资薪酬，拖欠工人工资情节严重，造成严重维稳上访事件，致使医院被问责或严重影响医院的形象，医院有权终止或解除合同。</w:t>
      </w:r>
    </w:p>
    <w:p>
      <w:pPr>
        <w:pStyle w:val="4"/>
        <w:jc w:val="both"/>
      </w:pPr>
      <w:r>
        <w:rPr>
          <w:b/>
          <w:sz w:val="28"/>
        </w:rPr>
        <w:t>第十六条声明及保证</w:t>
      </w:r>
    </w:p>
    <w:p>
      <w:pPr>
        <w:pStyle w:val="4"/>
        <w:ind w:firstLine="560"/>
        <w:jc w:val="both"/>
      </w:pPr>
      <w:r>
        <w:rPr>
          <w:sz w:val="28"/>
        </w:rPr>
        <w:t>1、甲方：</w:t>
      </w:r>
    </w:p>
    <w:p>
      <w:pPr>
        <w:pStyle w:val="4"/>
        <w:jc w:val="both"/>
      </w:pPr>
      <w:r>
        <w:rPr>
          <w:sz w:val="28"/>
        </w:rPr>
        <w:t>1.1甲方有权签署并有能力履行本合同。</w:t>
      </w:r>
    </w:p>
    <w:p>
      <w:pPr>
        <w:pStyle w:val="4"/>
        <w:jc w:val="both"/>
      </w:pPr>
      <w:r>
        <w:rPr>
          <w:sz w:val="28"/>
        </w:rPr>
        <w:t>1.2在签署本合同时，任何法院、仲裁机构、行政机关或监管机构均未作出任何足以对甲方履行本合同产生重大不利影响的判决、裁定、裁决或具体行政行为。</w:t>
      </w:r>
    </w:p>
    <w:p>
      <w:pPr>
        <w:pStyle w:val="4"/>
        <w:jc w:val="both"/>
      </w:pPr>
      <w:r>
        <w:rPr>
          <w:sz w:val="28"/>
        </w:rPr>
        <w:t>1.3甲方为签署本合同所需的内部授权程序均已完成，本合同的签署人是甲方法定代表人或授权代表人。本合同生效后即对合同双方具有法律约束力。</w:t>
      </w:r>
    </w:p>
    <w:p>
      <w:pPr>
        <w:pStyle w:val="4"/>
        <w:jc w:val="both"/>
      </w:pPr>
      <w:r>
        <w:rPr>
          <w:sz w:val="28"/>
        </w:rPr>
        <w:t>2、乙方：</w:t>
      </w:r>
    </w:p>
    <w:p>
      <w:pPr>
        <w:pStyle w:val="4"/>
        <w:jc w:val="both"/>
      </w:pPr>
      <w:r>
        <w:rPr>
          <w:sz w:val="28"/>
        </w:rPr>
        <w:t>2.1乙方有权签署并有能力履行本合同。</w:t>
      </w:r>
    </w:p>
    <w:p>
      <w:pPr>
        <w:pStyle w:val="4"/>
        <w:jc w:val="both"/>
      </w:pPr>
      <w:r>
        <w:rPr>
          <w:sz w:val="28"/>
        </w:rPr>
        <w:t>2.2在签署本合同时，任何法院、仲裁机构、行政机关或监管机构均未作出任何足以对乙方履行本合同产生重大不利影响的判决、裁定、裁决或具体行政行为。</w:t>
      </w:r>
    </w:p>
    <w:p>
      <w:pPr>
        <w:pStyle w:val="4"/>
        <w:jc w:val="both"/>
      </w:pPr>
      <w:r>
        <w:rPr>
          <w:sz w:val="28"/>
        </w:rPr>
        <w:t>2.3乙方为签署本合同所需的内部授权程序均已完成，本合同的签署人是乙方法定代表人或授权代表人。本合同生效后即对合同双方具有法律约束力。</w:t>
      </w:r>
    </w:p>
    <w:p>
      <w:pPr>
        <w:pStyle w:val="4"/>
        <w:jc w:val="both"/>
      </w:pPr>
      <w:r>
        <w:rPr>
          <w:b/>
          <w:sz w:val="28"/>
        </w:rPr>
        <w:t>第十七条　保密</w:t>
      </w:r>
    </w:p>
    <w:p>
      <w:pPr>
        <w:pStyle w:val="4"/>
        <w:jc w:val="both"/>
      </w:pPr>
      <w:r>
        <w:rPr>
          <w:sz w:val="28"/>
        </w:rPr>
        <w:t>　　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pStyle w:val="4"/>
        <w:jc w:val="both"/>
      </w:pPr>
      <w:r>
        <w:rPr>
          <w:b/>
          <w:sz w:val="28"/>
        </w:rPr>
        <w:t>第十八条　通知</w:t>
      </w:r>
    </w:p>
    <w:p>
      <w:pPr>
        <w:pStyle w:val="4"/>
        <w:jc w:val="both"/>
      </w:pPr>
      <w:r>
        <w:rPr>
          <w:sz w:val="28"/>
        </w:rPr>
        <w:t>1、根据本合同需要一方向另一方发出的全部通知以及双方的文件往来及与本合同有关的通知和要求等，必须用书面形式直接送交或挂号信箱方式传递。</w:t>
      </w:r>
    </w:p>
    <w:p>
      <w:pPr>
        <w:pStyle w:val="4"/>
        <w:ind w:firstLine="405"/>
        <w:jc w:val="both"/>
      </w:pPr>
      <w:r>
        <w:rPr>
          <w:sz w:val="28"/>
        </w:rPr>
        <w:t>2、各方通讯地址如下：</w:t>
      </w:r>
    </w:p>
    <w:p>
      <w:pPr>
        <w:pStyle w:val="4"/>
        <w:ind w:firstLine="405"/>
        <w:jc w:val="both"/>
      </w:pPr>
      <w:r>
        <w:rPr>
          <w:sz w:val="28"/>
        </w:rPr>
        <w:t>致甲方请寄至：</w:t>
      </w:r>
    </w:p>
    <w:p>
      <w:pPr>
        <w:pStyle w:val="4"/>
        <w:ind w:firstLine="405"/>
        <w:jc w:val="both"/>
      </w:pPr>
      <w:r>
        <w:rPr>
          <w:sz w:val="28"/>
        </w:rPr>
        <w:t>地址：</w:t>
      </w:r>
    </w:p>
    <w:p>
      <w:pPr>
        <w:pStyle w:val="4"/>
        <w:ind w:firstLine="405"/>
        <w:jc w:val="both"/>
      </w:pPr>
      <w:r>
        <w:rPr>
          <w:sz w:val="28"/>
        </w:rPr>
        <w:t>邮编：</w:t>
      </w:r>
    </w:p>
    <w:p>
      <w:pPr>
        <w:pStyle w:val="4"/>
        <w:ind w:firstLine="405"/>
        <w:jc w:val="both"/>
      </w:pPr>
      <w:r>
        <w:rPr>
          <w:sz w:val="28"/>
        </w:rPr>
        <w:t>致乙方请寄至：</w:t>
      </w:r>
    </w:p>
    <w:p>
      <w:pPr>
        <w:pStyle w:val="4"/>
        <w:ind w:firstLine="405"/>
        <w:jc w:val="both"/>
      </w:pPr>
      <w:r>
        <w:rPr>
          <w:sz w:val="28"/>
        </w:rPr>
        <w:t>地址：</w:t>
      </w:r>
    </w:p>
    <w:p>
      <w:pPr>
        <w:pStyle w:val="4"/>
        <w:ind w:firstLine="405"/>
        <w:jc w:val="both"/>
      </w:pPr>
      <w:r>
        <w:rPr>
          <w:sz w:val="28"/>
        </w:rPr>
        <w:t>邮编：</w:t>
      </w:r>
    </w:p>
    <w:p>
      <w:pPr>
        <w:pStyle w:val="4"/>
        <w:jc w:val="both"/>
      </w:pPr>
      <w:r>
        <w:rPr>
          <w:sz w:val="28"/>
        </w:rPr>
        <w:t>3、一方变更通知或通讯地址，应自变更之日起</w:t>
      </w:r>
      <w:r>
        <w:rPr>
          <w:sz w:val="21"/>
          <w:u w:val="single"/>
        </w:rPr>
        <w:t xml:space="preserve">    </w:t>
      </w:r>
      <w:r>
        <w:rPr>
          <w:sz w:val="28"/>
        </w:rPr>
        <w:t>日内，以书面形式通知对方；否则，由未通知方承担由此而引起的相关责任。</w:t>
      </w:r>
    </w:p>
    <w:p>
      <w:pPr>
        <w:pStyle w:val="4"/>
        <w:jc w:val="both"/>
      </w:pPr>
      <w:r>
        <w:rPr>
          <w:b/>
          <w:sz w:val="28"/>
        </w:rPr>
        <w:t>第十九条　合同的转让</w:t>
      </w:r>
    </w:p>
    <w:p>
      <w:pPr>
        <w:pStyle w:val="4"/>
        <w:jc w:val="both"/>
      </w:pPr>
      <w:r>
        <w:rPr>
          <w:sz w:val="28"/>
        </w:rPr>
        <w:t>　　除合同中另有规定外或经双方协商同意外，本合同所规定双方的任何权利和义务，任何一方在未经征得另一方书面同意之前，不得转让给第三者。任何转让，未经另一方书面明确同意，均属无效。</w:t>
      </w:r>
    </w:p>
    <w:p>
      <w:pPr>
        <w:pStyle w:val="4"/>
        <w:jc w:val="both"/>
      </w:pPr>
      <w:r>
        <w:rPr>
          <w:b/>
          <w:sz w:val="28"/>
        </w:rPr>
        <w:t>第二十条　争议的处理</w:t>
      </w:r>
    </w:p>
    <w:p>
      <w:pPr>
        <w:pStyle w:val="4"/>
        <w:jc w:val="both"/>
      </w:pPr>
      <w:r>
        <w:rPr>
          <w:sz w:val="28"/>
        </w:rPr>
        <w:t>1、本合同适用法律为中华人民共和国法律、法规。</w:t>
      </w:r>
    </w:p>
    <w:p>
      <w:pPr>
        <w:pStyle w:val="4"/>
        <w:ind w:firstLine="560"/>
        <w:jc w:val="both"/>
      </w:pPr>
      <w:r>
        <w:rPr>
          <w:sz w:val="28"/>
        </w:rPr>
        <w:t>2、本合同未尽事宜，由双方本着互惠互利的原则共同协商解决。协商不成，双方同意由合同签署所在地人民法院管辖。</w:t>
      </w:r>
    </w:p>
    <w:p>
      <w:pPr>
        <w:pStyle w:val="4"/>
        <w:jc w:val="both"/>
      </w:pPr>
      <w:r>
        <w:rPr>
          <w:b/>
          <w:sz w:val="28"/>
        </w:rPr>
        <w:t>第二十一条　不可抗力</w:t>
      </w:r>
    </w:p>
    <w:p>
      <w:pPr>
        <w:pStyle w:val="4"/>
        <w:jc w:val="both"/>
      </w:pPr>
      <w:r>
        <w:rPr>
          <w:sz w:val="28"/>
        </w:rPr>
        <w:t>1、如果本合同任何一方因受不可抗力事件影响而未能履行其在本合同下的全部或部分义务，该义务的履行在不可抗力事件妨碍其履行期间应予中止。</w:t>
      </w:r>
    </w:p>
    <w:p>
      <w:pPr>
        <w:pStyle w:val="4"/>
        <w:ind w:firstLine="480"/>
        <w:jc w:val="both"/>
      </w:pPr>
      <w:r>
        <w:rPr>
          <w:sz w:val="28"/>
        </w:rPr>
        <w:t>2、声称受到不可抗力事件影响的一方应尽可能在三日内通过书面形式将不可抗力事件的发生通知另一方，并在该不可抗力事件发生后</w:t>
      </w:r>
      <w:r>
        <w:rPr>
          <w:sz w:val="28"/>
          <w:u w:val="single"/>
        </w:rPr>
        <w:t>90</w:t>
      </w:r>
      <w:r>
        <w:rPr>
          <w:sz w:val="28"/>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pStyle w:val="4"/>
        <w:jc w:val="both"/>
      </w:pPr>
      <w:r>
        <w:rPr>
          <w:sz w:val="28"/>
        </w:rPr>
        <w:t>3、不可抗力事件发生时，双方应立即通过友好协商决定如何执行本合同。不可抗力事件及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如果是乙方延迟履行后发生不可抗力的，则其不能免除责任。</w:t>
      </w:r>
    </w:p>
    <w:p>
      <w:pPr>
        <w:pStyle w:val="4"/>
        <w:jc w:val="both"/>
      </w:pPr>
      <w:r>
        <w:rPr>
          <w:sz w:val="28"/>
        </w:rPr>
        <w:t>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pStyle w:val="4"/>
        <w:jc w:val="both"/>
      </w:pPr>
      <w:r>
        <w:rPr>
          <w:b/>
          <w:sz w:val="28"/>
        </w:rPr>
        <w:t>第二十二条　合同的解释</w:t>
      </w:r>
    </w:p>
    <w:p>
      <w:pPr>
        <w:pStyle w:val="4"/>
        <w:jc w:val="both"/>
      </w:pPr>
      <w:r>
        <w:rPr>
          <w:sz w:val="28"/>
        </w:rPr>
        <w:t>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pStyle w:val="4"/>
        <w:jc w:val="both"/>
      </w:pPr>
      <w:r>
        <w:rPr>
          <w:b/>
          <w:sz w:val="28"/>
        </w:rPr>
        <w:t>第二十三条　其它</w:t>
      </w:r>
    </w:p>
    <w:p>
      <w:pPr>
        <w:pStyle w:val="4"/>
        <w:ind w:firstLine="560"/>
        <w:jc w:val="both"/>
      </w:pPr>
      <w:r>
        <w:rPr>
          <w:sz w:val="28"/>
        </w:rPr>
        <w:t>1.本合同所有附件、招标文件、投标文件、中标通知书均为合同的有效组成部分，与本合同具有同等法律效力。</w:t>
      </w:r>
    </w:p>
    <w:p>
      <w:pPr>
        <w:pStyle w:val="4"/>
        <w:ind w:firstLine="560"/>
        <w:jc w:val="both"/>
      </w:pPr>
      <w:r>
        <w:rPr>
          <w:sz w:val="28"/>
        </w:rPr>
        <w:t>2.在执行本合同的过程中，所有经双方签署确认的文件（包括会议纪要、补充协议、往来信函）即成为本合同的有效组成部分。</w:t>
      </w:r>
    </w:p>
    <w:p>
      <w:pPr>
        <w:pStyle w:val="4"/>
        <w:ind w:firstLine="560"/>
        <w:jc w:val="both"/>
      </w:pPr>
      <w:r>
        <w:rPr>
          <w:sz w:val="28"/>
        </w:rPr>
        <w:t>3.如一方地址、电话、传真号码有变更，应在变更当日内书面通知对方，否则，应承担相应责任。</w:t>
      </w:r>
    </w:p>
    <w:p>
      <w:pPr>
        <w:pStyle w:val="4"/>
        <w:ind w:firstLine="560"/>
        <w:jc w:val="both"/>
      </w:pPr>
      <w:r>
        <w:rPr>
          <w:sz w:val="28"/>
        </w:rPr>
        <w:t>4.除甲方事先书面同意外，乙方不得部分或全部转让其应履行的合同项下的义务。</w:t>
      </w:r>
    </w:p>
    <w:p>
      <w:pPr>
        <w:pStyle w:val="4"/>
        <w:jc w:val="both"/>
      </w:pPr>
      <w:r>
        <w:rPr>
          <w:b/>
          <w:sz w:val="28"/>
        </w:rPr>
        <w:t>第二十四条　合同的签订</w:t>
      </w:r>
    </w:p>
    <w:p>
      <w:pPr>
        <w:pStyle w:val="4"/>
        <w:jc w:val="both"/>
      </w:pPr>
      <w:r>
        <w:rPr>
          <w:sz w:val="28"/>
        </w:rPr>
        <w:t>1、本合同自双方或双方法定代表人或其授权代表人签字并加盖单位公章或合同专用章之日起生效。</w:t>
      </w:r>
    </w:p>
    <w:p>
      <w:pPr>
        <w:pStyle w:val="4"/>
        <w:ind w:firstLine="560"/>
        <w:jc w:val="both"/>
      </w:pPr>
      <w:r>
        <w:rPr>
          <w:sz w:val="28"/>
        </w:rPr>
        <w:t>2、本合同一式</w:t>
      </w:r>
      <w:r>
        <w:rPr>
          <w:sz w:val="21"/>
          <w:u w:val="single"/>
        </w:rPr>
        <w:t xml:space="preserve">    </w:t>
      </w:r>
      <w:r>
        <w:rPr>
          <w:sz w:val="28"/>
        </w:rPr>
        <w:t>份，双方各执</w:t>
      </w:r>
      <w:r>
        <w:rPr>
          <w:sz w:val="21"/>
          <w:u w:val="single"/>
        </w:rPr>
        <w:t xml:space="preserve">    </w:t>
      </w:r>
      <w:r>
        <w:rPr>
          <w:sz w:val="28"/>
        </w:rPr>
        <w:t>份。合同自授权代表签字盖章之日起生效。</w:t>
      </w:r>
    </w:p>
    <w:p>
      <w:pPr>
        <w:pStyle w:val="4"/>
        <w:jc w:val="both"/>
      </w:pPr>
      <w:r>
        <w:rPr>
          <w:sz w:val="28"/>
        </w:rPr>
        <w:t>3、本合同的附件和补充协议均为本合同不可分割的组成部分，与本合同具有同等的法律效力。</w:t>
      </w:r>
    </w:p>
    <w:p>
      <w:pPr>
        <w:pStyle w:val="4"/>
        <w:jc w:val="both"/>
      </w:pPr>
      <w:r>
        <w:rPr>
          <w:sz w:val="28"/>
        </w:rPr>
        <w:t>甲方（盖章）：                     乙方（盖章）：</w:t>
      </w:r>
    </w:p>
    <w:p>
      <w:pPr>
        <w:pStyle w:val="4"/>
        <w:jc w:val="left"/>
      </w:pPr>
      <w:r>
        <w:rPr>
          <w:sz w:val="28"/>
        </w:rPr>
        <w:t>法定代表人（签字）：               法定代表人（签字）：</w:t>
      </w:r>
    </w:p>
    <w:p>
      <w:pPr>
        <w:pStyle w:val="4"/>
        <w:jc w:val="left"/>
      </w:pPr>
      <w:r>
        <w:rPr>
          <w:sz w:val="28"/>
        </w:rPr>
        <w:t>授权委托人（签字）：               授权委托人（签字）：</w:t>
      </w:r>
    </w:p>
    <w:p>
      <w:pPr>
        <w:pStyle w:val="4"/>
        <w:jc w:val="left"/>
      </w:pPr>
      <w:r>
        <w:rPr>
          <w:sz w:val="28"/>
        </w:rPr>
        <w:t>签订日期：   年   月     日       签订日期：   年   月    日</w:t>
      </w:r>
    </w:p>
    <w:p>
      <w:pPr>
        <w:pStyle w:val="4"/>
        <w:jc w:val="both"/>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采购计划编号：441302-2025-02410</w:t>
      </w:r>
    </w:p>
    <w:p>
      <w:pPr>
        <w:pStyle w:val="4"/>
        <w:jc w:val="center"/>
        <w:outlineLvl w:val="3"/>
      </w:pPr>
      <w:r>
        <w:rPr>
          <w:b/>
          <w:sz w:val="24"/>
        </w:rPr>
        <w:t>采购项目编号：惠公易省云采惠城〔2025〕008号</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七、投标保证金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十四、联合体共同投标协议书</w:t>
      </w:r>
    </w:p>
    <w:p>
      <w:pPr>
        <w:pStyle w:val="4"/>
        <w:ind w:firstLine="480"/>
      </w:pPr>
      <w:r>
        <w:t>十五、投标人业绩情况表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outlineLvl w:val="3"/>
      </w:pPr>
      <w:r>
        <w:rPr>
          <w:b/>
          <w:sz w:val="24"/>
        </w:rPr>
        <w:t>投标函</w:t>
      </w:r>
    </w:p>
    <w:p>
      <w:pPr>
        <w:pStyle w:val="4"/>
        <w:ind w:firstLine="480"/>
      </w:pPr>
      <w:r>
        <w:t xml:space="preserve"> 致：</w:t>
      </w:r>
      <w:r>
        <w:rPr>
          <w:u w:val="single"/>
        </w:rPr>
        <w:t>惠州市公共资源交易中心惠城分中心</w:t>
      </w:r>
    </w:p>
    <w:p>
      <w:pPr>
        <w:pStyle w:val="4"/>
        <w:ind w:firstLine="480"/>
      </w:pPr>
      <w:r>
        <w:t xml:space="preserve"> 你方组织的</w:t>
      </w:r>
      <w:r>
        <w:rPr>
          <w:u w:val="single"/>
        </w:rPr>
        <w:t>“惠州市第二妇幼保健院保洁及运送服务管理项目”</w:t>
      </w:r>
      <w:r>
        <w:t>项目的招标[采购项目编号为：</w:t>
      </w:r>
      <w:r>
        <w:rPr>
          <w:u w:val="single"/>
        </w:rPr>
        <w:t>惠公易省云采惠城〔2025〕008号</w:t>
      </w:r>
      <w:r>
        <w:t>]，我方愿参与投标。</w:t>
      </w:r>
    </w:p>
    <w:p>
      <w:pPr>
        <w:pStyle w:val="4"/>
        <w:ind w:firstLine="480"/>
      </w:pPr>
      <w:r>
        <w:t>我方确认收到贵方提供的</w:t>
      </w:r>
      <w:r>
        <w:rPr>
          <w:u w:val="single"/>
        </w:rPr>
        <w:t>“惠州市第二妇幼保健院保洁及运送服务管理项目”</w:t>
      </w:r>
      <w:r>
        <w:t>项目的招标文件的全部内容。</w:t>
      </w:r>
    </w:p>
    <w:p>
      <w:pPr>
        <w:pStyle w:val="4"/>
        <w:ind w:firstLine="480"/>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我方已完全明白招标文件的所有条款要求，并申明如下：</w:t>
      </w:r>
    </w:p>
    <w:p>
      <w:pPr>
        <w:pStyle w:val="4"/>
        <w:ind w:firstLine="480"/>
      </w:pPr>
      <w:r>
        <w:t xml:space="preserve"> （一）按招标文件提供的全部货物与相关服务的投标总价详见《开标一览表》。</w:t>
      </w:r>
    </w:p>
    <w:p>
      <w:pPr>
        <w:pStyle w:val="4"/>
        <w:ind w:firstLine="480"/>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pPr>
      <w:r>
        <w:t xml:space="preserve"> （三）我方明白并同意，在规定的开标日之后，投标有效期之内撤回投标或中标后不按规定与采购人签订合同或不提交履约保证金,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（六）我方如果中标，将保证履行招标文件及其澄清、修改文件（如果有）中的全部责任和义务，按质、按量、按期完成《采购需求》及《合同书》中的全部任务。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（八）我方投标报价已包含应向知识产权所有权人支付的所有相关税费，并保证采购人在中国使用我方提供的货物时，如有第三方提出侵犯其知识产权主张的，责任由我方承担。</w:t>
      </w:r>
    </w:p>
    <w:p>
      <w:pPr>
        <w:pStyle w:val="4"/>
        <w:ind w:firstLine="480"/>
      </w:pPr>
      <w:r>
        <w:t xml:space="preserve"> （九）我方接受采购人委托向贵方支付代理服务费，项目总报价已包含代理服务费，如果被确定为中标供应商，承诺向贵方足额支付。（若采购人支付代理服务费，则此条不适用）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（十一）我方承诺未为本项目提供整体设计、规范编制或者项目管理、监理、检测等服务。</w:t>
      </w:r>
    </w:p>
    <w:p>
      <w:pPr>
        <w:pStyle w:val="4"/>
        <w:ind w:firstLine="480"/>
      </w:pPr>
      <w:r>
        <w:t>（十二）我方未被列入法院失信被执行人名单中。</w:t>
      </w:r>
    </w:p>
    <w:p>
      <w:pPr>
        <w:pStyle w:val="4"/>
        <w:ind w:firstLine="480"/>
      </w:pPr>
      <w:r>
        <w:t>（十三）我方承诺遵守《中华人民共和国民法典》有关规定和《中华人民共和国妇女权益保障法》中关于“劳动和社会保障权益”的有关要求。</w:t>
      </w:r>
    </w:p>
    <w:p>
      <w:pPr>
        <w:pStyle w:val="4"/>
        <w:ind w:firstLine="480"/>
      </w:pPr>
      <w:r>
        <w:t xml:space="preserve"> （十四）我方具备《中华人民共和国政府采购法》第二十二条规定的条件，承诺如下：</w:t>
      </w:r>
    </w:p>
    <w:p>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pPr>
      <w:r>
        <w:t xml:space="preserve"> （2）我方符合法律、行政法规规定的其他条件。</w:t>
      </w:r>
    </w:p>
    <w:p>
      <w:pPr>
        <w:pStyle w:val="4"/>
        <w:ind w:firstLine="480"/>
      </w:pPr>
      <w:r>
        <w:t>以上内容如有虚假或与事实不符的，评标委员会可将我方做无效投标处理，我方愿意承担相应的法律责任。</w:t>
      </w:r>
    </w:p>
    <w:p>
      <w:pPr>
        <w:pStyle w:val="4"/>
        <w:ind w:firstLine="480"/>
      </w:pPr>
      <w:r>
        <w:t xml:space="preserve"> （十五）我方对在本函及投标文件中所作的所有承诺承担法律责任。</w:t>
      </w:r>
    </w:p>
    <w:p>
      <w:pPr>
        <w:pStyle w:val="4"/>
        <w:ind w:firstLine="480"/>
      </w:pPr>
      <w:r>
        <w:t xml:space="preserve"> （十六）所有与本招标有关的函件请发往下列地址：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格式六：</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致：惠州市公共资源交易中心惠城分中心</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作为我公司的全权代理人，就“惠州市第二妇幼保健院保洁及运送服务管理项目”项目采购[采购项目编号为惠公易省云采惠城〔2025〕008号]的投标和合同执行，以我方的名义处理一切与之有关的事宜。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格式八：</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格式九：</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致：惠州市第二妇幼保健院</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格式十六：</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w:t>
      </w:r>
    </w:p>
    <w:p>
      <w:pPr>
        <w:pStyle w:val="4"/>
        <w:jc w:val="center"/>
        <w:outlineLvl w:val="3"/>
      </w:pPr>
      <w:r>
        <w:rPr>
          <w:b/>
          <w:sz w:val="24"/>
        </w:rPr>
        <w:t>采购代理服务费支付承诺书</w:t>
      </w:r>
    </w:p>
    <w:p>
      <w:pPr>
        <w:pStyle w:val="4"/>
        <w:ind w:firstLine="480"/>
      </w:pPr>
      <w:r>
        <w:t>致：惠州市公共资源交易中心惠城分中心</w:t>
      </w:r>
    </w:p>
    <w:p>
      <w:pPr>
        <w:pStyle w:val="4"/>
        <w:ind w:firstLine="480"/>
      </w:pPr>
      <w:r>
        <w:t xml:space="preserve"> 如果我方在贵采购代理机构组织的惠州市第二妇幼保健院保洁及运送服务管理项目招标中获中标（采购项目编号：惠公易省云采惠城〔2025〕008号），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惠州市公共资源交易中心惠城分中心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惠州市公共资源交易中心惠城分中心</w:t>
      </w:r>
    </w:p>
    <w:p>
      <w:pPr>
        <w:pStyle w:val="4"/>
        <w:ind w:firstLine="480"/>
      </w:pPr>
      <w:r>
        <w:t>我单位已登记并准备参与“惠州市第二妇幼保健院保洁及运送服务管理项目”项目（采购项目编号：惠公易省云采惠城〔2025〕008号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格式二十五：</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4C87D5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黄惠盈</cp:lastModifiedBy>
  <dcterms:modified xsi:type="dcterms:W3CDTF">2025-05-21T01:38:47Z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1E2B5E223CA241DCA86BB2513739CAC5</vt:lpwstr>
  </property>
</Properties>
</file>