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i w:val="0"/>
          <w:caps w:val="0"/>
          <w:color w:val="auto"/>
          <w:spacing w:val="0"/>
          <w:sz w:val="44"/>
          <w:szCs w:val="44"/>
          <w:highlight w:val="none"/>
          <w:shd w:val="clear" w:color="080000" w:fill="FFFFFF"/>
          <w:lang w:val="en-US" w:eastAsia="zh-CN"/>
        </w:rPr>
      </w:pPr>
      <w:r>
        <w:rPr>
          <w:rFonts w:hint="eastAsia" w:ascii="黑体" w:hAnsi="黑体" w:eastAsia="黑体" w:cs="黑体"/>
          <w:b w:val="0"/>
          <w:i w:val="0"/>
          <w:caps w:val="0"/>
          <w:color w:val="auto"/>
          <w:spacing w:val="0"/>
          <w:sz w:val="44"/>
          <w:szCs w:val="44"/>
          <w:highlight w:val="none"/>
          <w:shd w:val="clear" w:color="080000" w:fill="FFFFFF"/>
          <w:lang w:eastAsia="zh-CN"/>
        </w:rPr>
        <w:t>附件</w:t>
      </w:r>
      <w:r>
        <w:rPr>
          <w:rFonts w:hint="eastAsia" w:ascii="黑体" w:hAnsi="黑体" w:eastAsia="黑体" w:cs="黑体"/>
          <w:b w:val="0"/>
          <w:i w:val="0"/>
          <w:caps w:val="0"/>
          <w:color w:val="auto"/>
          <w:spacing w:val="0"/>
          <w:sz w:val="44"/>
          <w:szCs w:val="44"/>
          <w:highlight w:val="none"/>
          <w:shd w:val="clear" w:color="080000" w:fill="FFFFFF"/>
          <w:lang w:val="en-US" w:eastAsia="zh-CN"/>
        </w:rPr>
        <w:t>1</w:t>
      </w:r>
    </w:p>
    <w:p>
      <w:pPr>
        <w:pStyle w:val="2"/>
        <w:rPr>
          <w:rFonts w:hint="default"/>
          <w:lang w:val="en-US" w:eastAsia="zh-CN"/>
        </w:rPr>
      </w:pPr>
      <w:bookmarkStart w:id="0" w:name="_GoBack"/>
      <w:bookmarkEnd w:id="0"/>
    </w:p>
    <w:p>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i w:val="0"/>
          <w:caps w:val="0"/>
          <w:color w:val="auto"/>
          <w:spacing w:val="0"/>
          <w:sz w:val="44"/>
          <w:szCs w:val="44"/>
          <w:highlight w:val="none"/>
          <w:shd w:val="clear" w:color="080000" w:fill="FFFFFF"/>
          <w:lang w:val="en-US" w:eastAsia="zh-CN"/>
        </w:rPr>
      </w:pPr>
      <w:r>
        <w:rPr>
          <w:rFonts w:hint="default" w:ascii="Times New Roman" w:hAnsi="Times New Roman" w:eastAsia="方正小标宋_GBK" w:cs="Times New Roman"/>
          <w:b w:val="0"/>
          <w:i w:val="0"/>
          <w:caps w:val="0"/>
          <w:color w:val="auto"/>
          <w:spacing w:val="0"/>
          <w:sz w:val="44"/>
          <w:szCs w:val="44"/>
          <w:highlight w:val="none"/>
          <w:shd w:val="clear" w:color="080000" w:fill="FFFFFF"/>
          <w:lang w:val="en-US" w:eastAsia="zh-CN"/>
        </w:rPr>
        <w:t>202</w:t>
      </w:r>
      <w:r>
        <w:rPr>
          <w:rFonts w:hint="eastAsia" w:ascii="Times New Roman" w:hAnsi="Times New Roman" w:eastAsia="方正小标宋_GBK" w:cs="Times New Roman"/>
          <w:b w:val="0"/>
          <w:i w:val="0"/>
          <w:caps w:val="0"/>
          <w:color w:val="auto"/>
          <w:spacing w:val="0"/>
          <w:sz w:val="44"/>
          <w:szCs w:val="44"/>
          <w:highlight w:val="none"/>
          <w:shd w:val="clear" w:color="080000" w:fill="FFFFFF"/>
          <w:lang w:val="en-US" w:eastAsia="zh-CN"/>
        </w:rPr>
        <w:t>5</w:t>
      </w:r>
      <w:r>
        <w:rPr>
          <w:rFonts w:hint="eastAsia" w:ascii="方正小标宋_GBK" w:hAnsi="方正小标宋_GBK" w:eastAsia="方正小标宋_GBK" w:cs="方正小标宋_GBK"/>
          <w:b w:val="0"/>
          <w:i w:val="0"/>
          <w:caps w:val="0"/>
          <w:color w:val="auto"/>
          <w:spacing w:val="0"/>
          <w:sz w:val="44"/>
          <w:szCs w:val="44"/>
          <w:highlight w:val="none"/>
          <w:shd w:val="clear" w:color="080000" w:fill="FFFFFF"/>
          <w:lang w:val="en-US" w:eastAsia="zh-CN"/>
        </w:rPr>
        <w:t>年省级促进开放型经济发展水平提升专项资金（防范汇率风险支持）项目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i w:val="0"/>
          <w:caps w:val="0"/>
          <w:color w:val="auto"/>
          <w:spacing w:val="0"/>
          <w:sz w:val="44"/>
          <w:szCs w:val="44"/>
          <w:highlight w:val="none"/>
          <w:shd w:val="clear" w:color="080000" w:fill="FFFFFF"/>
          <w:lang w:val="en-US" w:eastAsia="zh-CN"/>
        </w:rPr>
        <w:t>申报指南</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支持对象</w:t>
      </w:r>
      <w:r>
        <w:rPr>
          <w:rFonts w:hint="eastAsia" w:ascii="黑体" w:hAnsi="黑体" w:eastAsia="黑体" w:cs="黑体"/>
          <w:b w:val="0"/>
          <w:bCs w:val="0"/>
          <w:color w:val="auto"/>
          <w:sz w:val="32"/>
          <w:szCs w:val="32"/>
          <w:highlight w:val="none"/>
          <w:lang w:eastAsia="zh-CN"/>
        </w:rPr>
        <w:t>和条件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color w:val="auto"/>
          <w:sz w:val="32"/>
          <w:szCs w:val="32"/>
          <w:highlight w:val="none"/>
        </w:rPr>
      </w:pPr>
      <w:r>
        <w:rPr>
          <w:rFonts w:hint="eastAsia" w:ascii="Times New Roman" w:hAnsi="Times New Roman" w:eastAsia="方正仿宋_GBK" w:cs="仿宋_GB2312"/>
          <w:color w:val="auto"/>
          <w:sz w:val="32"/>
          <w:szCs w:val="32"/>
          <w:highlight w:val="none"/>
        </w:rPr>
        <w:t>支持对象需同时满足以下条件：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color w:val="auto"/>
          <w:sz w:val="32"/>
          <w:szCs w:val="32"/>
          <w:highlight w:val="none"/>
        </w:rPr>
      </w:pPr>
      <w:r>
        <w:rPr>
          <w:rFonts w:hint="eastAsia" w:ascii="Times New Roman" w:hAnsi="Times New Roman" w:eastAsia="方正仿宋_GBK" w:cs="仿宋_GB2312"/>
          <w:color w:val="auto"/>
          <w:sz w:val="32"/>
          <w:szCs w:val="32"/>
          <w:highlight w:val="none"/>
        </w:rPr>
        <w:t>1</w:t>
      </w:r>
      <w:r>
        <w:rPr>
          <w:rFonts w:hint="eastAsia" w:ascii="Times New Roman" w:hAnsi="Times New Roman" w:eastAsia="方正仿宋_GBK" w:cs="仿宋_GB2312"/>
          <w:color w:val="auto"/>
          <w:sz w:val="32"/>
          <w:szCs w:val="32"/>
          <w:highlight w:val="none"/>
          <w:lang w:val="en-US" w:eastAsia="zh-CN"/>
        </w:rPr>
        <w:t>.</w:t>
      </w:r>
      <w:r>
        <w:rPr>
          <w:rFonts w:hint="eastAsia" w:ascii="Times New Roman" w:hAnsi="Times New Roman" w:eastAsia="方正仿宋_GBK" w:cs="仿宋_GB2312"/>
          <w:b w:val="0"/>
          <w:bCs w:val="0"/>
          <w:color w:val="auto"/>
          <w:sz w:val="32"/>
          <w:szCs w:val="32"/>
          <w:highlight w:val="none"/>
        </w:rPr>
        <w:t>在</w:t>
      </w:r>
      <w:r>
        <w:rPr>
          <w:rFonts w:hint="eastAsia" w:ascii="Times New Roman" w:hAnsi="Times New Roman" w:eastAsia="方正仿宋_GBK" w:cs="仿宋_GB2312"/>
          <w:b w:val="0"/>
          <w:bCs w:val="0"/>
          <w:color w:val="auto"/>
          <w:sz w:val="32"/>
          <w:szCs w:val="32"/>
          <w:highlight w:val="none"/>
          <w:lang w:eastAsia="zh-CN"/>
        </w:rPr>
        <w:t>惠州</w:t>
      </w:r>
      <w:r>
        <w:rPr>
          <w:rFonts w:hint="eastAsia" w:ascii="Times New Roman" w:hAnsi="Times New Roman" w:eastAsia="方正仿宋_GBK" w:cs="仿宋_GB2312"/>
          <w:b w:val="0"/>
          <w:bCs w:val="0"/>
          <w:color w:val="auto"/>
          <w:sz w:val="32"/>
          <w:szCs w:val="32"/>
          <w:highlight w:val="none"/>
        </w:rPr>
        <w:t>市登记注册，具有对外贸易经营资格、经查询企业无</w:t>
      </w:r>
      <w:r>
        <w:rPr>
          <w:rFonts w:hint="eastAsia" w:ascii="Times New Roman" w:hAnsi="Times New Roman" w:eastAsia="方正仿宋_GBK" w:cs="仿宋_GB2312"/>
          <w:b w:val="0"/>
          <w:bCs w:val="0"/>
          <w:color w:val="auto"/>
          <w:sz w:val="32"/>
          <w:szCs w:val="32"/>
          <w:highlight w:val="none"/>
          <w:lang w:eastAsia="zh-CN"/>
        </w:rPr>
        <w:t>不良信用</w:t>
      </w:r>
      <w:r>
        <w:rPr>
          <w:rFonts w:hint="eastAsia" w:ascii="Times New Roman" w:hAnsi="Times New Roman" w:eastAsia="方正仿宋_GBK" w:cs="仿宋_GB2312"/>
          <w:b w:val="0"/>
          <w:bCs w:val="0"/>
          <w:color w:val="auto"/>
          <w:sz w:val="32"/>
          <w:szCs w:val="32"/>
          <w:highlight w:val="none"/>
        </w:rPr>
        <w:t>记录的企业法人。</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仿宋_GB2312"/>
          <w:color w:val="auto"/>
          <w:sz w:val="32"/>
          <w:szCs w:val="32"/>
          <w:highlight w:val="none"/>
        </w:rPr>
      </w:pPr>
      <w:r>
        <w:rPr>
          <w:rFonts w:hint="eastAsia" w:ascii="Times New Roman" w:hAnsi="Times New Roman" w:eastAsia="方正仿宋_GBK" w:cs="仿宋_GB2312"/>
          <w:color w:val="auto"/>
          <w:sz w:val="32"/>
          <w:szCs w:val="32"/>
          <w:highlight w:val="none"/>
        </w:rPr>
        <w:t>2</w:t>
      </w:r>
      <w:r>
        <w:rPr>
          <w:rFonts w:hint="eastAsia" w:ascii="Times New Roman" w:hAnsi="Times New Roman" w:eastAsia="方正仿宋_GBK" w:cs="仿宋_GB2312"/>
          <w:color w:val="auto"/>
          <w:sz w:val="32"/>
          <w:szCs w:val="32"/>
          <w:highlight w:val="none"/>
          <w:lang w:val="en-US" w:eastAsia="zh-CN"/>
        </w:rPr>
        <w:t>.</w:t>
      </w:r>
      <w:r>
        <w:rPr>
          <w:rFonts w:hint="eastAsia" w:ascii="Times New Roman" w:hAnsi="Times New Roman" w:eastAsia="方正仿宋_GBK" w:cs="仿宋_GB2312"/>
          <w:color w:val="auto"/>
          <w:sz w:val="32"/>
          <w:szCs w:val="32"/>
          <w:highlight w:val="none"/>
        </w:rPr>
        <w:t>货物贸易</w:t>
      </w:r>
      <w:r>
        <w:rPr>
          <w:rFonts w:hint="eastAsia" w:ascii="Times New Roman" w:hAnsi="Times New Roman" w:eastAsia="方正仿宋_GBK" w:cs="仿宋_GB2312"/>
          <w:color w:val="auto"/>
          <w:sz w:val="32"/>
          <w:szCs w:val="32"/>
          <w:highlight w:val="none"/>
          <w:lang w:eastAsia="zh-CN"/>
        </w:rPr>
        <w:t>外汇分类等级为</w:t>
      </w:r>
      <w:r>
        <w:rPr>
          <w:rFonts w:hint="eastAsia" w:ascii="Times New Roman" w:hAnsi="Times New Roman" w:eastAsia="方正仿宋_GBK" w:cs="仿宋_GB2312"/>
          <w:color w:val="auto"/>
          <w:sz w:val="32"/>
          <w:szCs w:val="32"/>
          <w:highlight w:val="none"/>
        </w:rPr>
        <w:t>A类</w:t>
      </w:r>
      <w:r>
        <w:rPr>
          <w:rFonts w:hint="eastAsia" w:ascii="Times New Roman" w:hAnsi="Times New Roman" w:eastAsia="方正仿宋_GBK" w:cs="仿宋_GB2312"/>
          <w:color w:val="auto"/>
          <w:sz w:val="32"/>
          <w:szCs w:val="32"/>
          <w:highlight w:val="none"/>
          <w:lang w:eastAsia="zh-CN"/>
        </w:rPr>
        <w:t>的</w:t>
      </w:r>
      <w:r>
        <w:rPr>
          <w:rFonts w:hint="eastAsia" w:ascii="Times New Roman" w:hAnsi="Times New Roman" w:eastAsia="方正仿宋_GBK" w:cs="仿宋_GB2312"/>
          <w:color w:val="auto"/>
          <w:sz w:val="32"/>
          <w:szCs w:val="32"/>
          <w:highlight w:val="none"/>
        </w:rPr>
        <w:t>企业。</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仿宋_GB2312"/>
          <w:color w:val="auto"/>
          <w:sz w:val="32"/>
          <w:szCs w:val="32"/>
          <w:highlight w:val="none"/>
          <w:lang w:eastAsia="zh-CN"/>
        </w:rPr>
      </w:pPr>
      <w:r>
        <w:rPr>
          <w:rFonts w:hint="eastAsia" w:ascii="Times New Roman" w:hAnsi="Times New Roman" w:eastAsia="方正仿宋_GBK" w:cs="仿宋_GB2312"/>
          <w:color w:val="auto"/>
          <w:sz w:val="32"/>
          <w:szCs w:val="32"/>
          <w:highlight w:val="none"/>
          <w:lang w:val="en-US" w:eastAsia="zh-CN"/>
        </w:rPr>
        <w:t>3.2024年在</w:t>
      </w:r>
      <w:r>
        <w:rPr>
          <w:rFonts w:hint="eastAsia" w:ascii="Times New Roman" w:hAnsi="Times New Roman" w:eastAsia="方正仿宋_GBK" w:cs="仿宋_GB2312"/>
          <w:color w:val="auto"/>
          <w:sz w:val="32"/>
          <w:szCs w:val="32"/>
          <w:highlight w:val="none"/>
        </w:rPr>
        <w:t>惠州市</w:t>
      </w:r>
      <w:r>
        <w:rPr>
          <w:rFonts w:hint="eastAsia" w:ascii="Times New Roman" w:hAnsi="Times New Roman" w:eastAsia="方正仿宋_GBK" w:cs="仿宋_GB2312"/>
          <w:color w:val="auto"/>
          <w:sz w:val="32"/>
          <w:szCs w:val="32"/>
          <w:highlight w:val="none"/>
          <w:lang w:val="en-US" w:eastAsia="zh-CN"/>
        </w:rPr>
        <w:t>投保短期出口信用保险，并已缴纳保费的企业</w:t>
      </w:r>
      <w:r>
        <w:rPr>
          <w:rFonts w:hint="eastAsia" w:ascii="Times New Roman" w:hAnsi="Times New Roman" w:eastAsia="方正仿宋_GBK" w:cs="仿宋_GB2312"/>
          <w:color w:val="auto"/>
          <w:sz w:val="32"/>
          <w:szCs w:val="32"/>
          <w:highlight w:val="none"/>
        </w:rPr>
        <w:t>。</w:t>
      </w:r>
    </w:p>
    <w:p>
      <w:pPr>
        <w:keepNext w:val="0"/>
        <w:keepLines w:val="0"/>
        <w:pageBreakBefore w:val="0"/>
        <w:kinsoku/>
        <w:wordWrap/>
        <w:overflowPunct/>
        <w:topLinePunct w:val="0"/>
        <w:autoSpaceDE/>
        <w:autoSpaceDN/>
        <w:bidi w:val="0"/>
        <w:spacing w:line="580" w:lineRule="exact"/>
        <w:ind w:firstLine="645"/>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二、支持项目和标准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（一）人民币外汇期权项目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支持对象于2024年1月1日至2024年12月31日期间在惠州市内银行机构办理人民币对外汇期权用于规避汇率风险的，可按办理签约买入期权产生的期权费给予不超过50%费用补贴；组合期权业务，如企业需向银行支付期权费的，按本标准给予费用资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（二）远期结售汇</w:t>
      </w:r>
      <w:r>
        <w:rPr>
          <w:rFonts w:hint="eastAsia" w:ascii="仿宋_GB2312" w:hAnsi="仿宋_GB2312" w:eastAsia="仿宋_GB2312" w:cs="仿宋_GB2312"/>
          <w:b/>
          <w:bCs/>
          <w:color w:val="auto"/>
          <w:sz w:val="32"/>
          <w:szCs w:val="32"/>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rPr>
        <w:t>支持对象于202</w:t>
      </w:r>
      <w:r>
        <w:rPr>
          <w:rFonts w:hint="eastAsia" w:ascii="Times New Roman" w:hAnsi="Times New Roman" w:eastAsia="方正仿宋_GBK" w:cs="仿宋_GB2312"/>
          <w:color w:val="auto"/>
          <w:sz w:val="32"/>
          <w:szCs w:val="32"/>
          <w:highlight w:val="none"/>
          <w:lang w:val="en-US" w:eastAsia="zh-CN"/>
        </w:rPr>
        <w:t>4</w:t>
      </w:r>
      <w:r>
        <w:rPr>
          <w:rFonts w:hint="eastAsia" w:ascii="Times New Roman" w:hAnsi="Times New Roman" w:eastAsia="方正仿宋_GBK" w:cs="仿宋_GB2312"/>
          <w:color w:val="auto"/>
          <w:sz w:val="32"/>
          <w:szCs w:val="32"/>
          <w:highlight w:val="none"/>
        </w:rPr>
        <w:t>年1月1日至202</w:t>
      </w:r>
      <w:r>
        <w:rPr>
          <w:rFonts w:hint="eastAsia" w:ascii="Times New Roman" w:hAnsi="Times New Roman" w:eastAsia="方正仿宋_GBK" w:cs="仿宋_GB2312"/>
          <w:color w:val="auto"/>
          <w:sz w:val="32"/>
          <w:szCs w:val="32"/>
          <w:highlight w:val="none"/>
          <w:lang w:val="en-US" w:eastAsia="zh-CN"/>
        </w:rPr>
        <w:t>4</w:t>
      </w:r>
      <w:r>
        <w:rPr>
          <w:rFonts w:hint="eastAsia" w:ascii="Times New Roman" w:hAnsi="Times New Roman" w:eastAsia="方正仿宋_GBK" w:cs="仿宋_GB2312"/>
          <w:color w:val="auto"/>
          <w:sz w:val="32"/>
          <w:szCs w:val="32"/>
          <w:highlight w:val="none"/>
        </w:rPr>
        <w:t>年12月31日期间在惠州市内银行办理远期结售汇用于规避汇率风险的，可按远期结售汇履约人民币金额不超过千分之二标准给予资金支持。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（三）其它要求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eastAsia="zh-CN"/>
        </w:rPr>
      </w:pPr>
      <w:r>
        <w:rPr>
          <w:rFonts w:hint="eastAsia" w:ascii="Times New Roman" w:hAnsi="Times New Roman" w:eastAsia="方正仿宋_GBK" w:cs="仿宋_GB2312"/>
          <w:color w:val="auto"/>
          <w:sz w:val="32"/>
          <w:szCs w:val="32"/>
          <w:highlight w:val="none"/>
          <w:lang w:val="en-US" w:eastAsia="zh-CN"/>
        </w:rPr>
        <w:t>惠州</w:t>
      </w:r>
      <w:r>
        <w:rPr>
          <w:rFonts w:hint="eastAsia" w:ascii="Times New Roman" w:hAnsi="Times New Roman" w:eastAsia="方正仿宋_GBK" w:cs="仿宋_GB2312"/>
          <w:color w:val="auto"/>
          <w:sz w:val="32"/>
          <w:szCs w:val="32"/>
          <w:highlight w:val="none"/>
          <w:lang w:eastAsia="zh-CN"/>
        </w:rPr>
        <w:t>市商务局会同国家外汇管理局惠州市分局根据本次专项资金规模和符合条件的申报企业情况，确定最终支持标准，单家企业两项合计资助金额最高不超</w:t>
      </w:r>
      <w:r>
        <w:rPr>
          <w:rFonts w:hint="eastAsia" w:ascii="Times New Roman" w:hAnsi="Times New Roman" w:eastAsia="方正仿宋_GBK" w:cs="仿宋_GB2312"/>
          <w:color w:val="auto"/>
          <w:sz w:val="32"/>
          <w:szCs w:val="32"/>
          <w:highlight w:val="none"/>
          <w:lang w:val="en-US" w:eastAsia="zh-CN"/>
        </w:rPr>
        <w:t>3</w:t>
      </w:r>
      <w:r>
        <w:rPr>
          <w:rFonts w:hint="eastAsia" w:ascii="Times New Roman" w:hAnsi="Times New Roman" w:eastAsia="方正仿宋_GBK" w:cs="仿宋_GB2312"/>
          <w:color w:val="auto"/>
          <w:sz w:val="32"/>
          <w:szCs w:val="32"/>
          <w:highlight w:val="none"/>
          <w:lang w:eastAsia="zh-CN"/>
        </w:rPr>
        <w:t>万元，资助金额低于</w:t>
      </w:r>
      <w:r>
        <w:rPr>
          <w:rFonts w:hint="eastAsia" w:ascii="Times New Roman" w:hAnsi="Times New Roman" w:eastAsia="方正仿宋_GBK" w:cs="仿宋_GB2312"/>
          <w:color w:val="auto"/>
          <w:sz w:val="32"/>
          <w:szCs w:val="32"/>
          <w:highlight w:val="none"/>
          <w:lang w:val="en-US" w:eastAsia="zh-CN"/>
        </w:rPr>
        <w:t>5000元的不予支持</w:t>
      </w:r>
      <w:r>
        <w:rPr>
          <w:rFonts w:hint="eastAsia" w:ascii="Times New Roman" w:hAnsi="Times New Roman" w:eastAsia="方正仿宋_GBK" w:cs="仿宋_GB2312"/>
          <w:color w:val="auto"/>
          <w:sz w:val="32"/>
          <w:szCs w:val="32"/>
          <w:highlight w:val="none"/>
          <w:lang w:eastAsia="zh-CN"/>
        </w:rPr>
        <w:t>。</w:t>
      </w:r>
    </w:p>
    <w:p>
      <w:pPr>
        <w:pStyle w:val="8"/>
        <w:keepNext w:val="0"/>
        <w:keepLines w:val="0"/>
        <w:pageBreakBefore w:val="0"/>
        <w:numPr>
          <w:ilvl w:val="0"/>
          <w:numId w:val="1"/>
        </w:numPr>
        <w:kinsoku/>
        <w:wordWrap/>
        <w:overflowPunct/>
        <w:topLinePunct w:val="0"/>
        <w:autoSpaceDE/>
        <w:autoSpaceDN/>
        <w:bidi w:val="0"/>
        <w:spacing w:line="580" w:lineRule="exac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1.2025年省级促进开放型经济发展水平提升专项资金（防范汇率风险支持）项目申请表（见附件1-2）；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2.企业营业执照复印件；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3.2024年1-12月期间投保出口信用保险的保险单复印件和任意一笔保险费全额发票复印件；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4.人民币外汇期权业务明细表（如有，见附件1-3）；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5.远期结售汇业务明细表（如有，见附件1-4）；</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6.</w:t>
      </w:r>
      <w:r>
        <w:rPr>
          <w:rFonts w:hint="eastAsia" w:ascii="Times New Roman" w:hAnsi="Times New Roman" w:eastAsia="方正仿宋_GBK" w:cs="仿宋_GB2312"/>
          <w:color w:val="auto"/>
          <w:sz w:val="32"/>
          <w:szCs w:val="32"/>
          <w:highlight w:val="none"/>
          <w:lang w:eastAsia="zh-CN"/>
        </w:rPr>
        <w:t>货物贸易外汇分类等级</w:t>
      </w:r>
      <w:r>
        <w:rPr>
          <w:rFonts w:hint="eastAsia" w:ascii="Times New Roman" w:hAnsi="Times New Roman" w:eastAsia="方正仿宋_GBK" w:cs="仿宋_GB2312"/>
          <w:color w:val="auto"/>
          <w:sz w:val="32"/>
          <w:szCs w:val="32"/>
          <w:highlight w:val="none"/>
          <w:lang w:val="en-US" w:eastAsia="zh-CN"/>
        </w:rPr>
        <w:t>A类企业查询结果打印件；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7.期权业务提供每笔期权业务委托申请书或相关银行回单、银行期权费收取回单复印件，远期结售汇业务提供每笔银行远期结售汇交易申请书或相关银行回单、履约交割回单复印件。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企业申报资料须统一为A4纸，并</w:t>
      </w:r>
      <w:r>
        <w:rPr>
          <w:rFonts w:hint="default" w:ascii="Times New Roman" w:hAnsi="Times New Roman" w:eastAsia="方正仿宋_GBK" w:cs="仿宋_GB2312"/>
          <w:color w:val="auto"/>
          <w:sz w:val="32"/>
          <w:szCs w:val="32"/>
          <w:highlight w:val="none"/>
          <w:lang w:val="en-US" w:eastAsia="zh-CN"/>
        </w:rPr>
        <w:t>按</w:t>
      </w:r>
      <w:r>
        <w:rPr>
          <w:rFonts w:hint="eastAsia" w:ascii="Times New Roman" w:hAnsi="Times New Roman" w:eastAsia="方正仿宋_GBK" w:cs="仿宋_GB2312"/>
          <w:color w:val="auto"/>
          <w:sz w:val="32"/>
          <w:szCs w:val="32"/>
          <w:highlight w:val="none"/>
          <w:lang w:val="en-US" w:eastAsia="zh-CN"/>
        </w:rPr>
        <w:t>申报材料</w:t>
      </w:r>
      <w:r>
        <w:rPr>
          <w:rFonts w:hint="default" w:ascii="Times New Roman" w:hAnsi="Times New Roman" w:eastAsia="方正仿宋_GBK" w:cs="仿宋_GB2312"/>
          <w:color w:val="auto"/>
          <w:sz w:val="32"/>
          <w:szCs w:val="32"/>
          <w:highlight w:val="none"/>
          <w:lang w:val="en-US" w:eastAsia="zh-CN"/>
        </w:rPr>
        <w:t>顺序依次装订</w:t>
      </w:r>
      <w:r>
        <w:rPr>
          <w:rFonts w:hint="eastAsia" w:ascii="Times New Roman" w:hAnsi="Times New Roman" w:eastAsia="方正仿宋_GBK" w:cs="仿宋_GB2312"/>
          <w:color w:val="auto"/>
          <w:sz w:val="32"/>
          <w:szCs w:val="32"/>
          <w:highlight w:val="none"/>
          <w:lang w:val="en-US" w:eastAsia="zh-CN"/>
        </w:rPr>
        <w:t>成册。上述材料需加盖企业公章，并彩色扫描上传。</w:t>
      </w:r>
    </w:p>
    <w:p>
      <w:pPr>
        <w:keepNext w:val="0"/>
        <w:keepLines w:val="0"/>
        <w:pageBreakBefore w:val="0"/>
        <w:widowControl w:val="0"/>
        <w:kinsoku/>
        <w:wordWrap/>
        <w:overflowPunct/>
        <w:topLinePunct w:val="0"/>
        <w:autoSpaceDE/>
        <w:autoSpaceDN/>
        <w:bidi w:val="0"/>
        <w:adjustRightInd/>
        <w:snapToGrid/>
        <w:spacing w:line="580" w:lineRule="exact"/>
        <w:ind w:firstLine="768" w:firstLineChars="240"/>
        <w:textAlignment w:val="auto"/>
        <w:rPr>
          <w:rFonts w:hint="eastAsia" w:ascii="仿宋" w:hAnsi="仿宋" w:eastAsia="仿宋" w:cs="仿宋"/>
          <w:b/>
          <w:bCs/>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四、资金申报、审核和拨付流程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（一）申报流程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网上申报：</w:t>
      </w:r>
      <w:r>
        <w:rPr>
          <w:rFonts w:hint="eastAsia" w:ascii="Times New Roman" w:hAnsi="Times New Roman" w:eastAsia="方正仿宋_GBK" w:cs="仿宋_GB2312"/>
          <w:color w:val="auto"/>
          <w:sz w:val="32"/>
          <w:szCs w:val="32"/>
          <w:highlight w:val="none"/>
          <w:lang w:val="en-US" w:eastAsia="zh-CN"/>
        </w:rPr>
        <w:t>申报主体通过广东财政惠企利民服务平台（网址：https://czbt.czt.gd.gov.cn/），注册登录后完成项目申报。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2.初审：</w:t>
      </w:r>
      <w:r>
        <w:rPr>
          <w:rFonts w:hint="eastAsia" w:ascii="Times New Roman" w:hAnsi="Times New Roman" w:eastAsia="方正仿宋_GBK" w:cs="仿宋_GB2312"/>
          <w:color w:val="auto"/>
          <w:sz w:val="32"/>
          <w:szCs w:val="32"/>
          <w:highlight w:val="none"/>
          <w:lang w:val="en-US" w:eastAsia="zh-CN"/>
        </w:rPr>
        <w:t>县（区）商务主管部门登录广东财政惠企利民服务平台，对申报主体提交的材料进行完整性审查，材料不齐全或不符合要求的，告知申报主体按时、按要求补正材料。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申报企业在规定时间内从平台下载带水印的申报材料进行打印，装订成册</w:t>
      </w:r>
      <w:r>
        <w:rPr>
          <w:rFonts w:hint="eastAsia" w:ascii="Times New Roman" w:hAnsi="Times New Roman" w:eastAsia="方正仿宋_GBK" w:cs="仿宋_GB2312"/>
          <w:b/>
          <w:bCs/>
          <w:color w:val="auto"/>
          <w:sz w:val="32"/>
          <w:szCs w:val="32"/>
          <w:highlight w:val="none"/>
          <w:lang w:val="en-US" w:eastAsia="zh-CN"/>
        </w:rPr>
        <w:t>（一式三份）</w:t>
      </w:r>
      <w:r>
        <w:rPr>
          <w:rFonts w:hint="eastAsia" w:ascii="Times New Roman" w:hAnsi="Times New Roman" w:eastAsia="方正仿宋_GBK" w:cs="仿宋_GB2312"/>
          <w:b w:val="0"/>
          <w:bCs w:val="0"/>
          <w:color w:val="auto"/>
          <w:sz w:val="32"/>
          <w:szCs w:val="32"/>
          <w:highlight w:val="none"/>
          <w:lang w:val="en-US" w:eastAsia="zh-CN"/>
        </w:rPr>
        <w:t>，用档案袋封装并在封面标注企业名称，于202</w:t>
      </w:r>
      <w:r>
        <w:rPr>
          <w:rFonts w:hint="eastAsia" w:ascii="Times New Roman" w:hAnsi="Times New Roman" w:eastAsia="方正仿宋_GBK" w:cs="仿宋_GB2312"/>
          <w:color w:val="auto"/>
          <w:sz w:val="32"/>
          <w:szCs w:val="32"/>
          <w:highlight w:val="none"/>
          <w:lang w:val="en-US" w:eastAsia="zh-CN"/>
        </w:rPr>
        <w:t>5年5月15日前提交纸质材料到所属县（区）商务主管部门。县（区）商务主管部门核验申报材料真实、完整性，是否与网上提交的材料一致，不一致的，当场告知补正材料。县（区）商务主管部门完成初审后，填报附件2《___县（区）专项资金申报、初审情况表》，于2025年5月26日前连同企业申报材料</w:t>
      </w:r>
      <w:r>
        <w:rPr>
          <w:rFonts w:hint="eastAsia" w:ascii="Times New Roman" w:hAnsi="Times New Roman" w:eastAsia="方正仿宋_GBK" w:cs="仿宋_GB2312"/>
          <w:b/>
          <w:bCs/>
          <w:color w:val="auto"/>
          <w:sz w:val="32"/>
          <w:szCs w:val="32"/>
          <w:highlight w:val="none"/>
          <w:lang w:val="en-US" w:eastAsia="zh-CN"/>
        </w:rPr>
        <w:t>（一式两份）</w:t>
      </w:r>
      <w:r>
        <w:rPr>
          <w:rFonts w:hint="eastAsia" w:ascii="Times New Roman" w:hAnsi="Times New Roman" w:eastAsia="方正仿宋_GBK" w:cs="仿宋_GB2312"/>
          <w:color w:val="auto"/>
          <w:sz w:val="32"/>
          <w:szCs w:val="32"/>
          <w:highlight w:val="none"/>
          <w:lang w:val="en-US" w:eastAsia="zh-CN"/>
        </w:rPr>
        <w:t>及审核意见材料报送惠州市商务局外贸科。逾期未提供或提供材料的真实性、完整性存在问题而导致无法获得财政资助的，其结果由申请企业自行承担。</w:t>
      </w:r>
    </w:p>
    <w:p>
      <w:pPr>
        <w:pStyle w:val="4"/>
        <w:keepNext w:val="0"/>
        <w:keepLines w:val="0"/>
        <w:pageBreakBefore w:val="0"/>
        <w:widowControl/>
        <w:suppressLineNumbers w:val="0"/>
        <w:shd w:val="clear" w:color="auto" w:fill="auto"/>
        <w:kinsoku/>
        <w:wordWrap/>
        <w:overflowPunct/>
        <w:topLinePunct w:val="0"/>
        <w:autoSpaceDE/>
        <w:autoSpaceDN/>
        <w:bidi w:val="0"/>
        <w:snapToGrid/>
        <w:spacing w:before="0" w:beforeAutospacing="0" w:after="0" w:afterAutospacing="0" w:line="580" w:lineRule="exact"/>
        <w:ind w:right="0" w:firstLine="643" w:firstLineChars="200"/>
        <w:jc w:val="both"/>
        <w:textAlignment w:val="auto"/>
        <w:rPr>
          <w:rFonts w:hint="eastAsia" w:ascii="Times New Roman" w:hAnsi="Times New Roman" w:eastAsia="方正仿宋_GBK"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（二）资金</w:t>
      </w:r>
      <w:r>
        <w:rPr>
          <w:rFonts w:hint="eastAsia" w:ascii="仿宋_GB2312" w:hAnsi="仿宋_GB2312" w:eastAsia="仿宋_GB2312" w:cs="仿宋_GB2312"/>
          <w:b/>
          <w:bCs/>
          <w:color w:val="auto"/>
          <w:kern w:val="2"/>
          <w:sz w:val="32"/>
          <w:szCs w:val="32"/>
          <w:highlight w:val="none"/>
          <w:lang w:val="en-US" w:eastAsia="zh-CN" w:bidi="ar-SA"/>
        </w:rPr>
        <w:t>审核</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方正仿宋_GBK" w:cs="仿宋_GB2312"/>
          <w:color w:val="auto"/>
          <w:sz w:val="32"/>
          <w:szCs w:val="32"/>
          <w:highlight w:val="none"/>
          <w:lang w:val="en-US" w:eastAsia="zh-CN"/>
        </w:rPr>
        <w:t>申报材料经县（区）商务主管部门初审后上报；惠州市商务局委托第三方中介机构对申报材料进行评审；惠州市商务局会同国家外汇管理局惠州市分局对申报材料和第三方评审机构出具的评审报告进行审核，确定支持的项目纳入地市项目库范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Times New Roman" w:hAnsi="Times New Roman" w:eastAsia="方正仿宋_GBK" w:cs="仿宋_GB2312"/>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（三）公示：</w:t>
      </w:r>
      <w:r>
        <w:rPr>
          <w:rFonts w:hint="eastAsia" w:ascii="Times New Roman" w:hAnsi="Times New Roman" w:eastAsia="方正仿宋_GBK" w:cs="仿宋_GB2312"/>
          <w:color w:val="auto"/>
          <w:kern w:val="0"/>
          <w:sz w:val="32"/>
          <w:szCs w:val="32"/>
          <w:highlight w:val="none"/>
          <w:lang w:val="en-US" w:eastAsia="zh-CN" w:bidi="ar"/>
        </w:rPr>
        <w:t>根据第三方服务机构审核结果及专项资金申报指南，惠州市商务局拟定资金分配方案，经征询惠州市信用中心、报惠州市商务局局党组会审议通过后，在惠州市商务局门户网站发布公示，公示期共7天。公示期有异议的项目，惠州市商务局将组织核查，情况属实的，取消该企业财政资金支持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SA"/>
        </w:rPr>
        <w:t>（四）资金拨付</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方正仿宋_GBK" w:cs="仿宋_GB2312"/>
          <w:color w:val="auto"/>
          <w:kern w:val="2"/>
          <w:sz w:val="32"/>
          <w:szCs w:val="32"/>
          <w:highlight w:val="none"/>
          <w:lang w:val="en-US" w:eastAsia="zh-CN" w:bidi="ar-SA"/>
        </w:rPr>
        <w:t>经</w:t>
      </w:r>
      <w:r>
        <w:rPr>
          <w:rFonts w:hint="eastAsia" w:ascii="Times New Roman" w:hAnsi="Times New Roman" w:eastAsia="方正仿宋_GBK" w:cs="仿宋_GB2312"/>
          <w:color w:val="auto"/>
          <w:kern w:val="0"/>
          <w:sz w:val="32"/>
          <w:szCs w:val="32"/>
          <w:highlight w:val="none"/>
          <w:lang w:val="en-US" w:eastAsia="zh-CN" w:bidi="ar"/>
        </w:rPr>
        <w:t>公示无异议的，惠州市商务局将资金分配方案按流程上报，下达资金分配计划至县（区）商务主管部门，并向惠州市财政局提出资金明细分配计划请拨专项资金。惠州市财政局根据资金分配计划，按照有关规定办理专项资金拨付手续。</w:t>
      </w:r>
    </w:p>
    <w:p>
      <w:pPr>
        <w:pStyle w:val="11"/>
        <w:keepNext w:val="0"/>
        <w:keepLines w:val="0"/>
        <w:pageBreakBefore w:val="0"/>
        <w:widowControl w:val="0"/>
        <w:kinsoku/>
        <w:wordWrap/>
        <w:overflowPunct/>
        <w:topLinePunct w:val="0"/>
        <w:autoSpaceDE/>
        <w:autoSpaceDN/>
        <w:bidi w:val="0"/>
        <w:adjustRightInd/>
        <w:snapToGrid/>
        <w:spacing w:line="580" w:lineRule="exact"/>
        <w:ind w:left="300" w:firstLine="320" w:firstLineChars="100"/>
        <w:textAlignment w:val="auto"/>
        <w:rPr>
          <w:rFonts w:hint="eastAsia" w:ascii="仿宋" w:hAnsi="仿宋" w:eastAsia="仿宋" w:cs="仿宋"/>
          <w:b/>
          <w:bCs/>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五、资金监督和检查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1.申报企业应按照现行国家相关法律法规，依法合规开展外汇业务经营，保证提供材料的真实性，确保资金流和货物流的一致性，并自觉接受并配合外汇管理、海关、税务等相关单位开展业务核查。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2.银行应当为申报企业提供专业业务咨询及支持，为业务申报提供必要的资料，同时加强对申报企业业务背景资料的审核，切实按照展业三原则，做好尽职调查工作。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3.企业收到专项资金后，应按《企业财务通则》作相应的会计处理，建立健全项目和财务档案管理制度，自觉接受市、县区商务和财务主管部门等部门对资金使用情况的监督和检查。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4.任何单位不得挤占、截留、挪用专项资金。对违反规定的单位，严格按照有关规定进行处理。</w:t>
      </w:r>
    </w:p>
    <w:p>
      <w:pPr>
        <w:pStyle w:val="8"/>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s="仿宋_GB2312"/>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5.惠州市商务局根据有关规定对专项资金使用情况组织企业进行绩效自评，市财政局组织开展重点绩效评价。</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办理</w:t>
      </w:r>
      <w:r>
        <w:rPr>
          <w:rFonts w:hint="eastAsia" w:ascii="黑体" w:hAnsi="黑体" w:eastAsia="黑体" w:cs="黑体"/>
          <w:color w:val="auto"/>
          <w:sz w:val="32"/>
          <w:szCs w:val="32"/>
          <w:highlight w:val="none"/>
        </w:rPr>
        <w:t>部门</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Times New Roman" w:hAnsi="Times New Roman" w:eastAsia="方正仿宋_GBK" w:cs="仿宋_GB2312"/>
          <w:b w:val="0"/>
          <w:bCs w:val="0"/>
          <w:color w:val="auto"/>
          <w:sz w:val="32"/>
          <w:szCs w:val="32"/>
          <w:highlight w:val="none"/>
          <w:lang w:eastAsia="zh-CN"/>
        </w:rPr>
      </w:pPr>
      <w:r>
        <w:rPr>
          <w:rFonts w:hint="eastAsia" w:ascii="Times New Roman" w:hAnsi="Times New Roman" w:eastAsia="方正仿宋_GBK" w:cs="仿宋_GB2312"/>
          <w:color w:val="auto"/>
          <w:kern w:val="2"/>
          <w:sz w:val="32"/>
          <w:szCs w:val="32"/>
          <w:highlight w:val="none"/>
          <w:lang w:val="en-US" w:eastAsia="zh-CN" w:bidi="ar-SA"/>
        </w:rPr>
        <w:t>惠州市商务局。</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、受理窗口</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default" w:ascii="Times New Roman" w:hAnsi="Times New Roman" w:eastAsia="方正仿宋_GBK" w:cs="仿宋_GB2312"/>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线下受理窗口：惠城区</w:t>
      </w:r>
      <w:r>
        <w:rPr>
          <w:rFonts w:hint="default" w:ascii="Times New Roman" w:hAnsi="Times New Roman" w:eastAsia="方正仿宋_GBK" w:cs="仿宋_GB2312"/>
          <w:color w:val="auto"/>
          <w:kern w:val="2"/>
          <w:sz w:val="32"/>
          <w:szCs w:val="32"/>
          <w:highlight w:val="none"/>
          <w:lang w:val="en-US" w:eastAsia="zh-CN" w:bidi="ar-SA"/>
        </w:rPr>
        <w:t>江北三新北路31号2号楼40</w:t>
      </w:r>
      <w:r>
        <w:rPr>
          <w:rFonts w:hint="eastAsia" w:ascii="Times New Roman" w:hAnsi="Times New Roman" w:eastAsia="方正仿宋_GBK" w:cs="仿宋_GB2312"/>
          <w:color w:val="auto"/>
          <w:kern w:val="2"/>
          <w:sz w:val="32"/>
          <w:szCs w:val="32"/>
          <w:highlight w:val="none"/>
          <w:lang w:val="en-US" w:eastAsia="zh-CN" w:bidi="ar-SA"/>
        </w:rPr>
        <w:t>9</w:t>
      </w:r>
      <w:r>
        <w:rPr>
          <w:rFonts w:hint="default" w:ascii="Times New Roman" w:hAnsi="Times New Roman" w:eastAsia="方正仿宋_GBK" w:cs="仿宋_GB2312"/>
          <w:color w:val="auto"/>
          <w:kern w:val="2"/>
          <w:sz w:val="32"/>
          <w:szCs w:val="32"/>
          <w:highlight w:val="none"/>
          <w:lang w:val="en-US" w:eastAsia="zh-CN" w:bidi="ar-SA"/>
        </w:rPr>
        <w:t>室</w:t>
      </w:r>
      <w:r>
        <w:rPr>
          <w:rFonts w:hint="eastAsia" w:ascii="Times New Roman" w:hAnsi="Times New Roman" w:eastAsia="方正仿宋_GBK" w:cs="仿宋_GB2312"/>
          <w:color w:val="auto"/>
          <w:kern w:val="2"/>
          <w:sz w:val="32"/>
          <w:szCs w:val="32"/>
          <w:highlight w:val="none"/>
          <w:lang w:val="en-US" w:eastAsia="zh-CN" w:bidi="ar-SA"/>
        </w:rPr>
        <w:t>（收件人：罗嘉伟，电话：2680106）。</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、申报时间</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Times New Roman" w:hAnsi="Times New Roman" w:eastAsia="方正仿宋_GBK" w:cs="仿宋_GB2312"/>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2025年4月15日至5月15日。</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十、咨询电话</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default" w:ascii="Times New Roman" w:hAnsi="Times New Roman" w:eastAsia="方正仿宋_GBK" w:cs="仿宋_GB2312"/>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申报咨询联系电话：2680106。</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十一、</w:t>
      </w:r>
      <w:r>
        <w:rPr>
          <w:rFonts w:hint="eastAsia" w:ascii="黑体" w:hAnsi="黑体" w:eastAsia="黑体" w:cs="黑体"/>
          <w:color w:val="auto"/>
          <w:sz w:val="32"/>
          <w:szCs w:val="32"/>
          <w:highlight w:val="none"/>
          <w:lang w:val="en-US" w:eastAsia="zh-CN"/>
        </w:rPr>
        <w:t>收费标准</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default" w:ascii="Times New Roman" w:hAnsi="Times New Roman" w:eastAsia="方正仿宋_GBK" w:cs="仿宋"/>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不收费。</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、特别说明</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Times New Roman" w:hAnsi="Times New Roman" w:eastAsia="方正仿宋_GBK" w:cs="仿宋_GB2312"/>
          <w:color w:val="auto"/>
          <w:kern w:val="2"/>
          <w:sz w:val="32"/>
          <w:szCs w:val="32"/>
          <w:highlight w:val="none"/>
          <w:lang w:val="en-US" w:eastAsia="zh-CN" w:bidi="ar-SA"/>
        </w:rPr>
      </w:pPr>
      <w:r>
        <w:rPr>
          <w:rFonts w:hint="default" w:ascii="Times New Roman" w:hAnsi="Times New Roman" w:eastAsia="方正仿宋_GBK" w:cs="仿宋_GB2312"/>
          <w:color w:val="auto"/>
          <w:kern w:val="2"/>
          <w:sz w:val="32"/>
          <w:szCs w:val="32"/>
          <w:highlight w:val="none"/>
          <w:lang w:val="en-US" w:eastAsia="zh-CN" w:bidi="ar-SA"/>
        </w:rPr>
        <w:t>本申报指南</w:t>
      </w:r>
      <w:r>
        <w:rPr>
          <w:rFonts w:hint="eastAsia" w:ascii="Times New Roman" w:hAnsi="Times New Roman" w:eastAsia="方正仿宋_GBK" w:cs="仿宋_GB2312"/>
          <w:color w:val="auto"/>
          <w:kern w:val="2"/>
          <w:sz w:val="32"/>
          <w:szCs w:val="32"/>
          <w:highlight w:val="none"/>
          <w:lang w:val="en-US" w:eastAsia="zh-CN" w:bidi="ar-SA"/>
        </w:rPr>
        <w:t>最终解释权归惠州市商务局、国家外汇管理局惠州市分局。</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附件1-1 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2025年省级促进开放型经济发展水平提升专项资金（防范汇率风险支持）</w:t>
      </w:r>
    </w:p>
    <w:p>
      <w:pPr>
        <w:jc w:val="center"/>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申</w:t>
      </w:r>
    </w:p>
    <w:p>
      <w:pPr>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报</w:t>
      </w:r>
    </w:p>
    <w:p>
      <w:pPr>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材</w:t>
      </w:r>
    </w:p>
    <w:p>
      <w:pPr>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料</w:t>
      </w:r>
    </w:p>
    <w:p>
      <w:pPr>
        <w:jc w:val="both"/>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pStyle w:val="2"/>
        <w:rPr>
          <w:rFonts w:hint="eastAsia"/>
          <w:color w:val="auto"/>
          <w:highlight w:val="none"/>
          <w:lang w:val="en-US" w:eastAsia="zh-CN"/>
        </w:rPr>
      </w:pPr>
    </w:p>
    <w:p>
      <w:pPr>
        <w:pStyle w:val="8"/>
        <w:ind w:left="0" w:leftChars="0" w:firstLine="0" w:firstLineChars="0"/>
        <w:rPr>
          <w:rFonts w:hint="default"/>
          <w:color w:val="auto"/>
          <w:highlight w:val="none"/>
          <w:lang w:val="en-US" w:eastAsia="zh-CN"/>
        </w:rPr>
      </w:pPr>
    </w:p>
    <w:p>
      <w:pPr>
        <w:pStyle w:val="8"/>
        <w:ind w:left="0" w:leftChars="0" w:firstLine="0" w:firstLineChars="0"/>
        <w:rPr>
          <w:rFonts w:hint="default"/>
          <w:color w:val="auto"/>
          <w:highlight w:val="none"/>
          <w:lang w:val="en-US" w:eastAsia="zh-CN"/>
        </w:rPr>
      </w:pPr>
      <w:r>
        <w:rPr>
          <w:rFonts w:hint="eastAsia"/>
          <w:color w:val="auto"/>
          <w:highlight w:val="none"/>
          <w:lang w:val="en-US" w:eastAsia="zh-CN"/>
        </w:rPr>
        <w:t xml:space="preserve">附件1-2 </w:t>
      </w:r>
    </w:p>
    <w:tbl>
      <w:tblPr>
        <w:tblStyle w:val="5"/>
        <w:tblW w:w="91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81"/>
        <w:gridCol w:w="252"/>
        <w:gridCol w:w="582"/>
        <w:gridCol w:w="978"/>
        <w:gridCol w:w="102"/>
        <w:gridCol w:w="1038"/>
        <w:gridCol w:w="388"/>
        <w:gridCol w:w="201"/>
        <w:gridCol w:w="1175"/>
        <w:gridCol w:w="370"/>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jc w:val="center"/>
        </w:trPr>
        <w:tc>
          <w:tcPr>
            <w:tcW w:w="9101" w:type="dxa"/>
            <w:gridSpan w:val="11"/>
            <w:noWrap w:val="0"/>
            <w:vAlign w:val="center"/>
          </w:tcPr>
          <w:p>
            <w:pPr>
              <w:widowControl/>
              <w:jc w:val="center"/>
              <w:textAlignment w:val="center"/>
              <w:rPr>
                <w:rFonts w:ascii="仿宋_GB2312" w:hAnsi="宋体" w:eastAsia="仿宋_GB2312" w:cs="仿宋_GB2312"/>
                <w:b/>
                <w:i w:val="0"/>
                <w:color w:val="auto"/>
                <w:sz w:val="32"/>
                <w:szCs w:val="32"/>
                <w:highlight w:val="none"/>
                <w:u w:val="none"/>
              </w:rPr>
            </w:pPr>
            <w:r>
              <w:rPr>
                <w:rFonts w:hint="eastAsia" w:ascii="黑体" w:hAnsi="黑体" w:eastAsia="黑体" w:cs="黑体"/>
                <w:b w:val="0"/>
                <w:bCs/>
                <w:i w:val="0"/>
                <w:color w:val="auto"/>
                <w:kern w:val="0"/>
                <w:sz w:val="36"/>
                <w:szCs w:val="36"/>
                <w:highlight w:val="none"/>
                <w:u w:val="none"/>
                <w:lang w:val="en-US" w:eastAsia="zh-CN"/>
              </w:rPr>
              <w:t>2025年省级促进开放型经济发展水平提升专项资金（防范汇率风险支持）项目申请表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jc w:val="center"/>
        </w:trPr>
        <w:tc>
          <w:tcPr>
            <w:tcW w:w="2033" w:type="dxa"/>
            <w:gridSpan w:val="2"/>
            <w:noWrap w:val="0"/>
            <w:vAlign w:val="center"/>
          </w:tcPr>
          <w:p>
            <w:pPr>
              <w:jc w:val="center"/>
              <w:rPr>
                <w:rFonts w:hint="eastAsia" w:ascii="宋体" w:hAnsi="宋体" w:eastAsia="宋体" w:cs="宋体"/>
                <w:b/>
                <w:i w:val="0"/>
                <w:color w:val="auto"/>
                <w:sz w:val="28"/>
                <w:szCs w:val="28"/>
                <w:highlight w:val="none"/>
                <w:u w:val="none"/>
              </w:rPr>
            </w:pPr>
          </w:p>
        </w:tc>
        <w:tc>
          <w:tcPr>
            <w:tcW w:w="582" w:type="dxa"/>
            <w:noWrap w:val="0"/>
            <w:vAlign w:val="center"/>
          </w:tcPr>
          <w:p>
            <w:pPr>
              <w:jc w:val="center"/>
              <w:rPr>
                <w:rFonts w:hint="eastAsia" w:ascii="宋体" w:hAnsi="宋体" w:eastAsia="宋体" w:cs="宋体"/>
                <w:b/>
                <w:i w:val="0"/>
                <w:color w:val="auto"/>
                <w:sz w:val="28"/>
                <w:szCs w:val="28"/>
                <w:highlight w:val="none"/>
                <w:u w:val="none"/>
              </w:rPr>
            </w:pPr>
          </w:p>
        </w:tc>
        <w:tc>
          <w:tcPr>
            <w:tcW w:w="1080" w:type="dxa"/>
            <w:gridSpan w:val="2"/>
            <w:noWrap w:val="0"/>
            <w:vAlign w:val="center"/>
          </w:tcPr>
          <w:p>
            <w:pPr>
              <w:jc w:val="center"/>
              <w:rPr>
                <w:rFonts w:hint="eastAsia" w:ascii="宋体" w:hAnsi="宋体" w:eastAsia="宋体" w:cs="宋体"/>
                <w:b/>
                <w:i w:val="0"/>
                <w:color w:val="auto"/>
                <w:sz w:val="28"/>
                <w:szCs w:val="28"/>
                <w:highlight w:val="none"/>
                <w:u w:val="none"/>
              </w:rPr>
            </w:pPr>
          </w:p>
        </w:tc>
        <w:tc>
          <w:tcPr>
            <w:tcW w:w="1627" w:type="dxa"/>
            <w:gridSpan w:val="3"/>
            <w:noWrap w:val="0"/>
            <w:vAlign w:val="center"/>
          </w:tcPr>
          <w:p>
            <w:pPr>
              <w:jc w:val="center"/>
              <w:rPr>
                <w:rFonts w:hint="eastAsia" w:ascii="宋体" w:hAnsi="宋体" w:eastAsia="宋体" w:cs="宋体"/>
                <w:b/>
                <w:i w:val="0"/>
                <w:color w:val="auto"/>
                <w:sz w:val="28"/>
                <w:szCs w:val="28"/>
                <w:highlight w:val="none"/>
                <w:u w:val="none"/>
              </w:rPr>
            </w:pPr>
          </w:p>
        </w:tc>
        <w:tc>
          <w:tcPr>
            <w:tcW w:w="3779" w:type="dxa"/>
            <w:gridSpan w:val="3"/>
            <w:noWrap w:val="0"/>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 xml:space="preserve"> 年 </w:t>
            </w:r>
            <w:r>
              <w:rPr>
                <w:rFonts w:hint="eastAsia" w:ascii="宋体" w:hAnsi="宋体" w:cs="宋体"/>
                <w:i w:val="0"/>
                <w:color w:val="auto"/>
                <w:kern w:val="0"/>
                <w:sz w:val="24"/>
                <w:szCs w:val="24"/>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 xml:space="preserve"> 月 </w:t>
            </w:r>
            <w:r>
              <w:rPr>
                <w:rFonts w:hint="eastAsia" w:ascii="宋体" w:hAnsi="宋体" w:cs="宋体"/>
                <w:i w:val="0"/>
                <w:color w:val="auto"/>
                <w:kern w:val="0"/>
                <w:sz w:val="24"/>
                <w:szCs w:val="24"/>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 xml:space="preserve"> 日</w:t>
            </w:r>
            <w:r>
              <w:rPr>
                <w:rFonts w:hint="eastAsia" w:ascii="宋体" w:hAnsi="宋体" w:cs="宋体"/>
                <w:i w:val="0"/>
                <w:color w:val="auto"/>
                <w:kern w:val="0"/>
                <w:sz w:val="20"/>
                <w:szCs w:val="20"/>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2033" w:type="dxa"/>
            <w:gridSpan w:val="2"/>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单位名称</w:t>
            </w:r>
          </w:p>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（全称）</w:t>
            </w:r>
          </w:p>
        </w:tc>
        <w:tc>
          <w:tcPr>
            <w:tcW w:w="270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rPr>
              <w:t>注册</w:t>
            </w:r>
            <w:r>
              <w:rPr>
                <w:rFonts w:hint="eastAsia" w:ascii="宋体" w:hAnsi="宋体" w:eastAsia="宋体" w:cs="宋体"/>
                <w:i w:val="0"/>
                <w:color w:val="auto"/>
                <w:kern w:val="0"/>
                <w:sz w:val="24"/>
                <w:szCs w:val="24"/>
                <w:highlight w:val="none"/>
                <w:u w:val="none"/>
                <w:lang w:val="en-US" w:eastAsia="zh-CN"/>
              </w:rPr>
              <w:t>地址</w:t>
            </w:r>
          </w:p>
        </w:tc>
        <w:tc>
          <w:tcPr>
            <w:tcW w:w="260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2"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统一社会信用代码/</w:t>
            </w:r>
            <w:r>
              <w:rPr>
                <w:rFonts w:hint="eastAsia" w:ascii="宋体" w:hAnsi="宋体" w:eastAsia="宋体" w:cs="宋体"/>
                <w:i w:val="0"/>
                <w:color w:val="auto"/>
                <w:kern w:val="0"/>
                <w:sz w:val="24"/>
                <w:szCs w:val="24"/>
                <w:highlight w:val="none"/>
                <w:u w:val="none"/>
                <w:lang w:val="en-US" w:eastAsia="zh-CN"/>
              </w:rPr>
              <w:t>营业执照注册号</w:t>
            </w:r>
          </w:p>
        </w:tc>
        <w:tc>
          <w:tcPr>
            <w:tcW w:w="7068" w:type="dxa"/>
            <w:gridSpan w:val="9"/>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1"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法人代表姓名</w:t>
            </w:r>
          </w:p>
        </w:tc>
        <w:tc>
          <w:tcPr>
            <w:tcW w:w="2700" w:type="dxa"/>
            <w:gridSpan w:val="4"/>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联系电话</w:t>
            </w:r>
          </w:p>
        </w:tc>
        <w:tc>
          <w:tcPr>
            <w:tcW w:w="2604"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联系人</w:t>
            </w:r>
            <w:r>
              <w:rPr>
                <w:rFonts w:hint="eastAsia" w:ascii="宋体" w:hAnsi="宋体" w:cs="宋体"/>
                <w:i w:val="0"/>
                <w:color w:val="auto"/>
                <w:kern w:val="0"/>
                <w:sz w:val="24"/>
                <w:szCs w:val="24"/>
                <w:highlight w:val="none"/>
                <w:u w:val="none"/>
                <w:lang w:val="en-US" w:eastAsia="zh-CN"/>
              </w:rPr>
              <w:t xml:space="preserve">姓名  </w:t>
            </w:r>
          </w:p>
        </w:tc>
        <w:tc>
          <w:tcPr>
            <w:tcW w:w="2700" w:type="dxa"/>
            <w:gridSpan w:val="4"/>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联系电话</w:t>
            </w:r>
          </w:p>
        </w:tc>
        <w:tc>
          <w:tcPr>
            <w:tcW w:w="2604"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3"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海关编码</w:t>
            </w:r>
          </w:p>
        </w:tc>
        <w:tc>
          <w:tcPr>
            <w:tcW w:w="2700" w:type="dxa"/>
            <w:gridSpan w:val="4"/>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2024年进出口额（万元）</w:t>
            </w:r>
          </w:p>
        </w:tc>
        <w:tc>
          <w:tcPr>
            <w:tcW w:w="2604"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cs="宋体"/>
                <w:i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9"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投保出口信用</w:t>
            </w:r>
          </w:p>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保险时间</w:t>
            </w:r>
          </w:p>
        </w:tc>
        <w:tc>
          <w:tcPr>
            <w:tcW w:w="7068" w:type="dxa"/>
            <w:gridSpan w:val="9"/>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年   月 至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4"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i w:val="0"/>
                <w:color w:val="auto"/>
                <w:kern w:val="0"/>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202</w:t>
            </w:r>
            <w:r>
              <w:rPr>
                <w:rFonts w:hint="eastAsia" w:ascii="宋体" w:hAnsi="宋体" w:cs="宋体"/>
                <w:i w:val="0"/>
                <w:color w:val="auto"/>
                <w:sz w:val="24"/>
                <w:szCs w:val="24"/>
                <w:highlight w:val="none"/>
                <w:u w:val="none"/>
                <w:lang w:val="en-US" w:eastAsia="zh-CN"/>
              </w:rPr>
              <w:t>4</w:t>
            </w:r>
            <w:r>
              <w:rPr>
                <w:rFonts w:hint="eastAsia" w:ascii="宋体" w:hAnsi="宋体" w:eastAsia="宋体" w:cs="宋体"/>
                <w:i w:val="0"/>
                <w:color w:val="auto"/>
                <w:sz w:val="24"/>
                <w:szCs w:val="24"/>
                <w:highlight w:val="none"/>
                <w:u w:val="none"/>
                <w:lang w:val="en-US" w:eastAsia="zh-CN"/>
              </w:rPr>
              <w:t>年支付银行期权费总额（元）</w:t>
            </w:r>
          </w:p>
        </w:tc>
        <w:tc>
          <w:tcPr>
            <w:tcW w:w="2700" w:type="dxa"/>
            <w:gridSpan w:val="4"/>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noWrap w:val="0"/>
            <w:vAlign w:val="center"/>
          </w:tcPr>
          <w:p>
            <w:pPr>
              <w:jc w:val="center"/>
              <w:rPr>
                <w:rFonts w:hint="eastAsia" w:ascii="宋体" w:hAnsi="宋体" w:cs="宋体"/>
                <w:i w:val="0"/>
                <w:color w:val="auto"/>
                <w:kern w:val="0"/>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202</w:t>
            </w:r>
            <w:r>
              <w:rPr>
                <w:rFonts w:hint="eastAsia" w:ascii="宋体" w:hAnsi="宋体" w:cs="宋体"/>
                <w:i w:val="0"/>
                <w:color w:val="auto"/>
                <w:sz w:val="24"/>
                <w:szCs w:val="24"/>
                <w:highlight w:val="none"/>
                <w:u w:val="none"/>
                <w:lang w:val="en-US" w:eastAsia="zh-CN"/>
              </w:rPr>
              <w:t>4</w:t>
            </w:r>
            <w:r>
              <w:rPr>
                <w:rFonts w:hint="eastAsia" w:ascii="宋体" w:hAnsi="宋体" w:eastAsia="宋体" w:cs="宋体"/>
                <w:i w:val="0"/>
                <w:color w:val="auto"/>
                <w:sz w:val="24"/>
                <w:szCs w:val="24"/>
                <w:highlight w:val="none"/>
                <w:u w:val="none"/>
                <w:lang w:val="en-US" w:eastAsia="zh-CN"/>
              </w:rPr>
              <w:t>年远期结售汇履约交割人民币金额（元）</w:t>
            </w:r>
          </w:p>
        </w:tc>
        <w:tc>
          <w:tcPr>
            <w:tcW w:w="2604"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申请项目</w:t>
            </w:r>
          </w:p>
        </w:tc>
        <w:tc>
          <w:tcPr>
            <w:tcW w:w="7068" w:type="dxa"/>
            <w:gridSpan w:val="9"/>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□人民币外汇期权</w:t>
            </w:r>
            <w:r>
              <w:rPr>
                <w:rFonts w:hint="eastAsia" w:ascii="宋体" w:hAnsi="宋体" w:cs="宋体"/>
                <w:i w:val="0"/>
                <w:color w:val="auto"/>
                <w:sz w:val="24"/>
                <w:szCs w:val="24"/>
                <w:highlight w:val="none"/>
                <w:u w:val="none"/>
                <w:lang w:val="en-US" w:eastAsia="zh-CN"/>
              </w:rPr>
              <w:t xml:space="preserve">             </w:t>
            </w:r>
            <w:r>
              <w:rPr>
                <w:rFonts w:hint="eastAsia" w:ascii="宋体" w:hAnsi="宋体" w:cs="宋体"/>
                <w:i w:val="0"/>
                <w:color w:val="auto"/>
                <w:sz w:val="24"/>
                <w:szCs w:val="24"/>
                <w:highlight w:val="none"/>
                <w:u w:val="none"/>
                <w:lang w:eastAsia="zh-CN"/>
              </w:rPr>
              <w:t>□远期结售汇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kern w:val="0"/>
                <w:sz w:val="24"/>
                <w:szCs w:val="24"/>
                <w:highlight w:val="none"/>
                <w:u w:val="none"/>
                <w:lang w:val="en-US" w:eastAsia="zh-CN"/>
              </w:rPr>
              <w:t>申请资助金额（元）</w:t>
            </w:r>
          </w:p>
        </w:tc>
        <w:tc>
          <w:tcPr>
            <w:tcW w:w="7068"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开户银行名称</w:t>
            </w:r>
          </w:p>
        </w:tc>
        <w:tc>
          <w:tcPr>
            <w:tcW w:w="270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p>
        </w:tc>
        <w:tc>
          <w:tcPr>
            <w:tcW w:w="176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账户户名</w:t>
            </w:r>
          </w:p>
        </w:tc>
        <w:tc>
          <w:tcPr>
            <w:tcW w:w="260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8"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银行账号</w:t>
            </w:r>
          </w:p>
        </w:tc>
        <w:tc>
          <w:tcPr>
            <w:tcW w:w="270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开户行地址</w:t>
            </w:r>
          </w:p>
        </w:tc>
        <w:tc>
          <w:tcPr>
            <w:tcW w:w="260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1" w:hRule="atLeast"/>
          <w:jc w:val="center"/>
        </w:trPr>
        <w:tc>
          <w:tcPr>
            <w:tcW w:w="9101" w:type="dxa"/>
            <w:gridSpan w:val="11"/>
            <w:tcBorders>
              <w:left w:val="single" w:color="000000" w:sz="4" w:space="0"/>
              <w:bottom w:val="nil"/>
              <w:right w:val="single" w:color="000000" w:sz="4" w:space="0"/>
            </w:tcBorders>
            <w:noWrap w:val="0"/>
            <w:vAlign w:val="center"/>
          </w:tcPr>
          <w:p>
            <w:pPr>
              <w:widowControl/>
              <w:jc w:val="lef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本企业承诺并保证所提供的申报材料真实无误，如有虚假，愿意承担相关法律责任。如获专项资金资助，将按文件规定的资金使用范围和有关财务规定使用，并接受商务</w:t>
            </w:r>
            <w:r>
              <w:rPr>
                <w:rFonts w:hint="eastAsia" w:ascii="宋体" w:hAnsi="宋体" w:cs="宋体"/>
                <w:i w:val="0"/>
                <w:color w:val="auto"/>
                <w:kern w:val="0"/>
                <w:sz w:val="24"/>
                <w:szCs w:val="24"/>
                <w:highlight w:val="none"/>
                <w:u w:val="none"/>
                <w:lang w:val="en-US" w:eastAsia="zh-CN"/>
              </w:rPr>
              <w:t>、外汇</w:t>
            </w:r>
            <w:r>
              <w:rPr>
                <w:rFonts w:hint="eastAsia" w:ascii="宋体" w:hAnsi="宋体" w:eastAsia="宋体" w:cs="宋体"/>
                <w:i w:val="0"/>
                <w:color w:val="auto"/>
                <w:kern w:val="0"/>
                <w:sz w:val="24"/>
                <w:szCs w:val="24"/>
                <w:highlight w:val="none"/>
                <w:u w:val="none"/>
                <w:lang w:val="en-US" w:eastAsia="zh-CN"/>
              </w:rPr>
              <w:t xml:space="preserve">和财政部门的监督。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2" w:hRule="atLeast"/>
          <w:jc w:val="center"/>
        </w:trPr>
        <w:tc>
          <w:tcPr>
            <w:tcW w:w="1781" w:type="dxa"/>
            <w:tcBorders>
              <w:top w:val="nil"/>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法人代表签字</w:t>
            </w:r>
          </w:p>
        </w:tc>
        <w:tc>
          <w:tcPr>
            <w:tcW w:w="1812" w:type="dxa"/>
            <w:gridSpan w:val="3"/>
            <w:tcBorders>
              <w:top w:val="nil"/>
              <w:bottom w:val="single" w:color="000000" w:sz="4" w:space="0"/>
            </w:tcBorders>
            <w:noWrap w:val="0"/>
            <w:vAlign w:val="center"/>
          </w:tcPr>
          <w:p>
            <w:pPr>
              <w:rPr>
                <w:rFonts w:hint="eastAsia" w:ascii="宋体" w:hAnsi="宋体" w:eastAsia="宋体" w:cs="宋体"/>
                <w:i w:val="0"/>
                <w:color w:val="auto"/>
                <w:sz w:val="24"/>
                <w:szCs w:val="24"/>
                <w:highlight w:val="none"/>
                <w:u w:val="none"/>
              </w:rPr>
            </w:pPr>
          </w:p>
        </w:tc>
        <w:tc>
          <w:tcPr>
            <w:tcW w:w="1528" w:type="dxa"/>
            <w:gridSpan w:val="3"/>
            <w:tcBorders>
              <w:top w:val="nil"/>
              <w:bottom w:val="single" w:color="000000" w:sz="4" w:space="0"/>
            </w:tcBorders>
            <w:noWrap w:val="0"/>
            <w:vAlign w:val="center"/>
          </w:tcPr>
          <w:p>
            <w:pPr>
              <w:rPr>
                <w:rFonts w:hint="eastAsia" w:ascii="宋体" w:hAnsi="宋体" w:eastAsia="宋体" w:cs="宋体"/>
                <w:i w:val="0"/>
                <w:color w:val="auto"/>
                <w:sz w:val="24"/>
                <w:szCs w:val="24"/>
                <w:highlight w:val="none"/>
                <w:u w:val="none"/>
              </w:rPr>
            </w:pPr>
          </w:p>
        </w:tc>
        <w:tc>
          <w:tcPr>
            <w:tcW w:w="1746" w:type="dxa"/>
            <w:gridSpan w:val="3"/>
            <w:tcBorders>
              <w:top w:val="nil"/>
              <w:bottom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单位公章                                                                                                                                                </w:t>
            </w:r>
          </w:p>
        </w:tc>
        <w:tc>
          <w:tcPr>
            <w:tcW w:w="2234" w:type="dxa"/>
            <w:tcBorders>
              <w:top w:val="nil"/>
              <w:bottom w:val="single" w:color="000000" w:sz="4" w:space="0"/>
              <w:right w:val="single" w:color="000000" w:sz="4" w:space="0"/>
            </w:tcBorders>
            <w:noWrap w:val="0"/>
            <w:vAlign w:val="center"/>
          </w:tcPr>
          <w:p>
            <w:pPr>
              <w:rPr>
                <w:rFonts w:hint="eastAsia" w:ascii="宋体" w:hAnsi="宋体" w:eastAsia="宋体" w:cs="宋体"/>
                <w:i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18"/>
          <w:szCs w:val="18"/>
          <w:highlight w:val="none"/>
          <w:lang w:eastAsia="zh-CN"/>
        </w:rPr>
        <w:t>注：</w:t>
      </w:r>
      <w:r>
        <w:rPr>
          <w:rFonts w:hint="eastAsia" w:ascii="宋体" w:hAnsi="宋体" w:cs="宋体"/>
          <w:b w:val="0"/>
          <w:bCs w:val="0"/>
          <w:color w:val="auto"/>
          <w:sz w:val="18"/>
          <w:szCs w:val="18"/>
          <w:highlight w:val="none"/>
          <w:lang w:val="en-US" w:eastAsia="zh-CN"/>
        </w:rPr>
        <w:t>1.支持对象于2024年1月1日至2024年12月31日期间在惠州市内银行机构办理人民币对外汇期权用于规避汇率风险的，可按办理签约买入期权产生的期权费给予不超过50%费用补贴；组合期权业务，如企业需向银行支付期权费的，按本标准给予费用资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   2.支持对象于2024年1月1日至2024年12月31日期间在惠州市内银行办理远期结售汇用于规避汇率风险的，可按远期结售汇履约人民币金额不超过千分之二标准给予资金支持。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   3.单家企业（单位）两项合计资金支持金额最高不超3万元，资助金额低于5000元的不予支持。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outlineLvl w:val="9"/>
        <w:rPr>
          <w:rFonts w:hint="eastAsia" w:ascii="宋体" w:hAnsi="宋体" w:eastAsia="宋体" w:cs="宋体"/>
          <w:color w:val="auto"/>
          <w:sz w:val="18"/>
          <w:szCs w:val="18"/>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outlineLvl w:val="9"/>
        <w:rPr>
          <w:rFonts w:hint="eastAsia"/>
          <w:color w:val="auto"/>
          <w:highlight w:val="none"/>
          <w:lang w:val="en-US" w:eastAsia="zh-CN"/>
        </w:rPr>
      </w:pPr>
      <w:r>
        <w:rPr>
          <w:rFonts w:hint="eastAsia"/>
          <w:color w:val="auto"/>
          <w:highlight w:val="none"/>
          <w:lang w:val="en-US" w:eastAsia="zh-CN"/>
        </w:rPr>
        <w:t xml:space="preserve">附件1-3 </w:t>
      </w:r>
    </w:p>
    <w:p>
      <w:pPr>
        <w:jc w:val="center"/>
        <w:rPr>
          <w:rFonts w:hint="eastAsia" w:ascii="黑体" w:hAnsi="黑体" w:eastAsia="黑体" w:cs="黑体"/>
          <w:b w:val="0"/>
          <w:bCs/>
          <w:color w:val="auto"/>
          <w:sz w:val="44"/>
          <w:szCs w:val="44"/>
          <w:highlight w:val="none"/>
        </w:rPr>
      </w:pPr>
      <w:r>
        <w:rPr>
          <w:rFonts w:hint="eastAsia" w:ascii="黑体" w:hAnsi="黑体" w:eastAsia="黑体" w:cs="黑体"/>
          <w:b w:val="0"/>
          <w:bCs/>
          <w:color w:val="auto"/>
          <w:sz w:val="44"/>
          <w:szCs w:val="44"/>
          <w:highlight w:val="none"/>
          <w:lang w:val="en-US" w:eastAsia="zh-CN"/>
        </w:rPr>
        <w:t>人民币外汇期权业务</w:t>
      </w:r>
      <w:r>
        <w:rPr>
          <w:rFonts w:hint="eastAsia" w:ascii="黑体" w:hAnsi="黑体" w:eastAsia="黑体" w:cs="黑体"/>
          <w:b w:val="0"/>
          <w:bCs/>
          <w:color w:val="auto"/>
          <w:sz w:val="44"/>
          <w:szCs w:val="44"/>
          <w:highlight w:val="none"/>
        </w:rPr>
        <w:t>明细表</w:t>
      </w:r>
    </w:p>
    <w:p>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2024</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w:t>
      </w:r>
      <w:r>
        <w:rPr>
          <w:rFonts w:hint="eastAsia" w:ascii="宋体" w:hAnsi="宋体" w:eastAsia="宋体"/>
          <w:color w:val="auto"/>
          <w:sz w:val="24"/>
          <w:highlight w:val="none"/>
        </w:rPr>
        <w:t>月至</w:t>
      </w:r>
      <w:r>
        <w:rPr>
          <w:rFonts w:hint="eastAsia" w:ascii="宋体" w:hAnsi="宋体"/>
          <w:color w:val="auto"/>
          <w:sz w:val="24"/>
          <w:highlight w:val="none"/>
          <w:lang w:val="en-US" w:eastAsia="zh-CN"/>
        </w:rPr>
        <w:t xml:space="preserve"> 2024</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12</w:t>
      </w:r>
      <w:r>
        <w:rPr>
          <w:rFonts w:hint="eastAsia" w:ascii="宋体" w:hAnsi="宋体" w:eastAsia="宋体"/>
          <w:color w:val="auto"/>
          <w:sz w:val="24"/>
          <w:highlight w:val="none"/>
        </w:rPr>
        <w:t>月）</w:t>
      </w:r>
    </w:p>
    <w:p>
      <w:pPr>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olor w:val="auto"/>
          <w:sz w:val="24"/>
          <w:highlight w:val="none"/>
        </w:rPr>
        <w:t>单位（公章）：</w:t>
      </w:r>
    </w:p>
    <w:tbl>
      <w:tblPr>
        <w:tblStyle w:val="5"/>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1182"/>
        <w:gridCol w:w="1668"/>
        <w:gridCol w:w="1326"/>
        <w:gridCol w:w="1326"/>
        <w:gridCol w:w="1568"/>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1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签约</w:t>
            </w:r>
            <w:r>
              <w:rPr>
                <w:rFonts w:hint="eastAsia" w:ascii="宋体" w:hAnsi="宋体" w:eastAsia="宋体" w:cs="宋体"/>
                <w:b/>
                <w:bCs/>
                <w:i w:val="0"/>
                <w:iCs w:val="0"/>
                <w:color w:val="auto"/>
                <w:kern w:val="0"/>
                <w:sz w:val="24"/>
                <w:szCs w:val="24"/>
                <w:highlight w:val="none"/>
                <w:u w:val="none"/>
                <w:lang w:val="en-US" w:eastAsia="zh-CN" w:bidi="ar"/>
              </w:rPr>
              <w:t>日期</w:t>
            </w:r>
          </w:p>
        </w:tc>
        <w:tc>
          <w:tcPr>
            <w:tcW w:w="16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银行业务编号</w:t>
            </w:r>
          </w:p>
        </w:tc>
        <w:tc>
          <w:tcPr>
            <w:tcW w:w="265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合约本</w:t>
            </w:r>
            <w:r>
              <w:rPr>
                <w:rFonts w:hint="eastAsia" w:ascii="宋体" w:hAnsi="宋体" w:cs="宋体"/>
                <w:b/>
                <w:bCs/>
                <w:i w:val="0"/>
                <w:iCs w:val="0"/>
                <w:color w:val="auto"/>
                <w:kern w:val="0"/>
                <w:sz w:val="24"/>
                <w:szCs w:val="24"/>
                <w:highlight w:val="none"/>
                <w:u w:val="none"/>
                <w:lang w:val="en-US" w:eastAsia="zh-CN" w:bidi="ar"/>
              </w:rPr>
              <w:t>金</w:t>
            </w:r>
          </w:p>
        </w:tc>
        <w:tc>
          <w:tcPr>
            <w:tcW w:w="15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支付银</w:t>
            </w:r>
            <w:r>
              <w:rPr>
                <w:rFonts w:hint="eastAsia" w:ascii="宋体" w:hAnsi="宋体" w:cs="宋体"/>
                <w:b/>
                <w:bCs/>
                <w:i w:val="0"/>
                <w:iCs w:val="0"/>
                <w:color w:val="auto"/>
                <w:kern w:val="0"/>
                <w:sz w:val="24"/>
                <w:szCs w:val="24"/>
                <w:highlight w:val="none"/>
                <w:u w:val="none"/>
                <w:lang w:val="en-US" w:eastAsia="zh-CN" w:bidi="ar"/>
              </w:rPr>
              <w:t>行</w:t>
            </w:r>
            <w:r>
              <w:rPr>
                <w:rFonts w:hint="eastAsia" w:ascii="宋体" w:hAnsi="宋体" w:eastAsia="宋体" w:cs="宋体"/>
                <w:b/>
                <w:bCs/>
                <w:i w:val="0"/>
                <w:iCs w:val="0"/>
                <w:color w:val="auto"/>
                <w:kern w:val="0"/>
                <w:sz w:val="24"/>
                <w:szCs w:val="24"/>
                <w:highlight w:val="none"/>
                <w:u w:val="none"/>
                <w:lang w:val="en-US" w:eastAsia="zh-CN" w:bidi="ar"/>
              </w:rPr>
              <w:t>期权费（元）</w:t>
            </w:r>
          </w:p>
        </w:tc>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1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币种</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金额</w:t>
            </w:r>
          </w:p>
        </w:tc>
        <w:tc>
          <w:tcPr>
            <w:tcW w:w="1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注释</w:t>
      </w:r>
      <w:r>
        <w:rPr>
          <w:rFonts w:hint="eastAsia" w:ascii="宋体" w:hAnsi="宋体" w:eastAsia="宋体" w:cs="宋体"/>
          <w:color w:val="auto"/>
          <w:highlight w:val="none"/>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签约日期：是指在银行办理人民币外汇期权签约的日期，填写格式：202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-01-01</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银行业务编号：是指在银行办理人民币外汇期权签约的业务编号。</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合约本金：是指在银行办理人民币外汇期权签约时合约上的名义本金。</w:t>
      </w:r>
    </w:p>
    <w:p>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币种：人民币外汇期权签约的外币币种，以币种简写字母填列，如美元应填写为USD，详</w:t>
      </w:r>
      <w:r>
        <w:rPr>
          <w:rFonts w:hint="eastAsia" w:ascii="宋体" w:hAnsi="宋体" w:eastAsia="宋体" w:cs="宋体"/>
          <w:color w:val="auto"/>
          <w:highlight w:val="none"/>
          <w:lang w:eastAsia="zh-CN"/>
        </w:rPr>
        <w:t>见</w:t>
      </w:r>
      <w:r>
        <w:rPr>
          <w:rFonts w:hint="eastAsia" w:ascii="宋体" w:hAnsi="宋体" w:eastAsia="宋体" w:cs="宋体"/>
          <w:color w:val="auto"/>
          <w:highlight w:val="none"/>
        </w:rPr>
        <w:t>常用外币简写字母表。</w:t>
      </w:r>
    </w:p>
    <w:p>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金额：人民币外汇期权签约的外币金额，保留两位小数点。如100万美元，填写为1,000,000.00</w:t>
      </w:r>
      <w:r>
        <w:rPr>
          <w:rFonts w:hint="eastAsia" w:ascii="宋体" w:hAnsi="宋体" w:eastAsia="宋体" w:cs="宋体"/>
          <w:color w:val="auto"/>
          <w:highlight w:val="none"/>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支付银行期权费：是指在银行办理人民币外汇期权签约支付给银行的期权费，以银行收费回单金额填写，币种为人民币，单位为元，保留两位小数点，如2,000.00</w:t>
      </w:r>
      <w:r>
        <w:rPr>
          <w:rFonts w:hint="eastAsia" w:ascii="宋体" w:hAnsi="宋体" w:eastAsia="宋体" w:cs="宋体"/>
          <w:color w:val="auto"/>
          <w:highlight w:val="none"/>
          <w:lang w:eastAsia="zh-CN"/>
        </w:rPr>
        <w:t>。</w:t>
      </w:r>
    </w:p>
    <w:p>
      <w:pPr>
        <w:pStyle w:val="8"/>
        <w:ind w:left="0" w:leftChars="0" w:firstLine="0" w:firstLineChars="0"/>
        <w:rPr>
          <w:rFonts w:hint="eastAsia"/>
          <w:color w:val="auto"/>
          <w:highlight w:val="none"/>
          <w:lang w:val="en-US" w:eastAsia="zh-CN"/>
        </w:rPr>
      </w:pPr>
      <w:r>
        <w:rPr>
          <w:rFonts w:hint="eastAsia"/>
          <w:color w:val="auto"/>
          <w:highlight w:val="none"/>
          <w:lang w:val="en-US" w:eastAsia="zh-CN"/>
        </w:rPr>
        <w:t xml:space="preserve">附件1-4 </w:t>
      </w:r>
    </w:p>
    <w:p>
      <w:pPr>
        <w:jc w:val="center"/>
        <w:rPr>
          <w:rFonts w:hint="eastAsia" w:ascii="黑体" w:hAnsi="黑体" w:eastAsia="黑体" w:cs="黑体"/>
          <w:b w:val="0"/>
          <w:bCs/>
          <w:color w:val="auto"/>
          <w:sz w:val="44"/>
          <w:szCs w:val="44"/>
          <w:highlight w:val="none"/>
        </w:rPr>
      </w:pPr>
      <w:r>
        <w:rPr>
          <w:rFonts w:hint="eastAsia" w:ascii="黑体" w:hAnsi="黑体" w:eastAsia="黑体" w:cs="黑体"/>
          <w:b w:val="0"/>
          <w:bCs/>
          <w:color w:val="auto"/>
          <w:sz w:val="44"/>
          <w:szCs w:val="44"/>
          <w:highlight w:val="none"/>
          <w:lang w:val="en-US" w:eastAsia="zh-CN"/>
        </w:rPr>
        <w:t>远期结售汇业务</w:t>
      </w:r>
      <w:r>
        <w:rPr>
          <w:rFonts w:hint="eastAsia" w:ascii="黑体" w:hAnsi="黑体" w:eastAsia="黑体" w:cs="黑体"/>
          <w:b w:val="0"/>
          <w:bCs/>
          <w:color w:val="auto"/>
          <w:sz w:val="44"/>
          <w:szCs w:val="44"/>
          <w:highlight w:val="none"/>
        </w:rPr>
        <w:t>明细表</w:t>
      </w:r>
    </w:p>
    <w:p>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2024</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w:t>
      </w:r>
      <w:r>
        <w:rPr>
          <w:rFonts w:hint="eastAsia" w:ascii="宋体" w:hAnsi="宋体" w:eastAsia="宋体"/>
          <w:color w:val="auto"/>
          <w:sz w:val="24"/>
          <w:highlight w:val="none"/>
        </w:rPr>
        <w:t>月至</w:t>
      </w:r>
      <w:r>
        <w:rPr>
          <w:rFonts w:hint="eastAsia" w:ascii="宋体" w:hAnsi="宋体"/>
          <w:color w:val="auto"/>
          <w:sz w:val="24"/>
          <w:highlight w:val="none"/>
          <w:lang w:val="en-US" w:eastAsia="zh-CN"/>
        </w:rPr>
        <w:t xml:space="preserve"> 2024</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12</w:t>
      </w:r>
      <w:r>
        <w:rPr>
          <w:rFonts w:hint="eastAsia" w:ascii="宋体" w:hAnsi="宋体" w:eastAsia="宋体"/>
          <w:color w:val="auto"/>
          <w:sz w:val="24"/>
          <w:highlight w:val="none"/>
        </w:rPr>
        <w:t>月）</w:t>
      </w:r>
    </w:p>
    <w:p>
      <w:pPr>
        <w:ind w:firstLine="360" w:firstLineChars="150"/>
        <w:rPr>
          <w:rFonts w:hint="eastAsia" w:ascii="宋体" w:hAnsi="宋体" w:eastAsia="宋体"/>
          <w:color w:val="auto"/>
          <w:sz w:val="24"/>
          <w:highlight w:val="none"/>
        </w:rPr>
      </w:pPr>
      <w:r>
        <w:rPr>
          <w:rFonts w:hint="eastAsia" w:ascii="宋体" w:hAnsi="宋体" w:eastAsia="宋体"/>
          <w:color w:val="auto"/>
          <w:sz w:val="24"/>
          <w:highlight w:val="none"/>
        </w:rPr>
        <w:t>单位（公章）：</w:t>
      </w:r>
    </w:p>
    <w:tbl>
      <w:tblPr>
        <w:tblStyle w:val="5"/>
        <w:tblpPr w:leftFromText="180" w:rightFromText="180" w:vertAnchor="text" w:horzAnchor="page" w:tblpX="1927" w:tblpY="103"/>
        <w:tblOverlap w:val="never"/>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746"/>
        <w:gridCol w:w="746"/>
        <w:gridCol w:w="1678"/>
        <w:gridCol w:w="1030"/>
        <w:gridCol w:w="1047"/>
        <w:gridCol w:w="1523"/>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日期</w:t>
            </w:r>
          </w:p>
        </w:tc>
        <w:tc>
          <w:tcPr>
            <w:tcW w:w="1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银行业务编号</w:t>
            </w:r>
          </w:p>
        </w:tc>
        <w:tc>
          <w:tcPr>
            <w:tcW w:w="20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合约本金</w:t>
            </w:r>
          </w:p>
        </w:tc>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履约人民币金额</w:t>
            </w:r>
            <w:r>
              <w:rPr>
                <w:rFonts w:hint="eastAsia" w:ascii="宋体" w:hAnsi="宋体" w:eastAsia="宋体" w:cs="宋体"/>
                <w:b/>
                <w:bCs/>
                <w:i w:val="0"/>
                <w:iCs w:val="0"/>
                <w:color w:val="auto"/>
                <w:kern w:val="0"/>
                <w:sz w:val="24"/>
                <w:szCs w:val="24"/>
                <w:highlight w:val="none"/>
                <w:u w:val="none"/>
                <w:lang w:val="en-US" w:eastAsia="zh-CN" w:bidi="ar"/>
              </w:rPr>
              <w:t>（元）</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lang w:eastAsia="zh-CN"/>
              </w:rPr>
            </w:pPr>
            <w:r>
              <w:rPr>
                <w:rFonts w:hint="eastAsia" w:ascii="宋体" w:hAnsi="宋体" w:cs="宋体"/>
                <w:b/>
                <w:bCs/>
                <w:i w:val="0"/>
                <w:iCs w:val="0"/>
                <w:color w:val="auto"/>
                <w:sz w:val="24"/>
                <w:szCs w:val="24"/>
                <w:highlight w:val="none"/>
                <w:u w:val="none"/>
                <w:lang w:eastAsia="zh-CN"/>
              </w:rPr>
              <w:t>签约</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lang w:eastAsia="zh-CN"/>
              </w:rPr>
            </w:pPr>
            <w:r>
              <w:rPr>
                <w:rFonts w:hint="eastAsia" w:ascii="宋体" w:hAnsi="宋体" w:cs="宋体"/>
                <w:b/>
                <w:bCs/>
                <w:i w:val="0"/>
                <w:iCs w:val="0"/>
                <w:color w:val="auto"/>
                <w:sz w:val="24"/>
                <w:szCs w:val="24"/>
                <w:highlight w:val="none"/>
                <w:u w:val="none"/>
                <w:lang w:eastAsia="zh-CN"/>
              </w:rPr>
              <w:t>履约</w:t>
            </w:r>
          </w:p>
        </w:tc>
        <w:tc>
          <w:tcPr>
            <w:tcW w:w="1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币种</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金额</w:t>
            </w:r>
          </w:p>
        </w:tc>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15"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jc w:val="both"/>
        <w:textAlignment w:val="auto"/>
        <w:rPr>
          <w:rFonts w:hint="default"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宋体"/>
          <w:color w:val="auto"/>
          <w:highlight w:val="none"/>
          <w:lang w:eastAsia="zh-CN"/>
        </w:rPr>
      </w:pPr>
      <w:r>
        <w:rPr>
          <w:color w:val="auto"/>
          <w:highlight w:val="none"/>
        </w:rPr>
        <w:t>注释</w:t>
      </w:r>
      <w:r>
        <w:rPr>
          <w:rFonts w:hint="eastAsia"/>
          <w:color w:val="auto"/>
          <w:highlight w:val="none"/>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日期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（1）签约：是指在银行办理远期结售汇业务签约的日期，填写格式：202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-01-01</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（2）履约：是指在银行办理远期结售汇业务履约交割的日期，填写格式：202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-01-01</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银行业务编号：是指在银行办理远期结售汇签约的业务编号。</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合约本金：是指在银行办理人民币远期结售汇签约时合约上的名义本金。</w:t>
      </w:r>
    </w:p>
    <w:p>
      <w:pPr>
        <w:pStyle w:val="11"/>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（1）币种：远期结售汇签约的外币币种，以币种简写字母填列，如美元应填写为USD，详</w:t>
      </w:r>
      <w:r>
        <w:rPr>
          <w:rFonts w:hint="eastAsia" w:ascii="宋体" w:hAnsi="宋体" w:eastAsia="宋体" w:cs="宋体"/>
          <w:color w:val="auto"/>
          <w:highlight w:val="none"/>
          <w:lang w:eastAsia="zh-CN"/>
        </w:rPr>
        <w:t>见</w:t>
      </w:r>
      <w:r>
        <w:rPr>
          <w:rFonts w:hint="eastAsia" w:ascii="宋体" w:hAnsi="宋体" w:eastAsia="宋体" w:cs="宋体"/>
          <w:color w:val="auto"/>
          <w:highlight w:val="none"/>
        </w:rPr>
        <w:t>细常用外币简写字母表。</w:t>
      </w:r>
    </w:p>
    <w:p>
      <w:pPr>
        <w:pStyle w:val="11"/>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（2）金额：远期结售汇签约的外币金额，保留两位小数点。如100万美元，填写为1,000,000.00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履约人民币金额：是指在银行办理远期结售汇履约交割的金额，币种为人民币，单位为元，保留两位小数点，如10,200,000.00</w:t>
      </w:r>
      <w:r>
        <w:rPr>
          <w:rFonts w:hint="eastAsia"/>
          <w:color w:val="auto"/>
          <w:highlight w:val="none"/>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color w:val="auto"/>
          <w:highlight w:val="none"/>
          <w:lang w:val="en-US" w:eastAsia="zh-CN"/>
        </w:rPr>
      </w:pPr>
    </w:p>
    <w:p>
      <w:pPr>
        <w:pStyle w:val="7"/>
        <w:ind w:left="0" w:leftChars="0" w:firstLine="0" w:firstLineChars="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附件</w:t>
      </w:r>
      <w:r>
        <w:rPr>
          <w:rFonts w:hint="eastAsia" w:ascii="仿宋" w:hAnsi="仿宋" w:eastAsia="仿宋" w:cs="仿宋"/>
          <w:color w:val="auto"/>
          <w:sz w:val="32"/>
          <w:szCs w:val="32"/>
          <w:highlight w:val="none"/>
          <w:lang w:val="en-US" w:eastAsia="zh-CN"/>
        </w:rPr>
        <w:t>1-5</w:t>
      </w:r>
    </w:p>
    <w:p>
      <w:pPr>
        <w:pStyle w:val="11"/>
        <w:ind w:left="360" w:firstLine="0" w:firstLineChars="0"/>
        <w:jc w:val="center"/>
        <w:rPr>
          <w:rFonts w:hint="eastAsia" w:ascii="黑体" w:hAnsi="黑体" w:eastAsia="黑体" w:cs="黑体"/>
          <w:b w:val="0"/>
          <w:bCs/>
          <w:color w:val="auto"/>
          <w:kern w:val="2"/>
          <w:sz w:val="44"/>
          <w:szCs w:val="44"/>
          <w:highlight w:val="none"/>
          <w:lang w:val="en-US" w:eastAsia="zh-CN" w:bidi="ar-SA"/>
        </w:rPr>
      </w:pPr>
      <w:r>
        <w:rPr>
          <w:rFonts w:hint="eastAsia" w:ascii="黑体" w:hAnsi="黑体" w:eastAsia="黑体" w:cs="黑体"/>
          <w:b w:val="0"/>
          <w:bCs/>
          <w:color w:val="auto"/>
          <w:kern w:val="2"/>
          <w:sz w:val="44"/>
          <w:szCs w:val="44"/>
          <w:highlight w:val="none"/>
          <w:lang w:val="en-US" w:eastAsia="zh-CN" w:bidi="ar-SA"/>
        </w:rPr>
        <w:t>常用外币简写字母表</w:t>
      </w:r>
    </w:p>
    <w:p>
      <w:pPr>
        <w:pStyle w:val="11"/>
        <w:ind w:left="360" w:firstLine="0" w:firstLineChars="0"/>
        <w:jc w:val="center"/>
        <w:rPr>
          <w:rFonts w:hint="eastAsia" w:ascii="Calibri" w:hAnsi="Calibri" w:eastAsia="方正大标宋简体" w:cs="方正大标宋简体"/>
          <w:b/>
          <w:bCs w:val="0"/>
          <w:color w:val="auto"/>
          <w:kern w:val="2"/>
          <w:sz w:val="44"/>
          <w:szCs w:val="44"/>
          <w:highlight w:val="none"/>
          <w:lang w:val="en-US" w:eastAsia="zh-CN" w:bidi="ar-SA"/>
        </w:rPr>
      </w:pPr>
    </w:p>
    <w:tbl>
      <w:tblPr>
        <w:tblStyle w:val="5"/>
        <w:tblW w:w="601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92"/>
        <w:gridCol w:w="1513"/>
        <w:gridCol w:w="15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外币名称</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简 写</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单 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英镑</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GBP</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美元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USD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日元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JPY</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日元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港元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HKD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欧元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EUR</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欧元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德国马克</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DEM</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马克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瑞士法郎</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CHF</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法国法郎</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FRF</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荷兰盾</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NLG</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奥地利先令</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ATS</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先令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比利时法郎</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BEF</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意大利里拉</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ITL</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里拉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加拿大元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CAD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澳大利亚元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AUD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瑞典克朗</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SEK</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克朗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丹麦克朗</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DKK</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克朗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挪威克朗</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NOK</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克朗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芬兰马克</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F1M</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马克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韩国圆</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KRW</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泰国铢</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THB</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菲律宾比索</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PHP</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比索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印度卢比</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INR</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卢比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俄罗斯卢布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SUR</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卢布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缅甸元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BUK</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新西兰元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NZD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新加坡元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SGD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元</w:t>
            </w:r>
          </w:p>
        </w:tc>
      </w:tr>
    </w:tbl>
    <w:p>
      <w:pPr>
        <w:pStyle w:val="11"/>
        <w:ind w:left="360" w:firstLine="0" w:firstLineChars="0"/>
        <w:rPr>
          <w:color w:val="auto"/>
          <w:highlight w:val="none"/>
        </w:rPr>
      </w:pPr>
    </w:p>
    <w:p>
      <w:pPr>
        <w:pStyle w:val="7"/>
        <w:ind w:left="0" w:leftChars="0" w:firstLine="0" w:firstLineChars="0"/>
        <w:rPr>
          <w:rFonts w:hint="eastAsia" w:ascii="仿宋" w:hAnsi="仿宋" w:eastAsia="仿宋" w:cs="仿宋"/>
          <w:color w:val="auto"/>
          <w:sz w:val="32"/>
          <w:szCs w:val="32"/>
          <w:highlight w:val="none"/>
        </w:rPr>
      </w:pPr>
    </w:p>
    <w:p>
      <w:pPr>
        <w:pStyle w:val="7"/>
        <w:ind w:left="0" w:leftChars="0" w:firstLine="0" w:firstLineChars="0"/>
        <w:rPr>
          <w:rFonts w:hint="eastAsia" w:ascii="仿宋" w:hAnsi="仿宋" w:eastAsia="仿宋" w:cs="仿宋"/>
          <w:color w:val="auto"/>
          <w:sz w:val="32"/>
          <w:szCs w:val="32"/>
          <w:highlight w:val="none"/>
        </w:rPr>
      </w:pPr>
    </w:p>
    <w:p>
      <w:pPr>
        <w:pStyle w:val="7"/>
        <w:ind w:left="0" w:leftChars="0" w:firstLine="0" w:firstLineChars="0"/>
        <w:rPr>
          <w:rFonts w:hint="eastAsia" w:ascii="仿宋" w:hAnsi="仿宋" w:eastAsia="仿宋" w:cs="仿宋"/>
          <w:color w:val="auto"/>
          <w:sz w:val="32"/>
          <w:szCs w:val="32"/>
          <w:highlight w:val="none"/>
        </w:rPr>
      </w:pPr>
    </w:p>
    <w:p>
      <w:pPr>
        <w:pStyle w:val="7"/>
        <w:ind w:left="0" w:leftChars="0" w:firstLine="0" w:firstLineChars="0"/>
        <w:rPr>
          <w:rFonts w:hint="eastAsia" w:ascii="仿宋" w:hAnsi="仿宋" w:eastAsia="仿宋" w:cs="仿宋"/>
          <w:color w:val="auto"/>
          <w:sz w:val="32"/>
          <w:szCs w:val="32"/>
          <w:highlight w:val="none"/>
        </w:rPr>
      </w:pPr>
    </w:p>
    <w:p>
      <w:pPr>
        <w:pStyle w:val="7"/>
        <w:ind w:left="0" w:leftChars="0" w:firstLine="0" w:firstLineChars="0"/>
        <w:rPr>
          <w:rFonts w:hint="eastAsia" w:ascii="仿宋" w:hAnsi="仿宋" w:eastAsia="仿宋" w:cs="仿宋"/>
          <w:color w:val="auto"/>
          <w:sz w:val="32"/>
          <w:szCs w:val="32"/>
          <w:highlight w:val="none"/>
        </w:rPr>
      </w:pPr>
    </w:p>
    <w:p>
      <w:pPr>
        <w:pStyle w:val="7"/>
        <w:ind w:left="0" w:leftChars="0" w:firstLine="0" w:firstLineChars="0"/>
        <w:rPr>
          <w:rFonts w:hint="eastAsia" w:ascii="仿宋" w:hAnsi="仿宋" w:eastAsia="仿宋" w:cs="仿宋"/>
          <w:color w:val="auto"/>
          <w:sz w:val="32"/>
          <w:szCs w:val="32"/>
          <w:highlight w:val="none"/>
        </w:rPr>
      </w:pPr>
    </w:p>
    <w:p>
      <w:pPr>
        <w:pStyle w:val="7"/>
        <w:ind w:left="0" w:leftChars="0" w:firstLine="0" w:firstLineChars="0"/>
        <w:rPr>
          <w:rFonts w:hint="eastAsia" w:ascii="仿宋" w:hAnsi="仿宋" w:eastAsia="仿宋" w:cs="仿宋"/>
          <w:color w:val="auto"/>
          <w:sz w:val="32"/>
          <w:szCs w:val="32"/>
          <w:highlight w:val="none"/>
        </w:rPr>
      </w:pPr>
    </w:p>
    <w:p>
      <w:pPr>
        <w:wordWrap/>
        <w:spacing w:line="600" w:lineRule="exact"/>
        <w:rPr>
          <w:rFonts w:hint="eastAsia" w:hAnsi="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w:t>
      </w:r>
    </w:p>
    <w:tbl>
      <w:tblPr>
        <w:tblStyle w:val="5"/>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4013"/>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20" w:type="dxa"/>
            <w:gridSpan w:val="3"/>
            <w:tcBorders>
              <w:top w:val="nil"/>
              <w:left w:val="nil"/>
              <w:bottom w:val="nil"/>
              <w:right w:val="nil"/>
            </w:tcBorders>
            <w:noWrap w:val="0"/>
            <w:vAlign w:val="center"/>
          </w:tcPr>
          <w:p>
            <w:pPr>
              <w:widowControl/>
              <w:wordWrap/>
              <w:spacing w:line="600" w:lineRule="exact"/>
              <w:jc w:val="center"/>
              <w:textAlignment w:val="center"/>
              <w:rPr>
                <w:rFonts w:hint="eastAsia" w:ascii="宋体" w:hAnsi="宋体" w:eastAsia="宋体" w:cs="宋体"/>
                <w:b/>
                <w:i w:val="0"/>
                <w:color w:val="auto"/>
                <w:sz w:val="36"/>
                <w:szCs w:val="36"/>
                <w:highlight w:val="none"/>
                <w:u w:val="none"/>
              </w:rPr>
            </w:pPr>
            <w:r>
              <w:rPr>
                <w:rFonts w:hint="eastAsia" w:ascii="黑体" w:hAnsi="黑体" w:eastAsia="黑体" w:cs="黑体"/>
                <w:b w:val="0"/>
                <w:bCs/>
                <w:i w:val="0"/>
                <w:color w:val="auto"/>
                <w:kern w:val="0"/>
                <w:sz w:val="36"/>
                <w:szCs w:val="36"/>
                <w:highlight w:val="none"/>
                <w:u w:val="single"/>
                <w:lang w:val="en-US" w:eastAsia="zh-CN"/>
              </w:rPr>
              <w:t xml:space="preserve">      </w:t>
            </w:r>
            <w:r>
              <w:rPr>
                <w:rFonts w:hint="eastAsia" w:ascii="黑体" w:hAnsi="黑体" w:eastAsia="黑体" w:cs="黑体"/>
                <w:b w:val="0"/>
                <w:bCs/>
                <w:i w:val="0"/>
                <w:color w:val="auto"/>
                <w:kern w:val="0"/>
                <w:sz w:val="36"/>
                <w:szCs w:val="36"/>
                <w:highlight w:val="none"/>
                <w:u w:val="none"/>
                <w:lang w:val="en-US" w:eastAsia="zh-CN"/>
              </w:rPr>
              <w:t>县（区）专项资金申报、初审情况表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rPr>
              <w:t>专项资金名称</w:t>
            </w:r>
          </w:p>
        </w:tc>
        <w:tc>
          <w:tcPr>
            <w:tcW w:w="4013" w:type="dxa"/>
            <w:tcBorders>
              <w:top w:val="single" w:color="000000" w:sz="4" w:space="0"/>
              <w:left w:val="single" w:color="000000" w:sz="4" w:space="0"/>
              <w:bottom w:val="single" w:color="000000" w:sz="4" w:space="0"/>
              <w:right w:val="nil"/>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专项资金级次：       </w:t>
            </w:r>
            <w:r>
              <w:rPr>
                <w:rFonts w:hint="eastAsia" w:ascii="宋体" w:hAnsi="宋体" w:eastAsia="宋体" w:cs="宋体"/>
                <w:i w:val="0"/>
                <w:color w:val="auto"/>
                <w:kern w:val="0"/>
                <w:sz w:val="20"/>
                <w:szCs w:val="20"/>
                <w:highlight w:val="none"/>
                <w:u w:val="none"/>
                <w:lang w:val="en-US" w:eastAsia="zh-CN"/>
              </w:rPr>
              <w:br w:type="textWrapping"/>
            </w:r>
            <w:r>
              <w:rPr>
                <w:rFonts w:hint="eastAsia" w:ascii="宋体" w:hAnsi="宋体" w:eastAsia="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中央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省级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上级资金</w:t>
            </w:r>
            <w:r>
              <w:rPr>
                <w:rFonts w:hint="eastAsia" w:ascii="宋体" w:hAnsi="宋体" w:cs="宋体"/>
                <w:b/>
                <w:i w:val="0"/>
                <w:color w:val="auto"/>
                <w:kern w:val="0"/>
                <w:sz w:val="20"/>
                <w:szCs w:val="20"/>
                <w:highlight w:val="none"/>
                <w:u w:val="none"/>
                <w:lang w:val="en-US" w:eastAsia="zh-CN"/>
              </w:rPr>
              <w:t>下达</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nil"/>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专项资金金额：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申请项目</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基本情况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color w:val="auto"/>
                <w:highlight w:val="none"/>
                <w:lang w:val="en-US" w:eastAsia="zh-CN"/>
              </w:rPr>
            </w:pPr>
            <w:r>
              <w:rPr>
                <w:rFonts w:hint="eastAsia"/>
                <w:color w:val="auto"/>
                <w:highlight w:val="none"/>
                <w:lang w:val="en-US" w:eastAsia="zh-CN"/>
              </w:rPr>
              <w:t>申请企业（单位）      家；申请项目    个；申请支持金额共        元；</w:t>
            </w:r>
          </w:p>
          <w:p>
            <w:pPr>
              <w:pStyle w:val="8"/>
              <w:wordWrap/>
              <w:spacing w:line="600" w:lineRule="exact"/>
              <w:ind w:left="0" w:leftChars="0" w:firstLine="0" w:firstLineChars="0"/>
              <w:rPr>
                <w:rFonts w:hint="eastAsia"/>
                <w:color w:val="auto"/>
                <w:highlight w:val="none"/>
              </w:rPr>
            </w:pPr>
            <w:r>
              <w:rPr>
                <w:rFonts w:hint="eastAsia" w:ascii="宋体" w:hAnsi="宋体" w:eastAsia="宋体" w:cs="宋体"/>
                <w:i w:val="0"/>
                <w:color w:val="auto"/>
                <w:kern w:val="0"/>
                <w:sz w:val="20"/>
                <w:szCs w:val="20"/>
                <w:highlight w:val="none"/>
                <w:u w:val="none"/>
                <w:lang w:val="en-US" w:eastAsia="zh-CN"/>
              </w:rPr>
              <w:t>项目申请时间：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申报资料</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w:t>
            </w: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default"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是否核查原件</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default"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是否实地查验</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企业情况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eastAsia"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初审复核</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复核意见：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分管领导审批</w:t>
            </w:r>
          </w:p>
        </w:tc>
        <w:tc>
          <w:tcPr>
            <w:tcW w:w="6885" w:type="dxa"/>
            <w:gridSpan w:val="2"/>
            <w:tcBorders>
              <w:top w:val="nil"/>
              <w:left w:val="single" w:color="000000" w:sz="4" w:space="0"/>
              <w:bottom w:val="single" w:color="auto"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审批意见：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1635" w:type="dxa"/>
            <w:tcBorders>
              <w:top w:val="single" w:color="000000" w:sz="4" w:space="0"/>
              <w:left w:val="single" w:color="000000" w:sz="4" w:space="0"/>
              <w:bottom w:val="single" w:color="000000" w:sz="4" w:space="0"/>
              <w:right w:val="nil"/>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本级资金上报</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b w:val="0"/>
                <w:bCs w:val="0"/>
                <w:i w:val="0"/>
                <w:color w:val="auto"/>
                <w:kern w:val="0"/>
                <w:sz w:val="20"/>
                <w:szCs w:val="20"/>
                <w:highlight w:val="none"/>
                <w:u w:val="none"/>
                <w:lang w:val="en-US" w:eastAsia="zh-CN"/>
              </w:rPr>
              <w:t>申报时间：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635" w:type="dxa"/>
            <w:tcBorders>
              <w:top w:val="single" w:color="000000" w:sz="4" w:space="0"/>
              <w:left w:val="single" w:color="000000" w:sz="4" w:space="0"/>
              <w:bottom w:val="single" w:color="000000" w:sz="4" w:space="0"/>
              <w:right w:val="single" w:color="auto" w:sz="4" w:space="0"/>
            </w:tcBorders>
            <w:noWrap w:val="0"/>
            <w:vAlign w:val="center"/>
          </w:tcPr>
          <w:p>
            <w:pPr>
              <w:widowControl/>
              <w:wordWrap/>
              <w:adjustRightInd w:val="0"/>
              <w:snapToGrid w:val="0"/>
              <w:spacing w:after="0" w:line="600" w:lineRule="exact"/>
              <w:jc w:val="center"/>
              <w:textAlignment w:val="center"/>
              <w:rPr>
                <w:rFonts w:hint="default"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备注</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项目初审情况应包括（并不限于）资金支持内容、审核通过项目个数、初审支持金额、审核不通过项目个数、金额及原因等</w:t>
            </w:r>
          </w:p>
        </w:tc>
      </w:tr>
    </w:tbl>
    <w:p>
      <w:pPr>
        <w:wordWrap/>
        <w:spacing w:line="600" w:lineRule="exact"/>
        <w:rPr>
          <w:rFonts w:hint="eastAsia" w:ascii="仿宋_GB2312" w:hAnsi="仿宋_GB2312" w:eastAsia="仿宋_GB2312" w:cs="仿宋_GB2312"/>
          <w:b w:val="0"/>
          <w:bCs w:val="0"/>
          <w:color w:val="auto"/>
          <w:sz w:val="32"/>
          <w:szCs w:val="32"/>
          <w:highlight w:val="none"/>
          <w:lang w:val="en-US" w:eastAsia="zh-CN"/>
        </w:rPr>
      </w:pPr>
    </w:p>
    <w:p>
      <w:pPr>
        <w:rPr>
          <w:color w:val="auto"/>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lang w:eastAsia="zh-CN"/>
        </w:rPr>
      </w:pPr>
    </w:p>
    <w:p>
      <w:pPr>
        <w:pStyle w:val="8"/>
        <w:rPr>
          <w:rFonts w:hint="eastAsia" w:ascii="仿宋" w:hAnsi="仿宋" w:eastAsia="仿宋" w:cs="仿宋"/>
          <w:color w:val="auto"/>
          <w:sz w:val="32"/>
          <w:szCs w:val="32"/>
          <w:highlight w:val="none"/>
          <w:lang w:eastAsia="zh-CN"/>
        </w:rPr>
      </w:pPr>
    </w:p>
    <w:p>
      <w:pPr>
        <w:pStyle w:val="8"/>
        <w:rPr>
          <w:rFonts w:hint="eastAsia" w:ascii="仿宋" w:hAnsi="仿宋" w:eastAsia="仿宋" w:cs="仿宋"/>
          <w:color w:val="auto"/>
          <w:sz w:val="32"/>
          <w:szCs w:val="32"/>
          <w:highlight w:val="none"/>
          <w:lang w:eastAsia="zh-CN"/>
        </w:rPr>
      </w:pPr>
    </w:p>
    <w:p>
      <w:pPr>
        <w:pStyle w:val="8"/>
        <w:rPr>
          <w:rFonts w:hint="eastAsia" w:ascii="仿宋" w:hAnsi="仿宋" w:eastAsia="仿宋" w:cs="仿宋"/>
          <w:color w:val="auto"/>
          <w:sz w:val="32"/>
          <w:szCs w:val="32"/>
          <w:highlight w:val="none"/>
          <w:lang w:eastAsia="zh-CN"/>
        </w:rPr>
      </w:pPr>
    </w:p>
    <w:p>
      <w:pPr>
        <w:pStyle w:val="8"/>
        <w:rPr>
          <w:rFonts w:hint="eastAsia" w:ascii="仿宋" w:hAnsi="仿宋" w:eastAsia="仿宋" w:cs="仿宋"/>
          <w:color w:val="auto"/>
          <w:sz w:val="32"/>
          <w:szCs w:val="32"/>
          <w:highlight w:val="none"/>
          <w:lang w:eastAsia="zh-CN"/>
        </w:rPr>
      </w:pPr>
    </w:p>
    <w:p>
      <w:pPr>
        <w:pStyle w:val="8"/>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pStyle w:val="8"/>
        <w:rPr>
          <w:rFonts w:hint="eastAsia" w:ascii="仿宋" w:hAnsi="仿宋" w:eastAsia="仿宋" w:cs="仿宋"/>
          <w:color w:val="auto"/>
          <w:sz w:val="32"/>
          <w:szCs w:val="32"/>
          <w:highlight w:val="none"/>
          <w:lang w:eastAsia="zh-CN"/>
        </w:rPr>
      </w:pPr>
    </w:p>
    <w:p>
      <w:pPr>
        <w:rPr>
          <w:rFonts w:hint="eastAsia"/>
          <w:color w:val="auto"/>
          <w:highlight w:val="none"/>
        </w:rPr>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5B7C2"/>
    <w:multiLevelType w:val="singleLevel"/>
    <w:tmpl w:val="F985B7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D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8">
    <w:name w:val="样式1"/>
    <w:basedOn w:val="9"/>
    <w:qFormat/>
    <w:uiPriority w:val="0"/>
  </w:style>
  <w:style w:type="paragraph" w:customStyle="1" w:styleId="9">
    <w:name w:val="正文1"/>
    <w:basedOn w:val="1"/>
    <w:qFormat/>
    <w:uiPriority w:val="0"/>
    <w:pPr>
      <w:ind w:firstLine="708" w:firstLineChars="236"/>
    </w:pPr>
    <w:rPr>
      <w:rFonts w:ascii="仿宋_GB2312" w:eastAsia="仿宋_GB2312" w:cs="仿宋_GB2312"/>
      <w:sz w:val="30"/>
      <w:szCs w:val="30"/>
    </w:rPr>
  </w:style>
  <w:style w:type="paragraph" w:customStyle="1" w:styleId="10">
    <w:name w:val="p17"/>
    <w:basedOn w:val="1"/>
    <w:qFormat/>
    <w:uiPriority w:val="0"/>
    <w:pPr>
      <w:widowControl/>
    </w:pPr>
    <w:rPr>
      <w:rFonts w:ascii="宋体" w:hAnsi="宋体" w:cs="宋体"/>
      <w:kern w:val="0"/>
      <w:szCs w:val="21"/>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2025-04-18T07:05:42Z</dcterms:created>
  <dc:creator>lenovo</dc:creator>
  <cp:lastModifiedBy>罗嘉伟</cp:lastModifiedBy>
  <dcterms:modified xsi:type="dcterms:W3CDTF">2025-04-18T07:06:36Z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B4383AC9770548859DA32FDF891F0BA8</vt:lpwstr>
  </property>
</Properties>
</file>