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beforeLines="0" w:afterLines="0" w:line="600" w:lineRule="exact"/>
        <w:jc w:val="center"/>
        <w:textAlignment w:val="auto"/>
        <w:rPr>
          <w:rFonts w:hint="default" w:ascii="Times New Roman" w:hAnsi="Times New Roman" w:eastAsia="方正小标宋_GBK" w:cs="Times New Roman"/>
          <w:bCs/>
          <w:color w:val="auto"/>
          <w:kern w:val="2"/>
          <w:sz w:val="44"/>
          <w:szCs w:val="44"/>
          <w:lang w:val="en-US" w:eastAsia="zh-CN" w:bidi="ar-SA"/>
        </w:rPr>
      </w:pPr>
      <w:r>
        <w:rPr>
          <w:rFonts w:hint="default" w:ascii="Times New Roman" w:hAnsi="Times New Roman" w:eastAsia="方正小标宋_GBK" w:cs="Times New Roman"/>
          <w:bCs/>
          <w:color w:val="auto"/>
          <w:kern w:val="2"/>
          <w:sz w:val="44"/>
          <w:szCs w:val="44"/>
          <w:lang w:val="en-US" w:eastAsia="zh-CN" w:bidi="ar-SA"/>
        </w:rPr>
        <w:t>2024年市级财政支出绩效评价报告</w:t>
      </w:r>
      <w:r>
        <w:rPr>
          <w:rFonts w:hint="default" w:ascii="Times New Roman" w:hAnsi="Times New Roman" w:eastAsia="方正小标宋_GBK" w:cs="Times New Roman"/>
          <w:bCs/>
          <w:color w:val="auto"/>
          <w:kern w:val="2"/>
          <w:sz w:val="44"/>
          <w:szCs w:val="44"/>
          <w:lang w:val="en-US" w:eastAsia="zh-CN" w:bidi="ar-SA"/>
        </w:rPr>
        <w:br w:type="textWrapping"/>
      </w:r>
      <w:r>
        <w:rPr>
          <w:rFonts w:hint="default" w:ascii="Times New Roman" w:hAnsi="Times New Roman" w:eastAsia="方正小标宋_GBK" w:cs="Times New Roman"/>
          <w:bCs/>
          <w:color w:val="auto"/>
          <w:kern w:val="2"/>
          <w:sz w:val="44"/>
          <w:szCs w:val="44"/>
          <w:lang w:val="en-US" w:eastAsia="zh-CN" w:bidi="ar-SA"/>
        </w:rPr>
        <w:t>摘要汇总</w:t>
      </w:r>
    </w:p>
    <w:p>
      <w:pPr>
        <w:keepNext w:val="0"/>
        <w:keepLines w:val="0"/>
        <w:pageBreakBefore w:val="0"/>
        <w:widowControl w:val="0"/>
        <w:kinsoku/>
        <w:wordWrap/>
        <w:overflowPunct/>
        <w:topLinePunct w:val="0"/>
        <w:bidi w:val="0"/>
        <w:spacing w:beforeLines="0" w:afterLines="0" w:line="600" w:lineRule="exact"/>
        <w:jc w:val="center"/>
        <w:textAlignment w:val="auto"/>
        <w:rPr>
          <w:rFonts w:hint="default" w:ascii="Times New Roman" w:hAnsi="Times New Roman" w:eastAsia="方正小标宋简体" w:cs="Times New Roman"/>
          <w:bCs/>
          <w:color w:val="auto"/>
          <w:kern w:val="2"/>
          <w:sz w:val="36"/>
          <w:szCs w:val="36"/>
          <w:lang w:val="en-US" w:eastAsia="zh-CN" w:bidi="ar-SA"/>
        </w:rPr>
      </w:pPr>
    </w:p>
    <w:p>
      <w:pPr>
        <w:keepNext w:val="0"/>
        <w:keepLines w:val="0"/>
        <w:pageBreakBefore w:val="0"/>
        <w:widowControl w:val="0"/>
        <w:kinsoku/>
        <w:wordWrap/>
        <w:overflowPunct/>
        <w:topLinePunct w:val="0"/>
        <w:bidi w:val="0"/>
        <w:spacing w:beforeLines="0" w:afterLines="0" w:line="600" w:lineRule="exact"/>
        <w:jc w:val="center"/>
        <w:textAlignment w:val="auto"/>
        <w:rPr>
          <w:rFonts w:hint="default" w:ascii="Times New Roman" w:hAnsi="Times New Roman" w:cs="Times New Roman"/>
          <w:color w:val="auto"/>
        </w:rPr>
      </w:pPr>
      <w:r>
        <w:rPr>
          <w:rFonts w:hint="default" w:ascii="Times New Roman" w:hAnsi="Times New Roman" w:eastAsia="方正小标宋_GBK" w:cs="Times New Roman"/>
          <w:bCs/>
          <w:color w:val="auto"/>
          <w:kern w:val="2"/>
          <w:sz w:val="44"/>
          <w:szCs w:val="44"/>
          <w:lang w:val="en-US" w:eastAsia="zh-CN" w:bidi="ar-SA"/>
        </w:rPr>
        <w:t>目  录</w:t>
      </w:r>
      <w:r>
        <w:rPr>
          <w:rFonts w:hint="default" w:ascii="Times New Roman" w:hAnsi="Times New Roman" w:eastAsia="仿宋" w:cs="Times New Roman"/>
          <w:color w:val="auto"/>
          <w:kern w:val="2"/>
          <w:sz w:val="28"/>
          <w:szCs w:val="28"/>
          <w:lang w:val="en-US" w:eastAsia="zh-CN" w:bidi="ar-SA"/>
        </w:rPr>
        <w:fldChar w:fldCharType="begin"/>
      </w:r>
      <w:r>
        <w:rPr>
          <w:rFonts w:hint="default" w:ascii="Times New Roman" w:hAnsi="Times New Roman" w:eastAsia="仿宋" w:cs="Times New Roman"/>
          <w:color w:val="auto"/>
          <w:kern w:val="2"/>
          <w:sz w:val="28"/>
          <w:szCs w:val="28"/>
          <w:lang w:val="en-US" w:eastAsia="zh-CN" w:bidi="ar-SA"/>
        </w:rPr>
        <w:instrText xml:space="preserve">TOC \o "1-1" \h \u </w:instrText>
      </w:r>
      <w:r>
        <w:rPr>
          <w:rFonts w:hint="default" w:ascii="Times New Roman" w:hAnsi="Times New Roman" w:eastAsia="仿宋" w:cs="Times New Roman"/>
          <w:color w:val="auto"/>
          <w:kern w:val="2"/>
          <w:sz w:val="28"/>
          <w:szCs w:val="28"/>
          <w:lang w:val="en-US" w:eastAsia="zh-CN" w:bidi="ar-SA"/>
        </w:rPr>
        <w:fldChar w:fldCharType="separate"/>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_Toc6549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bCs/>
          <w:color w:val="auto"/>
          <w:kern w:val="2"/>
          <w:sz w:val="24"/>
          <w:szCs w:val="24"/>
          <w:lang w:val="en-US" w:eastAsia="zh-CN" w:bidi="ar-SA"/>
        </w:rPr>
        <w:t>一、中国共产主义青年团惠州市委员会2023年度部门整体支出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_Toc6549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fldChar w:fldCharType="end"/>
      </w:r>
      <w:r>
        <w:rPr>
          <w:rFonts w:hint="default" w:ascii="Times New Roman" w:hAnsi="Times New Roman" w:eastAsia="仿宋" w:cs="Times New Roman"/>
          <w:color w:val="auto"/>
          <w:kern w:val="2"/>
          <w:sz w:val="24"/>
          <w:szCs w:val="24"/>
          <w:lang w:val="en-US" w:eastAsia="zh-CN" w:bidi="ar-SA"/>
        </w:rPr>
        <w:fldChar w:fldCharType="end"/>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_Toc13788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bCs/>
          <w:color w:val="auto"/>
          <w:kern w:val="2"/>
          <w:sz w:val="24"/>
          <w:szCs w:val="24"/>
          <w:lang w:val="en-US" w:eastAsia="zh-CN" w:bidi="ar-SA"/>
        </w:rPr>
        <w:t>二、惠州市住房公积金管理中心2023年度部门整体支出</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5</w:t>
      </w:r>
      <w:r>
        <w:rPr>
          <w:rFonts w:hint="default" w:ascii="Times New Roman" w:hAnsi="Times New Roman" w:eastAsia="仿宋" w:cs="Times New Roman"/>
          <w:color w:val="auto"/>
          <w:kern w:val="2"/>
          <w:sz w:val="24"/>
          <w:szCs w:val="24"/>
          <w:lang w:val="en-US" w:eastAsia="zh-CN" w:bidi="ar-SA"/>
        </w:rPr>
        <w:fldChar w:fldCharType="end"/>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_Toc20548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color w:val="auto"/>
          <w:kern w:val="2"/>
          <w:sz w:val="24"/>
          <w:szCs w:val="24"/>
          <w:lang w:val="en-US" w:eastAsia="zh-CN" w:bidi="ar-SA"/>
        </w:rPr>
        <w:t>三、惠州市工商业联合会2023年度部门整体支出</w:t>
      </w:r>
      <w:r>
        <w:rPr>
          <w:rFonts w:hint="default" w:ascii="Times New Roman" w:hAnsi="Times New Roman" w:cs="Times New Roman"/>
          <w:color w:val="auto"/>
          <w:sz w:val="24"/>
          <w:szCs w:val="24"/>
        </w:rPr>
        <w:tab/>
      </w:r>
      <w:r>
        <w:rPr>
          <w:rFonts w:hint="eastAsia" w:cs="Times New Roman"/>
          <w:color w:val="auto"/>
          <w:sz w:val="24"/>
          <w:szCs w:val="24"/>
          <w:lang w:val="en-US" w:eastAsia="zh-CN"/>
        </w:rPr>
        <w:t>9</w:t>
      </w:r>
      <w:r>
        <w:rPr>
          <w:rFonts w:hint="default" w:ascii="Times New Roman" w:hAnsi="Times New Roman" w:eastAsia="仿宋" w:cs="Times New Roman"/>
          <w:color w:val="auto"/>
          <w:kern w:val="2"/>
          <w:sz w:val="24"/>
          <w:szCs w:val="24"/>
          <w:lang w:val="en-US" w:eastAsia="zh-CN" w:bidi="ar-SA"/>
        </w:rPr>
        <w:fldChar w:fldCharType="end"/>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_Toc13061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bCs/>
          <w:color w:val="auto"/>
          <w:kern w:val="2"/>
          <w:sz w:val="24"/>
          <w:szCs w:val="24"/>
          <w:lang w:val="en-US" w:eastAsia="zh-CN" w:bidi="ar-SA"/>
        </w:rPr>
        <w:t>四、惠州市市场监督管理局2023年度部门整体支出</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1</w:t>
      </w:r>
      <w:r>
        <w:rPr>
          <w:rFonts w:hint="default" w:ascii="Times New Roman" w:hAnsi="Times New Roman" w:eastAsia="仿宋" w:cs="Times New Roman"/>
          <w:color w:val="auto"/>
          <w:kern w:val="2"/>
          <w:sz w:val="24"/>
          <w:szCs w:val="24"/>
          <w:lang w:val="en-US" w:eastAsia="zh-CN" w:bidi="ar-SA"/>
        </w:rPr>
        <w:fldChar w:fldCharType="end"/>
      </w:r>
      <w:r>
        <w:rPr>
          <w:rFonts w:hint="eastAsia" w:ascii="Times New Roman" w:hAnsi="Times New Roman" w:eastAsia="仿宋" w:cs="Times New Roman"/>
          <w:color w:val="auto"/>
          <w:kern w:val="2"/>
          <w:sz w:val="24"/>
          <w:szCs w:val="24"/>
          <w:lang w:val="en-US" w:eastAsia="zh-CN" w:bidi="ar-SA"/>
        </w:rPr>
        <w:t>1</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_Toc13761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color w:val="auto"/>
          <w:sz w:val="24"/>
          <w:szCs w:val="24"/>
          <w:highlight w:val="none"/>
          <w:lang w:val="en-US" w:eastAsia="zh-CN" w:bidi="ar-SA"/>
        </w:rPr>
        <w:t>五、</w:t>
      </w:r>
      <w:r>
        <w:rPr>
          <w:rFonts w:hint="default" w:ascii="Times New Roman" w:hAnsi="Times New Roman" w:eastAsia="黑体" w:cs="Times New Roman"/>
          <w:color w:val="auto"/>
          <w:sz w:val="24"/>
          <w:szCs w:val="24"/>
          <w:highlight w:val="none"/>
          <w:lang w:bidi="ar-SA"/>
        </w:rPr>
        <w:t>中共惠州市委机构编制委员会办公室2023年度部门整体支出</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1</w:t>
      </w:r>
      <w:r>
        <w:rPr>
          <w:rFonts w:hint="default" w:ascii="Times New Roman" w:hAnsi="Times New Roman" w:eastAsia="仿宋" w:cs="Times New Roman"/>
          <w:color w:val="auto"/>
          <w:kern w:val="2"/>
          <w:sz w:val="24"/>
          <w:szCs w:val="24"/>
          <w:lang w:val="en-US" w:eastAsia="zh-CN" w:bidi="ar-SA"/>
        </w:rPr>
        <w:fldChar w:fldCharType="end"/>
      </w:r>
      <w:r>
        <w:rPr>
          <w:rFonts w:hint="eastAsia" w:ascii="Times New Roman" w:hAnsi="Times New Roman" w:eastAsia="仿宋" w:cs="Times New Roman"/>
          <w:color w:val="auto"/>
          <w:kern w:val="2"/>
          <w:sz w:val="24"/>
          <w:szCs w:val="24"/>
          <w:lang w:val="en-US" w:eastAsia="zh-CN" w:bidi="ar-SA"/>
        </w:rPr>
        <w:t>4</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_Toc10693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bCs/>
          <w:color w:val="auto"/>
          <w:kern w:val="2"/>
          <w:sz w:val="24"/>
          <w:szCs w:val="24"/>
          <w:lang w:val="en-US" w:eastAsia="zh-CN" w:bidi="ar-SA"/>
        </w:rPr>
        <w:t>六、惠州市工业和信息化局2023年度部门整体支出</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1</w:t>
      </w:r>
      <w:r>
        <w:rPr>
          <w:rFonts w:hint="default" w:ascii="Times New Roman" w:hAnsi="Times New Roman" w:eastAsia="仿宋" w:cs="Times New Roman"/>
          <w:color w:val="auto"/>
          <w:kern w:val="2"/>
          <w:sz w:val="24"/>
          <w:szCs w:val="24"/>
          <w:lang w:val="en-US" w:eastAsia="zh-CN" w:bidi="ar-SA"/>
        </w:rPr>
        <w:fldChar w:fldCharType="end"/>
      </w:r>
      <w:r>
        <w:rPr>
          <w:rFonts w:hint="eastAsia" w:ascii="Times New Roman" w:hAnsi="Times New Roman" w:eastAsia="仿宋" w:cs="Times New Roman"/>
          <w:color w:val="auto"/>
          <w:kern w:val="2"/>
          <w:sz w:val="24"/>
          <w:szCs w:val="24"/>
          <w:lang w:val="en-US" w:eastAsia="zh-CN" w:bidi="ar-SA"/>
        </w:rPr>
        <w:t>7</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_Toc8577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bCs/>
          <w:color w:val="auto"/>
          <w:kern w:val="2"/>
          <w:sz w:val="24"/>
          <w:szCs w:val="24"/>
          <w:lang w:val="en-US" w:eastAsia="zh-CN" w:bidi="ar-SA"/>
        </w:rPr>
        <w:t>七、惠州市生态环境局2023年度部门整体支出</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2</w:t>
      </w:r>
      <w:r>
        <w:rPr>
          <w:rFonts w:hint="default" w:ascii="Times New Roman" w:hAnsi="Times New Roman" w:eastAsia="仿宋" w:cs="Times New Roman"/>
          <w:color w:val="auto"/>
          <w:kern w:val="2"/>
          <w:sz w:val="24"/>
          <w:szCs w:val="24"/>
          <w:lang w:val="en-US" w:eastAsia="zh-CN" w:bidi="ar-SA"/>
        </w:rPr>
        <w:fldChar w:fldCharType="end"/>
      </w:r>
      <w:r>
        <w:rPr>
          <w:rFonts w:hint="eastAsia" w:ascii="Times New Roman" w:hAnsi="Times New Roman" w:eastAsia="仿宋" w:cs="Times New Roman"/>
          <w:color w:val="auto"/>
          <w:kern w:val="2"/>
          <w:sz w:val="24"/>
          <w:szCs w:val="24"/>
          <w:lang w:val="en-US" w:eastAsia="zh-CN" w:bidi="ar-SA"/>
        </w:rPr>
        <w:t>1</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_Toc9632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color w:val="auto"/>
          <w:spacing w:val="8"/>
          <w:sz w:val="24"/>
          <w:szCs w:val="24"/>
          <w:lang w:val="en-US" w:eastAsia="zh-CN" w:bidi="ar-SA"/>
        </w:rPr>
        <w:t>八</w:t>
      </w:r>
      <w:r>
        <w:rPr>
          <w:rFonts w:hint="default" w:ascii="Times New Roman" w:hAnsi="Times New Roman" w:eastAsia="黑体" w:cs="Times New Roman"/>
          <w:bCs/>
          <w:color w:val="auto"/>
          <w:kern w:val="2"/>
          <w:sz w:val="24"/>
          <w:szCs w:val="24"/>
          <w:lang w:val="en-US" w:eastAsia="zh-CN" w:bidi="ar-SA"/>
        </w:rPr>
        <w:t>、2023年度惠州市公路治超非现场执法监测点项目支出</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2</w:t>
      </w:r>
      <w:r>
        <w:rPr>
          <w:rFonts w:hint="default" w:ascii="Times New Roman" w:hAnsi="Times New Roman" w:eastAsia="仿宋" w:cs="Times New Roman"/>
          <w:color w:val="auto"/>
          <w:kern w:val="2"/>
          <w:sz w:val="24"/>
          <w:szCs w:val="24"/>
          <w:lang w:val="en-US" w:eastAsia="zh-CN" w:bidi="ar-SA"/>
        </w:rPr>
        <w:fldChar w:fldCharType="end"/>
      </w:r>
      <w:r>
        <w:rPr>
          <w:rFonts w:hint="eastAsia" w:ascii="Times New Roman" w:hAnsi="Times New Roman" w:eastAsia="仿宋" w:cs="Times New Roman"/>
          <w:color w:val="auto"/>
          <w:kern w:val="2"/>
          <w:sz w:val="24"/>
          <w:szCs w:val="24"/>
          <w:lang w:val="en-US" w:eastAsia="zh-CN" w:bidi="ar-SA"/>
        </w:rPr>
        <w:t>4</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_Toc25405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bCs/>
          <w:color w:val="auto"/>
          <w:kern w:val="2"/>
          <w:sz w:val="24"/>
          <w:szCs w:val="24"/>
          <w:lang w:val="en-US" w:eastAsia="zh-CN" w:bidi="ar-SA"/>
        </w:rPr>
        <w:t>九、水库除险加固工程资金（2023年一般债券）</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2</w:t>
      </w:r>
      <w:r>
        <w:rPr>
          <w:rFonts w:hint="default" w:ascii="Times New Roman" w:hAnsi="Times New Roman" w:eastAsia="仿宋" w:cs="Times New Roman"/>
          <w:color w:val="auto"/>
          <w:kern w:val="2"/>
          <w:sz w:val="24"/>
          <w:szCs w:val="24"/>
          <w:lang w:val="en-US" w:eastAsia="zh-CN" w:bidi="ar-SA"/>
        </w:rPr>
        <w:fldChar w:fldCharType="end"/>
      </w:r>
      <w:r>
        <w:rPr>
          <w:rFonts w:hint="eastAsia" w:eastAsia="仿宋" w:cs="Times New Roman"/>
          <w:color w:val="auto"/>
          <w:kern w:val="2"/>
          <w:sz w:val="24"/>
          <w:szCs w:val="24"/>
          <w:lang w:val="en-US" w:eastAsia="zh-CN" w:bidi="ar-SA"/>
        </w:rPr>
        <w:t>8</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_Toc2312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color w:val="auto"/>
          <w:sz w:val="24"/>
          <w:szCs w:val="24"/>
          <w:lang w:val="en-US" w:eastAsia="zh-CN" w:bidi="ar-SA"/>
        </w:rPr>
        <w:t>十、广汕铁路惠城南站综合交通枢纽配套项目（一期）2023年政府专项债券支出</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3</w:t>
      </w:r>
      <w:r>
        <w:rPr>
          <w:rFonts w:hint="default" w:ascii="Times New Roman" w:hAnsi="Times New Roman" w:eastAsia="仿宋" w:cs="Times New Roman"/>
          <w:color w:val="auto"/>
          <w:kern w:val="2"/>
          <w:sz w:val="24"/>
          <w:szCs w:val="24"/>
          <w:lang w:val="en-US" w:eastAsia="zh-CN" w:bidi="ar-SA"/>
        </w:rPr>
        <w:fldChar w:fldCharType="end"/>
      </w:r>
      <w:r>
        <w:rPr>
          <w:rFonts w:hint="eastAsia" w:eastAsia="仿宋" w:cs="Times New Roman"/>
          <w:color w:val="auto"/>
          <w:kern w:val="2"/>
          <w:sz w:val="24"/>
          <w:szCs w:val="24"/>
          <w:lang w:val="en-US" w:eastAsia="zh-CN" w:bidi="ar-SA"/>
        </w:rPr>
        <w:t>1</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_Toc2312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color w:val="auto"/>
          <w:sz w:val="24"/>
          <w:szCs w:val="24"/>
          <w:lang w:val="en-US" w:eastAsia="zh-CN" w:bidi="ar-SA"/>
        </w:rPr>
        <w:t>十一、惠州市2023年市级涉农统筹整合资金项目</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3</w:t>
      </w:r>
      <w:r>
        <w:rPr>
          <w:rFonts w:hint="default" w:ascii="Times New Roman" w:hAnsi="Times New Roman" w:eastAsia="仿宋" w:cs="Times New Roman"/>
          <w:color w:val="auto"/>
          <w:kern w:val="2"/>
          <w:sz w:val="24"/>
          <w:szCs w:val="24"/>
          <w:lang w:val="en-US" w:eastAsia="zh-CN" w:bidi="ar-SA"/>
        </w:rPr>
        <w:fldChar w:fldCharType="end"/>
      </w:r>
      <w:r>
        <w:rPr>
          <w:rFonts w:hint="eastAsia" w:ascii="Times New Roman" w:hAnsi="Times New Roman" w:eastAsia="仿宋" w:cs="Times New Roman"/>
          <w:color w:val="auto"/>
          <w:kern w:val="2"/>
          <w:sz w:val="24"/>
          <w:szCs w:val="24"/>
          <w:lang w:val="en-US" w:eastAsia="zh-CN" w:bidi="ar-SA"/>
        </w:rPr>
        <w:t>4</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_Toc5043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color w:val="auto"/>
          <w:sz w:val="24"/>
          <w:szCs w:val="24"/>
          <w:lang w:val="en-US" w:eastAsia="zh-CN" w:bidi="ar-SA"/>
        </w:rPr>
        <w:t>十二、</w:t>
      </w:r>
      <w:r>
        <w:rPr>
          <w:rFonts w:hint="default" w:ascii="Times New Roman" w:hAnsi="Times New Roman" w:eastAsia="黑体" w:cs="Times New Roman"/>
          <w:color w:val="auto"/>
          <w:spacing w:val="7"/>
          <w:sz w:val="24"/>
          <w:szCs w:val="24"/>
          <w:lang w:val="en-US" w:eastAsia="zh-CN" w:bidi="ar-SA"/>
        </w:rPr>
        <w:t>惠州市2023年度环卫一体化经费</w:t>
      </w:r>
      <w:r>
        <w:rPr>
          <w:rFonts w:hint="default" w:ascii="Times New Roman" w:hAnsi="Times New Roman" w:cs="Times New Roman"/>
          <w:color w:val="auto"/>
          <w:sz w:val="24"/>
          <w:szCs w:val="24"/>
        </w:rPr>
        <w:tab/>
      </w:r>
      <w:r>
        <w:rPr>
          <w:rFonts w:hint="eastAsia" w:ascii="Times New Roman" w:hAnsi="Times New Roman" w:eastAsia="宋体" w:cs="Times New Roman"/>
          <w:color w:val="auto"/>
          <w:sz w:val="24"/>
          <w:szCs w:val="24"/>
          <w:lang w:val="en-US" w:eastAsia="zh-CN"/>
        </w:rPr>
        <w:t>3</w:t>
      </w:r>
      <w:r>
        <w:rPr>
          <w:rFonts w:hint="default" w:ascii="Times New Roman" w:hAnsi="Times New Roman" w:eastAsia="仿宋" w:cs="Times New Roman"/>
          <w:color w:val="auto"/>
          <w:kern w:val="2"/>
          <w:sz w:val="24"/>
          <w:szCs w:val="24"/>
          <w:lang w:val="en-US" w:eastAsia="zh-CN" w:bidi="ar-SA"/>
        </w:rPr>
        <w:fldChar w:fldCharType="end"/>
      </w:r>
      <w:r>
        <w:rPr>
          <w:rFonts w:hint="eastAsia" w:eastAsia="仿宋" w:cs="Times New Roman"/>
          <w:color w:val="auto"/>
          <w:kern w:val="2"/>
          <w:sz w:val="24"/>
          <w:szCs w:val="24"/>
          <w:lang w:val="en-US" w:eastAsia="zh-CN" w:bidi="ar-SA"/>
        </w:rPr>
        <w:t>7</w:t>
      </w:r>
    </w:p>
    <w:p>
      <w:pPr>
        <w:pStyle w:val="3"/>
        <w:keepNext w:val="0"/>
        <w:keepLines w:val="0"/>
        <w:pageBreakBefore w:val="0"/>
        <w:widowControl w:val="0"/>
        <w:tabs>
          <w:tab w:val="right" w:leader="hyphen" w:pos="9026"/>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4"/>
          <w:szCs w:val="24"/>
          <w:lang w:val="en-US"/>
        </w:rPr>
      </w:pPr>
      <w:r>
        <w:rPr>
          <w:rFonts w:hint="default" w:ascii="Times New Roman" w:hAnsi="Times New Roman" w:eastAsia="仿宋" w:cs="Times New Roman"/>
          <w:color w:val="auto"/>
          <w:kern w:val="2"/>
          <w:sz w:val="24"/>
          <w:szCs w:val="24"/>
          <w:lang w:val="en-US" w:eastAsia="zh-CN" w:bidi="ar-SA"/>
        </w:rPr>
        <w:fldChar w:fldCharType="begin"/>
      </w:r>
      <w:r>
        <w:rPr>
          <w:rFonts w:hint="default" w:ascii="Times New Roman" w:hAnsi="Times New Roman" w:eastAsia="仿宋" w:cs="Times New Roman"/>
          <w:color w:val="auto"/>
          <w:kern w:val="2"/>
          <w:sz w:val="24"/>
          <w:szCs w:val="24"/>
          <w:lang w:val="en-US" w:eastAsia="zh-CN" w:bidi="ar-SA"/>
        </w:rPr>
        <w:instrText xml:space="preserve"> HYPERLINK \l _Toc30546 </w:instrText>
      </w:r>
      <w:r>
        <w:rPr>
          <w:rFonts w:hint="default" w:ascii="Times New Roman" w:hAnsi="Times New Roman" w:eastAsia="仿宋" w:cs="Times New Roman"/>
          <w:color w:val="auto"/>
          <w:kern w:val="2"/>
          <w:sz w:val="24"/>
          <w:szCs w:val="24"/>
          <w:lang w:val="en-US" w:eastAsia="zh-CN" w:bidi="ar-SA"/>
        </w:rPr>
        <w:fldChar w:fldCharType="separate"/>
      </w:r>
      <w:r>
        <w:rPr>
          <w:rFonts w:hint="default" w:ascii="Times New Roman" w:hAnsi="Times New Roman" w:eastAsia="黑体" w:cs="Times New Roman"/>
          <w:color w:val="auto"/>
          <w:sz w:val="24"/>
          <w:szCs w:val="24"/>
          <w:lang w:val="en-US" w:eastAsia="zh-CN" w:bidi="ar-SA"/>
        </w:rPr>
        <w:t>十三、惠州市2023年度妇幼健康补助经费支出政策</w:t>
      </w:r>
      <w:r>
        <w:rPr>
          <w:rFonts w:hint="default" w:ascii="Times New Roman" w:hAnsi="Times New Roman" w:cs="Times New Roman"/>
          <w:color w:val="auto"/>
          <w:sz w:val="24"/>
          <w:szCs w:val="24"/>
        </w:rPr>
        <w:tab/>
      </w:r>
      <w:r>
        <w:rPr>
          <w:rFonts w:hint="eastAsia" w:cs="Times New Roman"/>
          <w:color w:val="auto"/>
          <w:sz w:val="24"/>
          <w:szCs w:val="24"/>
          <w:lang w:val="en-US" w:eastAsia="zh-CN"/>
        </w:rPr>
        <w:t>4</w:t>
      </w:r>
      <w:r>
        <w:rPr>
          <w:rFonts w:hint="default" w:ascii="Times New Roman" w:hAnsi="Times New Roman" w:eastAsia="仿宋" w:cs="Times New Roman"/>
          <w:color w:val="auto"/>
          <w:kern w:val="2"/>
          <w:sz w:val="24"/>
          <w:szCs w:val="24"/>
          <w:lang w:val="en-US" w:eastAsia="zh-CN" w:bidi="ar-SA"/>
        </w:rPr>
        <w:fldChar w:fldCharType="end"/>
      </w:r>
      <w:r>
        <w:rPr>
          <w:rFonts w:hint="eastAsia" w:eastAsia="仿宋" w:cs="Times New Roman"/>
          <w:color w:val="auto"/>
          <w:kern w:val="2"/>
          <w:sz w:val="24"/>
          <w:szCs w:val="24"/>
          <w:lang w:val="en-US" w:eastAsia="zh-CN" w:bidi="ar-SA"/>
        </w:rPr>
        <w:t>0</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Cs w:val="28"/>
          <w:lang w:val="en-US" w:eastAsia="zh-CN" w:bidi="ar-SA"/>
        </w:rPr>
        <w:fldChar w:fldCharType="end"/>
      </w:r>
    </w:p>
    <w:p>
      <w:pPr>
        <w:keepNext w:val="0"/>
        <w:keepLines w:val="0"/>
        <w:pageBreakBefore w:val="0"/>
        <w:widowControl w:val="0"/>
        <w:kinsoku/>
        <w:wordWrap/>
        <w:overflowPunct/>
        <w:topLinePunct w:val="0"/>
        <w:bidi w:val="0"/>
        <w:spacing w:beforeLines="0" w:afterLines="0" w:line="600" w:lineRule="exact"/>
        <w:jc w:val="left"/>
        <w:textAlignment w:val="auto"/>
        <w:rPr>
          <w:rFonts w:hint="default" w:ascii="Times New Roman" w:hAnsi="Times New Roman" w:eastAsia="仿宋" w:cs="Times New Roman"/>
          <w:color w:val="auto"/>
          <w:kern w:val="2"/>
          <w:sz w:val="21"/>
          <w:szCs w:val="44"/>
          <w:lang w:val="en-US" w:eastAsia="zh-CN" w:bidi="ar-SA"/>
        </w:rPr>
      </w:pPr>
    </w:p>
    <w:p>
      <w:pPr>
        <w:keepNext w:val="0"/>
        <w:keepLines w:val="0"/>
        <w:pageBreakBefore w:val="0"/>
        <w:widowControl w:val="0"/>
        <w:kinsoku/>
        <w:wordWrap/>
        <w:overflowPunct/>
        <w:topLinePunct w:val="0"/>
        <w:bidi w:val="0"/>
        <w:spacing w:line="600" w:lineRule="exact"/>
        <w:jc w:val="both"/>
        <w:textAlignment w:val="auto"/>
        <w:outlineLvl w:val="0"/>
        <w:rPr>
          <w:rFonts w:hint="default" w:ascii="Times New Roman" w:hAnsi="Times New Roman" w:eastAsia="黑体" w:cs="Times New Roman"/>
          <w:bCs/>
          <w:color w:val="auto"/>
          <w:kern w:val="2"/>
          <w:sz w:val="32"/>
          <w:szCs w:val="32"/>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627" w:bottom="1440" w:left="1627" w:header="851" w:footer="992" w:gutter="0"/>
          <w:pgNumType w:fmt="decimal" w:start="1"/>
          <w:cols w:space="720" w:num="1"/>
          <w:rtlGutter w:val="0"/>
          <w:docGrid w:type="lines" w:linePitch="312" w:charSpace="0"/>
        </w:sectPr>
      </w:pPr>
    </w:p>
    <w:p>
      <w:pPr>
        <w:keepNext w:val="0"/>
        <w:keepLines w:val="0"/>
        <w:pageBreakBefore w:val="0"/>
        <w:widowControl w:val="0"/>
        <w:kinsoku/>
        <w:wordWrap/>
        <w:overflowPunct/>
        <w:topLinePunct w:val="0"/>
        <w:autoSpaceDE w:val="0"/>
        <w:autoSpaceDN w:val="0"/>
        <w:bidi w:val="0"/>
        <w:adjustRightInd w:val="0"/>
        <w:spacing w:before="0" w:beforeLines="0" w:after="0" w:afterLines="0" w:line="600" w:lineRule="exact"/>
        <w:ind w:firstLine="640" w:firstLineChars="200"/>
        <w:jc w:val="both"/>
        <w:textAlignment w:val="auto"/>
        <w:outlineLvl w:val="0"/>
        <w:rPr>
          <w:rFonts w:ascii="Times New Roman" w:hAnsi="Times New Roman" w:eastAsia="方正黑体_GBK" w:cs="Times New Roman"/>
          <w:bCs/>
          <w:color w:val="auto"/>
          <w:kern w:val="2"/>
          <w:sz w:val="32"/>
          <w:szCs w:val="32"/>
          <w:lang w:val="en-US" w:eastAsia="zh-CN" w:bidi="ar-SA"/>
        </w:rPr>
      </w:pPr>
      <w:bookmarkStart w:id="0" w:name="_Toc6549"/>
      <w:bookmarkStart w:id="1" w:name="_Toc7697"/>
      <w:bookmarkStart w:id="2" w:name="_Toc9168"/>
      <w:r>
        <w:rPr>
          <w:rFonts w:ascii="Times New Roman" w:hAnsi="Times New Roman" w:eastAsia="方正黑体_GBK" w:cs="Times New Roman"/>
          <w:bCs/>
          <w:color w:val="auto"/>
          <w:kern w:val="2"/>
          <w:sz w:val="32"/>
          <w:szCs w:val="32"/>
          <w:lang w:val="en-US" w:eastAsia="zh-CN" w:bidi="ar-SA"/>
        </w:rPr>
        <w:t>一、</w:t>
      </w:r>
      <w:bookmarkEnd w:id="0"/>
      <w:bookmarkEnd w:id="1"/>
      <w:bookmarkEnd w:id="2"/>
      <w:r>
        <w:rPr>
          <w:rFonts w:ascii="Times New Roman" w:hAnsi="Times New Roman" w:eastAsia="方正黑体_GBK" w:cs="Times New Roman"/>
          <w:bCs/>
          <w:color w:val="auto"/>
          <w:kern w:val="2"/>
          <w:sz w:val="32"/>
          <w:szCs w:val="32"/>
          <w:lang w:val="en-US" w:eastAsia="zh-CN" w:bidi="ar-SA"/>
        </w:rPr>
        <w:t>中国共产主义青年团惠州市委员会2023年度部门整体支出</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firstLine="640" w:firstLineChars="200"/>
        <w:jc w:val="both"/>
        <w:textAlignment w:val="auto"/>
        <w:outlineLvl w:val="9"/>
        <w:rPr>
          <w:rFonts w:ascii="Times New Roman" w:hAnsi="Times New Roman" w:eastAsia="方正仿宋_GBK" w:cs="Times New Roman"/>
          <w:color w:val="auto"/>
          <w:sz w:val="32"/>
          <w:szCs w:val="32"/>
          <w:lang w:val="en-US" w:eastAsia="zh-CN" w:bidi="ar-SA"/>
        </w:rPr>
      </w:pPr>
      <w:bookmarkStart w:id="3" w:name="_Toc26193"/>
      <w:bookmarkStart w:id="4" w:name="_Toc13788"/>
      <w:bookmarkStart w:id="5" w:name="_Toc5502"/>
      <w:r>
        <w:rPr>
          <w:rFonts w:ascii="Times New Roman" w:hAnsi="Times New Roman" w:eastAsia="方正仿宋_GBK" w:cs="Times New Roman"/>
          <w:color w:val="auto"/>
          <w:sz w:val="32"/>
          <w:szCs w:val="32"/>
          <w:highlight w:val="none"/>
          <w:lang w:val="en-US" w:eastAsia="zh-CN" w:bidi="ar-SA"/>
        </w:rPr>
        <w:t>为</w:t>
      </w:r>
      <w:r>
        <w:rPr>
          <w:rFonts w:ascii="Times New Roman" w:hAnsi="Times New Roman" w:eastAsia="方正仿宋_GBK" w:cs="Times New Roman"/>
          <w:color w:val="auto"/>
          <w:sz w:val="32"/>
          <w:szCs w:val="32"/>
          <w:highlight w:val="none"/>
          <w:lang w:bidi="ar-SA"/>
        </w:rPr>
        <w:t>加强财政</w:t>
      </w:r>
      <w:r>
        <w:rPr>
          <w:rFonts w:ascii="Times New Roman" w:hAnsi="Times New Roman" w:eastAsia="方正仿宋_GBK" w:cs="Times New Roman"/>
          <w:color w:val="auto"/>
          <w:sz w:val="32"/>
          <w:szCs w:val="32"/>
          <w:highlight w:val="none"/>
          <w:lang w:val="en-US" w:eastAsia="zh-CN" w:bidi="ar-SA"/>
        </w:rPr>
        <w:t>支出管理，提高财政资金的使用效益，</w:t>
      </w:r>
      <w:r>
        <w:rPr>
          <w:rFonts w:ascii="Times New Roman" w:hAnsi="Times New Roman" w:eastAsia="方正仿宋_GBK" w:cs="Times New Roman"/>
          <w:color w:val="auto"/>
          <w:sz w:val="32"/>
          <w:szCs w:val="32"/>
          <w:lang w:val="en-US" w:eastAsia="zh-CN" w:bidi="ar-SA"/>
        </w:rPr>
        <w:t>惠州市财政局（以下简称“市财政局”）委托</w:t>
      </w:r>
      <w:r>
        <w:rPr>
          <w:rFonts w:ascii="Times New Roman" w:hAnsi="Times New Roman" w:eastAsia="方正仿宋_GBK" w:cs="Times New Roman"/>
          <w:color w:val="auto"/>
          <w:sz w:val="32"/>
          <w:szCs w:val="32"/>
          <w:highlight w:val="none"/>
          <w:lang w:val="en-US" w:eastAsia="zh-CN" w:bidi="ar-SA"/>
        </w:rPr>
        <w:t>上海元方智库公共管理咨询有限公司</w:t>
      </w:r>
      <w:r>
        <w:rPr>
          <w:rFonts w:ascii="Times New Roman" w:hAnsi="Times New Roman" w:eastAsia="方正仿宋_GBK" w:cs="Times New Roman"/>
          <w:color w:val="auto"/>
          <w:sz w:val="32"/>
          <w:szCs w:val="32"/>
          <w:lang w:val="en-US" w:eastAsia="zh-CN" w:bidi="ar-SA"/>
        </w:rPr>
        <w:t>（以下简称“上海元方”）对中国共产主义青年团惠州市委员会（以下简称“团市委”）2023年度</w:t>
      </w:r>
      <w:r>
        <w:rPr>
          <w:rFonts w:ascii="Times New Roman" w:hAnsi="Times New Roman" w:eastAsia="方正仿宋_GBK" w:cs="Times New Roman"/>
          <w:color w:val="auto"/>
          <w:sz w:val="32"/>
          <w:szCs w:val="32"/>
          <w:highlight w:val="none"/>
          <w:lang w:val="en-US" w:eastAsia="zh-CN" w:bidi="ar-SA"/>
        </w:rPr>
        <w:t>部门整体支出情况实施绩效评价</w:t>
      </w:r>
      <w:r>
        <w:rPr>
          <w:rFonts w:ascii="Times New Roman" w:hAnsi="Times New Roman" w:eastAsia="方正仿宋_GBK" w:cs="Times New Roman"/>
          <w:color w:val="auto"/>
          <w:sz w:val="32"/>
          <w:szCs w:val="32"/>
          <w:lang w:val="en-US" w:eastAsia="zh-CN" w:bidi="ar-SA"/>
        </w:rPr>
        <w:t>。</w:t>
      </w:r>
      <w:r>
        <w:rPr>
          <w:rFonts w:ascii="Times New Roman" w:hAnsi="Times New Roman" w:eastAsia="方正仿宋_GBK" w:cs="Times New Roman"/>
          <w:color w:val="auto"/>
          <w:sz w:val="32"/>
          <w:szCs w:val="32"/>
          <w:highlight w:val="none"/>
          <w:lang w:val="en-US" w:eastAsia="zh-CN" w:bidi="ar-SA"/>
        </w:rPr>
        <w:t>2023</w:t>
      </w:r>
      <w:r>
        <w:rPr>
          <w:rFonts w:ascii="Times New Roman" w:hAnsi="Times New Roman" w:eastAsia="方正仿宋_GBK" w:cs="Times New Roman"/>
          <w:color w:val="auto"/>
          <w:sz w:val="32"/>
          <w:szCs w:val="32"/>
          <w:highlight w:val="none"/>
          <w:lang w:bidi="ar-SA"/>
        </w:rPr>
        <w:t>年度</w:t>
      </w:r>
      <w:r>
        <w:rPr>
          <w:rFonts w:ascii="Times New Roman" w:hAnsi="Times New Roman" w:eastAsia="方正仿宋_GBK" w:cs="Times New Roman"/>
          <w:color w:val="auto"/>
          <w:sz w:val="32"/>
          <w:szCs w:val="32"/>
          <w:highlight w:val="none"/>
          <w:lang w:val="en-US" w:eastAsia="zh-CN" w:bidi="ar-SA"/>
        </w:rPr>
        <w:t>团市委财政拨款预算收入为2,434.00万元；财政拨款支出为2,434.00万元，支出率为100%。</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color w:val="auto"/>
          <w:kern w:val="2"/>
          <w:sz w:val="32"/>
          <w:szCs w:val="32"/>
          <w:highlight w:val="none"/>
          <w:lang w:val="en-US" w:eastAsia="zh-CN" w:bidi="ar-SA"/>
        </w:rPr>
      </w:pPr>
      <w:r>
        <w:rPr>
          <w:rFonts w:ascii="Times New Roman" w:hAnsi="Times New Roman" w:eastAsia="方正仿宋_GBK" w:cs="Times New Roman"/>
          <w:color w:val="auto"/>
          <w:kern w:val="2"/>
          <w:sz w:val="32"/>
          <w:szCs w:val="32"/>
          <w:highlight w:val="none"/>
          <w:lang w:val="en-US" w:eastAsia="zh-CN" w:bidi="ar-SA"/>
        </w:rPr>
        <w:t>经过资料收集报送、书面评审、现场评价等流程，经评定：</w:t>
      </w:r>
      <w:r>
        <w:rPr>
          <w:rFonts w:ascii="Times New Roman" w:hAnsi="Times New Roman" w:eastAsia="方正仿宋_GBK" w:cs="Times New Roman"/>
          <w:color w:val="auto"/>
          <w:sz w:val="32"/>
          <w:szCs w:val="32"/>
          <w:highlight w:val="none"/>
          <w:lang w:val="en-US" w:eastAsia="zh-CN" w:bidi="ar-SA"/>
        </w:rPr>
        <w:t>团市委</w:t>
      </w:r>
      <w:r>
        <w:rPr>
          <w:rFonts w:ascii="Times New Roman" w:hAnsi="Times New Roman" w:eastAsia="方正仿宋_GBK" w:cs="Times New Roman"/>
          <w:color w:val="auto"/>
          <w:kern w:val="2"/>
          <w:sz w:val="32"/>
          <w:szCs w:val="32"/>
          <w:highlight w:val="none"/>
          <w:lang w:val="en-US" w:eastAsia="zh-CN" w:bidi="ar-SA"/>
        </w:rPr>
        <w:t>2023年度部门整体支出绩效评价得分为</w:t>
      </w:r>
      <w:r>
        <w:rPr>
          <w:rFonts w:ascii="Times New Roman" w:hAnsi="Times New Roman" w:eastAsia="方正仿宋_GBK" w:cs="Times New Roman"/>
          <w:b/>
          <w:bCs/>
          <w:color w:val="auto"/>
          <w:kern w:val="2"/>
          <w:sz w:val="32"/>
          <w:szCs w:val="32"/>
          <w:highlight w:val="none"/>
          <w:lang w:val="en-US" w:eastAsia="zh-CN" w:bidi="ar-SA"/>
        </w:rPr>
        <w:t>88.79分</w:t>
      </w:r>
      <w:r>
        <w:rPr>
          <w:rFonts w:ascii="Times New Roman" w:hAnsi="Times New Roman" w:eastAsia="方正仿宋_GBK" w:cs="Times New Roman"/>
          <w:color w:val="auto"/>
          <w:kern w:val="2"/>
          <w:sz w:val="32"/>
          <w:szCs w:val="32"/>
          <w:highlight w:val="none"/>
          <w:lang w:val="en-US" w:eastAsia="zh-CN" w:bidi="ar-SA"/>
        </w:rPr>
        <w:t>，评定等级为</w:t>
      </w:r>
      <w:r>
        <w:rPr>
          <w:rFonts w:ascii="Times New Roman" w:hAnsi="Times New Roman" w:eastAsia="方正仿宋_GBK" w:cs="Times New Roman"/>
          <w:b/>
          <w:bCs/>
          <w:color w:val="auto"/>
          <w:kern w:val="2"/>
          <w:sz w:val="32"/>
          <w:szCs w:val="32"/>
          <w:highlight w:val="none"/>
          <w:lang w:val="en-US" w:eastAsia="zh-CN" w:bidi="ar-SA"/>
        </w:rPr>
        <w:t>“良”</w:t>
      </w:r>
      <w:r>
        <w:rPr>
          <w:rFonts w:ascii="Times New Roman" w:hAnsi="Times New Roman" w:eastAsia="方正仿宋_GBK"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黑体_GBK" w:cs="Times New Roman"/>
          <w:sz w:val="32"/>
          <w:szCs w:val="32"/>
          <w:lang w:val="en-US" w:eastAsia="zh-CN" w:bidi="ar-SA"/>
        </w:rPr>
        <w:t>主要绩效：</w:t>
      </w:r>
      <w:r>
        <w:rPr>
          <w:rFonts w:ascii="Times New Roman" w:hAnsi="Times New Roman" w:eastAsia="方正仿宋_GBK" w:cs="Times New Roman"/>
          <w:b/>
          <w:bCs/>
          <w:kern w:val="2"/>
          <w:sz w:val="32"/>
          <w:szCs w:val="32"/>
          <w:lang w:val="en-US" w:eastAsia="zh-CN" w:bidi="ar-SA"/>
        </w:rPr>
        <w:t>第一，</w:t>
      </w:r>
      <w:r>
        <w:rPr>
          <w:rFonts w:ascii="Times New Roman" w:hAnsi="Times New Roman" w:eastAsia="方正仿宋_GBK" w:cs="Times New Roman"/>
          <w:color w:val="auto"/>
          <w:kern w:val="2"/>
          <w:sz w:val="32"/>
          <w:szCs w:val="32"/>
          <w:highlight w:val="none"/>
          <w:lang w:val="en-US" w:eastAsia="zh-CN" w:bidi="ar-SA"/>
        </w:rPr>
        <w:t>统筹资源，借势借力推动青年发展工作。</w:t>
      </w:r>
      <w:r>
        <w:rPr>
          <w:rFonts w:ascii="Times New Roman" w:hAnsi="Times New Roman" w:eastAsia="方正仿宋_GBK" w:cs="Times New Roman"/>
          <w:b/>
          <w:bCs/>
          <w:kern w:val="2"/>
          <w:sz w:val="32"/>
          <w:szCs w:val="32"/>
          <w:lang w:val="en-US" w:eastAsia="zh-CN" w:bidi="ar-SA"/>
        </w:rPr>
        <w:t>第二，</w:t>
      </w:r>
      <w:r>
        <w:rPr>
          <w:rFonts w:ascii="Times New Roman" w:hAnsi="Times New Roman" w:eastAsia="方正仿宋_GBK" w:cs="Times New Roman"/>
          <w:color w:val="auto"/>
          <w:kern w:val="2"/>
          <w:sz w:val="32"/>
          <w:szCs w:val="32"/>
          <w:highlight w:val="none"/>
          <w:lang w:val="en-US" w:eastAsia="zh-CN" w:bidi="ar-SA"/>
        </w:rPr>
        <w:t>聚焦“百千万工程”，发动组织青年力量，助力城乡协调发展。</w:t>
      </w:r>
      <w:r>
        <w:rPr>
          <w:rFonts w:ascii="Times New Roman" w:hAnsi="Times New Roman" w:eastAsia="方正仿宋_GBK" w:cs="Times New Roman"/>
          <w:b/>
          <w:bCs/>
          <w:color w:val="auto"/>
          <w:kern w:val="2"/>
          <w:sz w:val="32"/>
          <w:szCs w:val="32"/>
          <w:highlight w:val="none"/>
          <w:lang w:val="en-US" w:eastAsia="zh-CN" w:bidi="ar-SA"/>
        </w:rPr>
        <w:t>第三，</w:t>
      </w:r>
      <w:r>
        <w:rPr>
          <w:rFonts w:ascii="Times New Roman" w:hAnsi="Times New Roman" w:eastAsia="方正仿宋_GBK" w:cs="Times New Roman"/>
          <w:color w:val="auto"/>
          <w:kern w:val="2"/>
          <w:sz w:val="32"/>
          <w:szCs w:val="32"/>
          <w:highlight w:val="none"/>
          <w:lang w:val="en-US" w:eastAsia="zh-CN" w:bidi="ar-SA"/>
        </w:rPr>
        <w:t>加大调研力度，推动调研成果转化。</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outlineLvl w:val="9"/>
        <w:rPr>
          <w:rFonts w:ascii="Times New Roman" w:hAnsi="Times New Roman" w:eastAsia="方正仿宋_GBK" w:cs="Times New Roman"/>
          <w:sz w:val="32"/>
          <w:szCs w:val="32"/>
          <w:lang w:val="en-US" w:eastAsia="zh-CN" w:bidi="ar-SA"/>
        </w:rPr>
      </w:pPr>
      <w:r>
        <w:rPr>
          <w:rFonts w:ascii="Times New Roman" w:hAnsi="Times New Roman" w:eastAsia="方正黑体_GBK" w:cs="Times New Roman"/>
          <w:sz w:val="32"/>
          <w:szCs w:val="32"/>
          <w:lang w:val="en-US" w:eastAsia="zh-CN" w:bidi="ar-SA"/>
        </w:rPr>
        <w:t>存在问题：</w:t>
      </w:r>
      <w:r>
        <w:rPr>
          <w:rFonts w:ascii="Times New Roman" w:hAnsi="Times New Roman" w:eastAsia="方正仿宋_GBK" w:cs="Times New Roman"/>
          <w:b/>
          <w:bCs/>
          <w:kern w:val="2"/>
          <w:sz w:val="32"/>
          <w:szCs w:val="32"/>
          <w:lang w:val="en-US" w:eastAsia="zh-CN" w:bidi="ar-SA"/>
        </w:rPr>
        <w:t>第一，财务管理存在较多不规范情况。一是</w:t>
      </w:r>
      <w:r>
        <w:rPr>
          <w:rFonts w:ascii="Times New Roman" w:hAnsi="Times New Roman" w:eastAsia="方正仿宋_GBK" w:cs="Times New Roman"/>
          <w:kern w:val="2"/>
          <w:sz w:val="32"/>
          <w:szCs w:val="32"/>
          <w:lang w:val="en-US" w:eastAsia="zh-CN" w:bidi="ar-SA"/>
        </w:rPr>
        <w:t>部分项目资金支付进度与事项完成进度不匹配。例如12月22#支付物料设计制作费28,555元，物料验收单日期为2024年2月22日，但团市委于12月15日支付该款项，即合同款项支付时间早于项目验收时间。</w:t>
      </w:r>
      <w:r>
        <w:rPr>
          <w:rFonts w:ascii="Times New Roman" w:hAnsi="Times New Roman" w:eastAsia="方正仿宋_GBK" w:cs="Times New Roman"/>
          <w:b/>
          <w:bCs/>
          <w:kern w:val="2"/>
          <w:sz w:val="32"/>
          <w:szCs w:val="32"/>
          <w:lang w:val="en-US" w:eastAsia="zh-CN" w:bidi="ar-SA"/>
        </w:rPr>
        <w:t>二是</w:t>
      </w:r>
      <w:r>
        <w:rPr>
          <w:rFonts w:ascii="Times New Roman" w:hAnsi="Times New Roman" w:eastAsia="方正仿宋_GBK" w:cs="Times New Roman"/>
          <w:kern w:val="2"/>
          <w:sz w:val="32"/>
          <w:szCs w:val="32"/>
          <w:lang w:val="en-US" w:eastAsia="zh-CN" w:bidi="ar-SA"/>
        </w:rPr>
        <w:t>部分收入未纳入部门预决算，仅列入“其他应付款”。例如2月20#记账凭证，团市委支付4万元现金助学金至目标小学生，在“其他应付款”挂账与列支，不符合《行政单位财务规则》第十八条规定“行政单位应当将各项收入全部纳入单位预算，统一核算，统一管理，未纳入预算的收入不得安排支出”要求。</w:t>
      </w:r>
      <w:r>
        <w:rPr>
          <w:rFonts w:ascii="Times New Roman" w:hAnsi="Times New Roman" w:eastAsia="方正仿宋_GBK" w:cs="Times New Roman"/>
          <w:b/>
          <w:bCs/>
          <w:kern w:val="2"/>
          <w:sz w:val="32"/>
          <w:szCs w:val="32"/>
          <w:lang w:val="en-US" w:eastAsia="zh-CN" w:bidi="ar-SA"/>
        </w:rPr>
        <w:t>三是</w:t>
      </w:r>
      <w:r>
        <w:rPr>
          <w:rFonts w:ascii="Times New Roman" w:hAnsi="Times New Roman" w:eastAsia="方正仿宋_GBK" w:cs="Times New Roman"/>
          <w:kern w:val="2"/>
          <w:sz w:val="32"/>
          <w:szCs w:val="32"/>
          <w:lang w:val="en-US" w:eastAsia="zh-CN" w:bidi="ar-SA"/>
        </w:rPr>
        <w:t>会计核算不规范。现场材料审核中发现，团市委部分支出未按《政府收支分类科目》进行核算。记账凭证附件与支出事项不一致。团市委2023年存在4笔漏挂单据，记账平均延迟天数为1.84天，会计核算规范性综合得分在市直单位中排名</w:t>
      </w:r>
      <w:r>
        <w:rPr>
          <w:rFonts w:hint="eastAsia" w:eastAsia="方正仿宋_GBK" w:cs="Times New Roman"/>
          <w:kern w:val="2"/>
          <w:sz w:val="32"/>
          <w:szCs w:val="32"/>
          <w:lang w:val="en-US" w:eastAsia="zh-CN" w:bidi="ar-SA"/>
        </w:rPr>
        <w:t>较</w:t>
      </w:r>
      <w:r>
        <w:rPr>
          <w:rFonts w:ascii="Times New Roman" w:hAnsi="Times New Roman" w:eastAsia="方正仿宋_GBK" w:cs="Times New Roman"/>
          <w:kern w:val="2"/>
          <w:sz w:val="32"/>
          <w:szCs w:val="32"/>
          <w:lang w:val="en-US" w:eastAsia="zh-CN" w:bidi="ar-SA"/>
        </w:rPr>
        <w:t>为靠后。</w:t>
      </w:r>
      <w:r>
        <w:rPr>
          <w:rFonts w:ascii="Times New Roman" w:hAnsi="Times New Roman" w:eastAsia="方正仿宋_GBK" w:cs="Times New Roman"/>
          <w:b/>
          <w:bCs/>
          <w:kern w:val="2"/>
          <w:sz w:val="32"/>
          <w:szCs w:val="32"/>
          <w:lang w:val="en-US" w:eastAsia="zh-CN" w:bidi="ar-SA"/>
        </w:rPr>
        <w:t>第二，项目实施不规范不细致，实施过程存在管理漏洞，监管机制有待加强。一是</w:t>
      </w:r>
      <w:r>
        <w:rPr>
          <w:rFonts w:ascii="Times New Roman" w:hAnsi="Times New Roman" w:eastAsia="方正仿宋_GBK" w:cs="Times New Roman"/>
          <w:kern w:val="2"/>
          <w:sz w:val="32"/>
          <w:szCs w:val="32"/>
          <w:lang w:val="en-US" w:eastAsia="zh-CN" w:bidi="ar-SA"/>
        </w:rPr>
        <w:t>项目实施过程不够细致。“展翅计划”市级通知存在团市委简单照搬省级方案的现象，对县区难以起到好的指导效果。</w:t>
      </w:r>
      <w:r>
        <w:rPr>
          <w:rFonts w:ascii="Times New Roman" w:hAnsi="Times New Roman" w:eastAsia="方正仿宋_GBK" w:cs="Times New Roman"/>
          <w:b/>
          <w:bCs/>
          <w:kern w:val="2"/>
          <w:sz w:val="32"/>
          <w:szCs w:val="32"/>
          <w:lang w:val="en-US" w:eastAsia="zh-CN" w:bidi="ar-SA"/>
        </w:rPr>
        <w:t>二是</w:t>
      </w:r>
      <w:r>
        <w:rPr>
          <w:rFonts w:ascii="Times New Roman" w:hAnsi="Times New Roman" w:eastAsia="方正仿宋_GBK" w:cs="Times New Roman"/>
          <w:kern w:val="2"/>
          <w:sz w:val="32"/>
          <w:szCs w:val="32"/>
          <w:lang w:val="en-US" w:eastAsia="zh-CN" w:bidi="ar-SA"/>
        </w:rPr>
        <w:t>处理不及时</w:t>
      </w:r>
      <w:r>
        <w:rPr>
          <w:rFonts w:hint="eastAsia"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展翅计划后台统计的惠州市简历未处理率为46.21%，比例较高，存在“已读不回”现象，影响后续简历投递积极性。</w:t>
      </w:r>
      <w:r>
        <w:rPr>
          <w:rFonts w:ascii="Times New Roman" w:hAnsi="Times New Roman" w:eastAsia="方正仿宋_GBK" w:cs="Times New Roman"/>
          <w:b/>
          <w:bCs/>
          <w:kern w:val="2"/>
          <w:sz w:val="32"/>
          <w:szCs w:val="32"/>
          <w:lang w:val="en-US" w:eastAsia="zh-CN" w:bidi="ar-SA"/>
        </w:rPr>
        <w:t>三是</w:t>
      </w:r>
      <w:r>
        <w:rPr>
          <w:rFonts w:ascii="Times New Roman" w:hAnsi="Times New Roman" w:eastAsia="方正仿宋_GBK" w:cs="Times New Roman"/>
          <w:kern w:val="2"/>
          <w:sz w:val="32"/>
          <w:szCs w:val="32"/>
          <w:lang w:val="en-US" w:eastAsia="zh-CN" w:bidi="ar-SA"/>
        </w:rPr>
        <w:t>项目实施过程存在管理漏洞。例如“惠州青年就业创业嘉年华”委托协议中团市委未明确支付条件，亦未约定验收后再支付合同尾款的条款，对乙方执行合同缺少约束力。</w:t>
      </w:r>
      <w:r>
        <w:rPr>
          <w:rFonts w:ascii="Times New Roman" w:hAnsi="Times New Roman" w:eastAsia="方正仿宋_GBK" w:cs="Times New Roman"/>
          <w:b/>
          <w:bCs/>
          <w:kern w:val="2"/>
          <w:sz w:val="32"/>
          <w:szCs w:val="32"/>
          <w:lang w:val="en-US" w:eastAsia="zh-CN" w:bidi="ar-SA"/>
        </w:rPr>
        <w:t>第三，绩效目标质量有待提升。</w:t>
      </w:r>
      <w:r>
        <w:rPr>
          <w:rFonts w:ascii="Times New Roman" w:hAnsi="Times New Roman" w:eastAsia="方正仿宋_GBK" w:cs="Times New Roman"/>
          <w:sz w:val="32"/>
          <w:szCs w:val="32"/>
          <w:lang w:val="en-US" w:eastAsia="zh-CN" w:bidi="ar-SA"/>
        </w:rPr>
        <w:t>部门整体绩效目标不完整，绩效指标可衡量性不足。</w:t>
      </w:r>
      <w:r>
        <w:rPr>
          <w:rFonts w:ascii="Times New Roman" w:hAnsi="Times New Roman" w:eastAsia="方正仿宋_GBK" w:cs="Times New Roman"/>
          <w:kern w:val="2"/>
          <w:sz w:val="32"/>
          <w:szCs w:val="32"/>
          <w:lang w:val="en-US" w:eastAsia="zh-CN" w:bidi="ar-SA"/>
        </w:rPr>
        <w:t>团市委</w:t>
      </w:r>
      <w:r>
        <w:rPr>
          <w:rFonts w:ascii="Times New Roman" w:hAnsi="Times New Roman" w:eastAsia="方正仿宋_GBK" w:cs="Times New Roman"/>
          <w:sz w:val="32"/>
          <w:szCs w:val="32"/>
          <w:lang w:val="en-US" w:eastAsia="zh-CN" w:bidi="ar-SA"/>
        </w:rPr>
        <w:t>部门整体绩效目标未覆盖部门“三定方案”中关于“指导全市各级团组织开展工作”“加强青少年调查研究工作”等部门工作职能。部分绩效指标考察范围不明确，如“服务人次不小于15,000人次”等指标未明确相关服务主题与对象；部分效益指标较难衡量。</w:t>
      </w:r>
      <w:r>
        <w:rPr>
          <w:rFonts w:ascii="Times New Roman" w:hAnsi="Times New Roman" w:eastAsia="方正仿宋_GBK" w:cs="Times New Roman"/>
          <w:b/>
          <w:bCs/>
          <w:sz w:val="32"/>
          <w:szCs w:val="32"/>
          <w:lang w:val="en-US" w:eastAsia="zh-CN" w:bidi="ar-SA"/>
        </w:rPr>
        <w:t>第四，</w:t>
      </w:r>
      <w:r>
        <w:rPr>
          <w:rFonts w:ascii="Times New Roman" w:hAnsi="Times New Roman" w:eastAsia="方正仿宋_GBK" w:cs="Times New Roman"/>
          <w:b/>
          <w:bCs/>
          <w:kern w:val="2"/>
          <w:sz w:val="32"/>
          <w:szCs w:val="32"/>
          <w:lang w:val="en-US" w:eastAsia="zh-CN" w:bidi="ar-SA"/>
        </w:rPr>
        <w:t>缺少绩效管理制度，未形成全过程闭环管理。</w:t>
      </w:r>
      <w:r>
        <w:rPr>
          <w:rFonts w:ascii="Times New Roman" w:hAnsi="Times New Roman" w:eastAsia="方正仿宋_GBK" w:cs="Times New Roman"/>
          <w:sz w:val="32"/>
          <w:szCs w:val="32"/>
          <w:lang w:val="en-US" w:eastAsia="zh-CN" w:bidi="ar-SA"/>
        </w:rPr>
        <w:t>团市委未制订部门绩效管理制度，不符合《惠州市贯彻落实〈中共广东省委 广东省人民政府关于全面实施预算绩效管理的若干意见〉的工作方案》及《惠州市市级财政支出绩效评价管理暂行办法》相关要求。</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outlineLvl w:val="9"/>
        <w:rPr>
          <w:rFonts w:ascii="Times New Roman" w:hAnsi="Times New Roman" w:eastAsia="方正仿宋_GBK" w:cs="Times New Roman"/>
          <w:bCs/>
          <w:color w:val="auto"/>
          <w:kern w:val="2"/>
          <w:sz w:val="32"/>
          <w:szCs w:val="32"/>
          <w:lang w:val="en-US" w:eastAsia="zh-CN" w:bidi="ar-SA"/>
        </w:rPr>
      </w:pPr>
      <w:r>
        <w:rPr>
          <w:rFonts w:ascii="Times New Roman" w:hAnsi="Times New Roman" w:eastAsia="方正黑体_GBK" w:cs="Times New Roman"/>
          <w:sz w:val="32"/>
          <w:szCs w:val="32"/>
          <w:lang w:val="en-US" w:eastAsia="zh-CN" w:bidi="ar-SA"/>
        </w:rPr>
        <w:t>改进建议：</w:t>
      </w:r>
      <w:r>
        <w:rPr>
          <w:rFonts w:ascii="Times New Roman" w:hAnsi="Times New Roman" w:eastAsia="方正仿宋_GBK" w:cs="Times New Roman"/>
          <w:b/>
          <w:bCs/>
          <w:sz w:val="32"/>
          <w:szCs w:val="32"/>
          <w:lang w:val="en-US" w:eastAsia="zh-CN" w:bidi="ar-SA"/>
        </w:rPr>
        <w:t>第一，强化财务管理规范性，完善审核机制。</w:t>
      </w:r>
      <w:r>
        <w:rPr>
          <w:rFonts w:ascii="Times New Roman" w:hAnsi="Times New Roman" w:eastAsia="方正仿宋_GBK" w:cs="Times New Roman"/>
          <w:sz w:val="32"/>
          <w:szCs w:val="32"/>
          <w:lang w:val="en-US" w:eastAsia="zh-CN" w:bidi="ar-SA"/>
        </w:rPr>
        <w:t>建议</w:t>
      </w:r>
      <w:r>
        <w:rPr>
          <w:rFonts w:ascii="Times New Roman" w:hAnsi="Times New Roman" w:eastAsia="方正仿宋_GBK" w:cs="Times New Roman"/>
          <w:kern w:val="2"/>
          <w:sz w:val="32"/>
          <w:szCs w:val="32"/>
          <w:lang w:val="en-US" w:eastAsia="zh-CN" w:bidi="ar-SA"/>
        </w:rPr>
        <w:t>团市委</w:t>
      </w:r>
      <w:r>
        <w:rPr>
          <w:rFonts w:ascii="Times New Roman" w:hAnsi="Times New Roman" w:eastAsia="方正仿宋_GBK" w:cs="Times New Roman"/>
          <w:sz w:val="32"/>
          <w:szCs w:val="32"/>
          <w:lang w:val="en-US" w:eastAsia="zh-CN" w:bidi="ar-SA"/>
        </w:rPr>
        <w:t>进一步完善财务管理制度，确保各项财务操作严格遵循相关法规要求。具体措施包括加强对项目资金支付的控制，确保资金支付进度与项目实施进度保持一致，避免提前或滞后支付。此外，建议</w:t>
      </w:r>
      <w:r>
        <w:rPr>
          <w:rFonts w:ascii="Times New Roman" w:hAnsi="Times New Roman" w:eastAsia="方正仿宋_GBK" w:cs="Times New Roman"/>
          <w:kern w:val="2"/>
          <w:sz w:val="32"/>
          <w:szCs w:val="32"/>
          <w:lang w:val="en-US" w:eastAsia="zh-CN" w:bidi="ar-SA"/>
        </w:rPr>
        <w:t>团市委</w:t>
      </w:r>
      <w:r>
        <w:rPr>
          <w:rFonts w:ascii="Times New Roman" w:hAnsi="Times New Roman" w:eastAsia="方正仿宋_GBK" w:cs="Times New Roman"/>
          <w:sz w:val="32"/>
          <w:szCs w:val="32"/>
          <w:lang w:val="en-US" w:eastAsia="zh-CN" w:bidi="ar-SA"/>
        </w:rPr>
        <w:t>优化预算工作管理，将所有收入和支出按要求纳入部门预算进行统一管理，避免挂账或列支不规范。为提升整体财务管理水平，建议</w:t>
      </w:r>
      <w:r>
        <w:rPr>
          <w:rFonts w:ascii="Times New Roman" w:hAnsi="Times New Roman" w:eastAsia="方正仿宋_GBK" w:cs="Times New Roman"/>
          <w:kern w:val="2"/>
          <w:sz w:val="32"/>
          <w:szCs w:val="32"/>
          <w:lang w:val="en-US" w:eastAsia="zh-CN" w:bidi="ar-SA"/>
        </w:rPr>
        <w:t>团市委</w:t>
      </w:r>
      <w:r>
        <w:rPr>
          <w:rFonts w:ascii="Times New Roman" w:hAnsi="Times New Roman" w:eastAsia="方正仿宋_GBK" w:cs="Times New Roman"/>
          <w:sz w:val="32"/>
          <w:szCs w:val="32"/>
          <w:lang w:val="en-US" w:eastAsia="zh-CN" w:bidi="ar-SA"/>
        </w:rPr>
        <w:t>定期组织财务人员进行业务培训，提高核算的准确性和合规性，并完善对凭证材料的审核机制，确保所有支出凭证与实际支出事项相符合，减少因操作疏忽带来的管理漏洞。</w:t>
      </w:r>
      <w:r>
        <w:rPr>
          <w:rFonts w:ascii="Times New Roman" w:hAnsi="Times New Roman" w:eastAsia="方正仿宋_GBK" w:cs="Times New Roman"/>
          <w:b/>
          <w:bCs/>
          <w:sz w:val="32"/>
          <w:szCs w:val="32"/>
          <w:lang w:val="en-US" w:eastAsia="zh-CN" w:bidi="ar-SA"/>
        </w:rPr>
        <w:t>第二，</w:t>
      </w:r>
      <w:r>
        <w:rPr>
          <w:rFonts w:ascii="Times New Roman" w:hAnsi="Times New Roman" w:eastAsia="方正仿宋_GBK" w:cs="Times New Roman"/>
          <w:b/>
          <w:bCs/>
          <w:kern w:val="2"/>
          <w:sz w:val="32"/>
          <w:szCs w:val="32"/>
          <w:lang w:val="en-US" w:eastAsia="zh-CN" w:bidi="ar-SA"/>
        </w:rPr>
        <w:t>提升项目实施过程的监督管理力度。</w:t>
      </w:r>
      <w:r>
        <w:rPr>
          <w:rFonts w:ascii="Times New Roman" w:hAnsi="Times New Roman" w:eastAsia="方正仿宋_GBK" w:cs="Times New Roman"/>
          <w:sz w:val="32"/>
          <w:szCs w:val="32"/>
          <w:lang w:val="en-US" w:eastAsia="zh-CN" w:bidi="ar-SA"/>
        </w:rPr>
        <w:t>建议</w:t>
      </w:r>
      <w:r>
        <w:rPr>
          <w:rFonts w:ascii="Times New Roman" w:hAnsi="Times New Roman" w:eastAsia="方正仿宋_GBK" w:cs="Times New Roman"/>
          <w:kern w:val="2"/>
          <w:sz w:val="32"/>
          <w:szCs w:val="32"/>
          <w:lang w:val="en-US" w:eastAsia="zh-CN" w:bidi="ar-SA"/>
        </w:rPr>
        <w:t>团市委</w:t>
      </w:r>
      <w:r>
        <w:rPr>
          <w:rFonts w:ascii="Times New Roman" w:hAnsi="Times New Roman" w:eastAsia="方正仿宋_GBK" w:cs="Times New Roman"/>
          <w:sz w:val="32"/>
          <w:szCs w:val="32"/>
          <w:lang w:val="en-US" w:eastAsia="zh-CN" w:bidi="ar-SA"/>
        </w:rPr>
        <w:t>进一步优化项目管理流程，加强项目从立项到执行全过程的细节把控。在制定项目方案和通知文件时，</w:t>
      </w:r>
      <w:r>
        <w:rPr>
          <w:rFonts w:ascii="Times New Roman" w:hAnsi="Times New Roman" w:eastAsia="方正仿宋_GBK" w:cs="Times New Roman"/>
          <w:kern w:val="2"/>
          <w:sz w:val="32"/>
          <w:szCs w:val="32"/>
          <w:lang w:val="en-US" w:eastAsia="zh-CN" w:bidi="ar-SA"/>
        </w:rPr>
        <w:t>团市委</w:t>
      </w:r>
      <w:r>
        <w:rPr>
          <w:rFonts w:ascii="Times New Roman" w:hAnsi="Times New Roman" w:eastAsia="方正仿宋_GBK" w:cs="Times New Roman"/>
          <w:sz w:val="32"/>
          <w:szCs w:val="32"/>
          <w:lang w:val="en-US" w:eastAsia="zh-CN" w:bidi="ar-SA"/>
        </w:rPr>
        <w:t>应根据地方实际情况进行调整和优化，确保文件内容准确且具有可操作性，避免出现不适应本地实际情况的内容。此外，团市委应完善项目的监管机制，确保各个环节都有明确的职责分工和监管措施。通过建立定期的项目进展评估和反馈机制，及时发现和解决问题，确保项目能够按计划推进，提升项目实施的整体质量和效率。</w:t>
      </w:r>
      <w:r>
        <w:rPr>
          <w:rFonts w:ascii="Times New Roman" w:hAnsi="Times New Roman" w:eastAsia="方正仿宋_GBK" w:cs="Times New Roman"/>
          <w:b/>
          <w:bCs/>
          <w:sz w:val="32"/>
          <w:szCs w:val="32"/>
          <w:lang w:val="en-US" w:eastAsia="zh-CN" w:bidi="ar-SA"/>
        </w:rPr>
        <w:t>第三，</w:t>
      </w:r>
      <w:r>
        <w:rPr>
          <w:rFonts w:ascii="Times New Roman" w:hAnsi="Times New Roman" w:eastAsia="方正仿宋_GBK" w:cs="Times New Roman"/>
          <w:b/>
          <w:bCs/>
          <w:kern w:val="2"/>
          <w:sz w:val="32"/>
          <w:szCs w:val="32"/>
          <w:lang w:val="en-US" w:eastAsia="zh-CN" w:bidi="ar-SA"/>
        </w:rPr>
        <w:t>构建核心指标体系，科学设置指标值。</w:t>
      </w:r>
      <w:r>
        <w:rPr>
          <w:rFonts w:ascii="Times New Roman" w:hAnsi="Times New Roman" w:eastAsia="方正仿宋_GBK" w:cs="Times New Roman"/>
          <w:sz w:val="32"/>
          <w:szCs w:val="32"/>
          <w:lang w:val="en-US" w:eastAsia="zh-CN" w:bidi="ar-SA"/>
        </w:rPr>
        <w:t>建议团市委</w:t>
      </w:r>
      <w:r>
        <w:rPr>
          <w:rFonts w:ascii="Times New Roman" w:hAnsi="Times New Roman" w:eastAsia="方正仿宋_GBK" w:cs="Times New Roman"/>
          <w:b/>
          <w:bCs/>
          <w:sz w:val="32"/>
          <w:szCs w:val="32"/>
          <w:lang w:val="en-US" w:eastAsia="zh-CN" w:bidi="ar-SA"/>
        </w:rPr>
        <w:t>一是</w:t>
      </w:r>
      <w:r>
        <w:rPr>
          <w:rFonts w:ascii="Times New Roman" w:hAnsi="Times New Roman" w:eastAsia="方正仿宋_GBK" w:cs="Times New Roman"/>
          <w:sz w:val="32"/>
          <w:szCs w:val="32"/>
          <w:lang w:val="en-US" w:eastAsia="zh-CN" w:bidi="ar-SA"/>
        </w:rPr>
        <w:t>高度重视、积极参与已于2024年启动的部门核心指标体系建设工作，基于财政部门搭建的指标体系框架，与财政部门协同推进，认真梳理部门职能、明确部门中长期规划和年度工作计划，概括、提炼出最能反映部门履职情况及工作任务完成情况的核心绩效指标。</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color w:val="000000"/>
          <w:kern w:val="0"/>
          <w:sz w:val="32"/>
          <w:szCs w:val="32"/>
          <w:lang w:val="en-US" w:eastAsia="zh-CN" w:bidi="ar-SA"/>
        </w:rPr>
        <w:t>进一步量化和具体化设置指标，</w:t>
      </w:r>
      <w:r>
        <w:rPr>
          <w:rFonts w:ascii="Times New Roman" w:hAnsi="Times New Roman" w:eastAsia="方正仿宋_GBK" w:cs="Times New Roman"/>
          <w:sz w:val="32"/>
          <w:szCs w:val="32"/>
          <w:lang w:val="en-US" w:eastAsia="zh-CN" w:bidi="ar-SA"/>
        </w:rPr>
        <w:t>注重指标值的科学性，针对部分较难量化的指标，建议通过细化评估标准，提升指标的可衡量性，从而为绩效监控与绩效评价提供充分依据。</w:t>
      </w:r>
      <w:r>
        <w:rPr>
          <w:rFonts w:ascii="Times New Roman" w:hAnsi="Times New Roman" w:eastAsia="方正仿宋_GBK" w:cs="Times New Roman"/>
          <w:b/>
          <w:bCs/>
          <w:sz w:val="32"/>
          <w:szCs w:val="32"/>
          <w:lang w:val="en-US" w:eastAsia="zh-CN" w:bidi="ar-SA"/>
        </w:rPr>
        <w:t>第四，</w:t>
      </w:r>
      <w:r>
        <w:rPr>
          <w:rFonts w:ascii="Times New Roman" w:hAnsi="Times New Roman" w:eastAsia="方正仿宋_GBK" w:cs="Times New Roman"/>
          <w:b/>
          <w:bCs/>
          <w:kern w:val="2"/>
          <w:sz w:val="32"/>
          <w:szCs w:val="32"/>
          <w:lang w:val="en-US" w:eastAsia="zh-CN" w:bidi="ar-SA"/>
        </w:rPr>
        <w:t>建立完善绩效管理制度，加强全过程绩效管理。</w:t>
      </w:r>
      <w:r>
        <w:rPr>
          <w:rFonts w:ascii="Times New Roman" w:hAnsi="Times New Roman" w:eastAsia="方正仿宋_GBK" w:cs="Times New Roman"/>
          <w:sz w:val="32"/>
          <w:szCs w:val="32"/>
          <w:lang w:val="en-US" w:eastAsia="zh-CN" w:bidi="ar-SA"/>
        </w:rPr>
        <w:t>建议团市委加快建立完整的绩效管理制度，健全预算绩效管理制度体系。逐步建立涵盖事前绩效评估、事中绩效运行监控、事后绩效评价、成果应用等各环节的全过程预算绩效管理闭环。明确绩效管理职责分工要求。</w:t>
      </w:r>
    </w:p>
    <w:p>
      <w:pPr>
        <w:keepNext w:val="0"/>
        <w:keepLines w:val="0"/>
        <w:pageBreakBefore w:val="0"/>
        <w:widowControl w:val="0"/>
        <w:kinsoku/>
        <w:wordWrap/>
        <w:overflowPunct/>
        <w:topLinePunct w:val="0"/>
        <w:autoSpaceDE w:val="0"/>
        <w:autoSpaceDN w:val="0"/>
        <w:bidi w:val="0"/>
        <w:adjustRightInd w:val="0"/>
        <w:spacing w:before="0" w:beforeLines="0" w:after="0" w:afterLines="0" w:line="600" w:lineRule="exact"/>
        <w:ind w:firstLine="640" w:firstLineChars="200"/>
        <w:jc w:val="both"/>
        <w:textAlignment w:val="auto"/>
        <w:outlineLvl w:val="0"/>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二、</w:t>
      </w:r>
      <w:bookmarkEnd w:id="3"/>
      <w:bookmarkEnd w:id="4"/>
      <w:bookmarkEnd w:id="5"/>
      <w:r>
        <w:rPr>
          <w:rFonts w:ascii="Times New Roman" w:hAnsi="Times New Roman" w:eastAsia="方正黑体_GBK" w:cs="Times New Roman"/>
          <w:bCs/>
          <w:color w:val="auto"/>
          <w:kern w:val="2"/>
          <w:sz w:val="32"/>
          <w:szCs w:val="32"/>
          <w:lang w:val="en-US" w:eastAsia="zh-CN" w:bidi="ar-SA"/>
        </w:rPr>
        <w:t>惠州市住房公积金管理中心2023年度部门整体支出</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lang w:bidi="ar-SA"/>
        </w:rPr>
      </w:pPr>
      <w:bookmarkStart w:id="6" w:name="_Toc13592"/>
      <w:bookmarkStart w:id="7" w:name="_Toc20548"/>
      <w:bookmarkStart w:id="8" w:name="_Toc6905"/>
      <w:r>
        <w:rPr>
          <w:rFonts w:ascii="Times New Roman" w:hAnsi="Times New Roman" w:eastAsia="方正仿宋_GBK" w:cs="Times New Roman"/>
          <w:sz w:val="32"/>
          <w:lang w:bidi="ar-SA"/>
        </w:rPr>
        <w:t>为加强财政</w:t>
      </w:r>
      <w:r>
        <w:rPr>
          <w:rFonts w:ascii="Times New Roman" w:hAnsi="Times New Roman" w:eastAsia="方正仿宋_GBK" w:cs="Times New Roman"/>
          <w:sz w:val="32"/>
          <w:lang w:val="en-US" w:eastAsia="zh-CN" w:bidi="ar-SA"/>
        </w:rPr>
        <w:t>支出</w:t>
      </w:r>
      <w:r>
        <w:rPr>
          <w:rFonts w:ascii="Times New Roman" w:hAnsi="Times New Roman" w:eastAsia="方正仿宋_GBK" w:cs="Times New Roman"/>
          <w:sz w:val="32"/>
          <w:lang w:bidi="ar-SA"/>
        </w:rPr>
        <w:t>管理，提高财政资金的使用效益，</w:t>
      </w:r>
      <w:r>
        <w:rPr>
          <w:rFonts w:ascii="Times New Roman" w:hAnsi="Times New Roman" w:eastAsia="方正仿宋_GBK" w:cs="Times New Roman"/>
          <w:sz w:val="32"/>
          <w:lang w:val="en-US" w:eastAsia="zh-CN" w:bidi="ar-SA"/>
        </w:rPr>
        <w:t>惠州市</w:t>
      </w:r>
      <w:r>
        <w:rPr>
          <w:rFonts w:ascii="Times New Roman" w:hAnsi="Times New Roman" w:eastAsia="方正仿宋_GBK" w:cs="Times New Roman"/>
          <w:sz w:val="32"/>
          <w:lang w:bidi="ar-SA"/>
        </w:rPr>
        <w:t>财政局</w:t>
      </w:r>
      <w:r>
        <w:rPr>
          <w:rFonts w:ascii="Times New Roman" w:hAnsi="Times New Roman" w:eastAsia="方正仿宋_GBK" w:cs="Times New Roman"/>
          <w:sz w:val="32"/>
          <w:lang w:eastAsia="zh-CN" w:bidi="ar-SA"/>
        </w:rPr>
        <w:t>（</w:t>
      </w:r>
      <w:r>
        <w:rPr>
          <w:rFonts w:ascii="Times New Roman" w:hAnsi="Times New Roman" w:eastAsia="方正仿宋_GBK" w:cs="Times New Roman"/>
          <w:sz w:val="32"/>
          <w:lang w:val="en-US" w:eastAsia="zh-CN" w:bidi="ar-SA"/>
        </w:rPr>
        <w:t>以下简称“市财政局”）</w:t>
      </w:r>
      <w:r>
        <w:rPr>
          <w:rFonts w:ascii="Times New Roman" w:hAnsi="Times New Roman" w:eastAsia="方正仿宋_GBK" w:cs="Times New Roman"/>
          <w:sz w:val="32"/>
          <w:lang w:bidi="ar-SA"/>
        </w:rPr>
        <w:t>委托</w:t>
      </w:r>
      <w:r>
        <w:rPr>
          <w:rFonts w:ascii="Times New Roman" w:hAnsi="Times New Roman" w:eastAsia="方正仿宋_GBK" w:cs="Times New Roman"/>
          <w:sz w:val="32"/>
          <w:szCs w:val="32"/>
          <w:lang w:bidi="ar-SA"/>
        </w:rPr>
        <w:t>上海元方智库公共管理咨询有限公司</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val="en-US" w:eastAsia="zh-CN" w:bidi="ar-SA"/>
        </w:rPr>
        <w:t>以下简称“上海元方”）</w:t>
      </w:r>
      <w:r>
        <w:rPr>
          <w:rFonts w:ascii="Times New Roman" w:hAnsi="Times New Roman" w:eastAsia="方正仿宋_GBK" w:cs="Times New Roman"/>
          <w:sz w:val="32"/>
          <w:lang w:bidi="ar-SA"/>
        </w:rPr>
        <w:t>对</w:t>
      </w:r>
      <w:r>
        <w:rPr>
          <w:rFonts w:ascii="Times New Roman" w:hAnsi="Times New Roman" w:eastAsia="方正仿宋_GBK" w:cs="Times New Roman"/>
          <w:sz w:val="32"/>
          <w:lang w:val="en-US" w:eastAsia="zh-CN" w:bidi="ar-SA"/>
        </w:rPr>
        <w:t>惠州市住房公积金管理中心</w:t>
      </w:r>
      <w:r>
        <w:rPr>
          <w:rFonts w:ascii="Times New Roman" w:hAnsi="Times New Roman" w:eastAsia="方正仿宋_GBK" w:cs="Times New Roman"/>
          <w:sz w:val="32"/>
          <w:lang w:bidi="ar-SA"/>
        </w:rPr>
        <w:t>（以下简称</w:t>
      </w:r>
      <w:r>
        <w:rPr>
          <w:rFonts w:ascii="Times New Roman" w:hAnsi="Times New Roman" w:eastAsia="方正仿宋_GBK" w:cs="Times New Roman"/>
          <w:sz w:val="32"/>
          <w:lang w:eastAsia="zh-CN" w:bidi="ar-SA"/>
        </w:rPr>
        <w:t>“</w:t>
      </w:r>
      <w:r>
        <w:rPr>
          <w:rFonts w:ascii="Times New Roman" w:hAnsi="Times New Roman" w:eastAsia="方正仿宋_GBK" w:cs="Times New Roman"/>
          <w:sz w:val="32"/>
          <w:lang w:val="en-US" w:eastAsia="zh-CN" w:bidi="ar-SA"/>
        </w:rPr>
        <w:t>市住房公积金管理</w:t>
      </w:r>
      <w:r>
        <w:rPr>
          <w:rFonts w:ascii="Times New Roman" w:hAnsi="Times New Roman" w:eastAsia="方正仿宋_GBK" w:cs="Times New Roman"/>
          <w:sz w:val="32"/>
          <w:lang w:bidi="ar-SA"/>
        </w:rPr>
        <w:t>中心</w:t>
      </w:r>
      <w:r>
        <w:rPr>
          <w:rFonts w:ascii="Times New Roman" w:hAnsi="Times New Roman" w:eastAsia="方正仿宋_GBK" w:cs="Times New Roman"/>
          <w:sz w:val="32"/>
          <w:lang w:eastAsia="zh-CN" w:bidi="ar-SA"/>
        </w:rPr>
        <w:t>”</w:t>
      </w:r>
      <w:r>
        <w:rPr>
          <w:rFonts w:ascii="Times New Roman" w:hAnsi="Times New Roman" w:eastAsia="方正仿宋_GBK" w:cs="Times New Roman"/>
          <w:sz w:val="32"/>
          <w:lang w:bidi="ar-SA"/>
        </w:rPr>
        <w:t>）202</w:t>
      </w:r>
      <w:r>
        <w:rPr>
          <w:rFonts w:ascii="Times New Roman" w:hAnsi="Times New Roman" w:eastAsia="方正仿宋_GBK" w:cs="Times New Roman"/>
          <w:sz w:val="32"/>
          <w:lang w:val="en-US" w:eastAsia="zh-CN" w:bidi="ar-SA"/>
        </w:rPr>
        <w:t>3</w:t>
      </w:r>
      <w:r>
        <w:rPr>
          <w:rFonts w:ascii="Times New Roman" w:hAnsi="Times New Roman" w:eastAsia="方正仿宋_GBK" w:cs="Times New Roman"/>
          <w:sz w:val="32"/>
          <w:lang w:bidi="ar-SA"/>
        </w:rPr>
        <w:t>年度部门整体支出</w:t>
      </w:r>
      <w:r>
        <w:rPr>
          <w:rFonts w:ascii="Times New Roman" w:hAnsi="Times New Roman" w:eastAsia="方正仿宋_GBK" w:cs="Times New Roman"/>
          <w:sz w:val="32"/>
          <w:lang w:val="en-US" w:eastAsia="zh-CN" w:bidi="ar-SA"/>
        </w:rPr>
        <w:t>情况实施</w:t>
      </w:r>
      <w:r>
        <w:rPr>
          <w:rFonts w:ascii="Times New Roman" w:hAnsi="Times New Roman" w:eastAsia="方正仿宋_GBK" w:cs="Times New Roman"/>
          <w:sz w:val="32"/>
          <w:lang w:bidi="ar-SA"/>
        </w:rPr>
        <w:t>绩效评价。</w:t>
      </w:r>
      <w:r>
        <w:rPr>
          <w:rFonts w:ascii="Times New Roman" w:hAnsi="Times New Roman" w:eastAsia="方正仿宋_GBK" w:cs="Times New Roman"/>
          <w:sz w:val="32"/>
          <w:lang w:val="en-US" w:eastAsia="zh-CN" w:bidi="ar-SA"/>
        </w:rPr>
        <w:t>2023年市住房公积金管理</w:t>
      </w:r>
      <w:r>
        <w:rPr>
          <w:rFonts w:ascii="Times New Roman" w:hAnsi="Times New Roman" w:eastAsia="方正仿宋_GBK" w:cs="Times New Roman"/>
          <w:sz w:val="32"/>
          <w:lang w:bidi="ar-SA"/>
        </w:rPr>
        <w:t>中心</w:t>
      </w:r>
      <w:r>
        <w:rPr>
          <w:rFonts w:ascii="Times New Roman" w:hAnsi="Times New Roman" w:eastAsia="方正仿宋_GBK" w:cs="Times New Roman"/>
          <w:sz w:val="32"/>
          <w:lang w:val="en-US" w:eastAsia="zh-CN" w:bidi="ar-SA"/>
        </w:rPr>
        <w:t>财政拨款收入为3,210.84万元；财政拨款支出为3,060.71万元，支出</w:t>
      </w:r>
      <w:r>
        <w:rPr>
          <w:rFonts w:ascii="Times New Roman" w:hAnsi="Times New Roman" w:eastAsia="方正仿宋_GBK" w:cs="Times New Roman"/>
          <w:sz w:val="32"/>
          <w:lang w:bidi="ar-SA"/>
        </w:rPr>
        <w:t>率为9</w:t>
      </w:r>
      <w:r>
        <w:rPr>
          <w:rFonts w:ascii="Times New Roman" w:hAnsi="Times New Roman" w:eastAsia="方正仿宋_GBK" w:cs="Times New Roman"/>
          <w:sz w:val="32"/>
          <w:lang w:val="en-US" w:eastAsia="zh-CN" w:bidi="ar-SA"/>
        </w:rPr>
        <w:t>5</w:t>
      </w:r>
      <w:r>
        <w:rPr>
          <w:rFonts w:ascii="Times New Roman" w:hAnsi="Times New Roman" w:eastAsia="方正仿宋_GBK" w:cs="Times New Roman"/>
          <w:sz w:val="32"/>
          <w:lang w:bidi="ar-SA"/>
        </w:rPr>
        <w:t>.</w:t>
      </w:r>
      <w:r>
        <w:rPr>
          <w:rFonts w:ascii="Times New Roman" w:hAnsi="Times New Roman" w:eastAsia="方正仿宋_GBK" w:cs="Times New Roman"/>
          <w:sz w:val="32"/>
          <w:lang w:val="en-US" w:eastAsia="zh-CN" w:bidi="ar-SA"/>
        </w:rPr>
        <w:t>3</w:t>
      </w:r>
      <w:r>
        <w:rPr>
          <w:rFonts w:ascii="Times New Roman" w:hAnsi="Times New Roman" w:eastAsia="方正仿宋_GBK" w:cs="Times New Roman"/>
          <w:sz w:val="32"/>
          <w:lang w:bidi="ar-SA"/>
        </w:rPr>
        <w:t>2%。</w:t>
      </w:r>
    </w:p>
    <w:p>
      <w:pPr>
        <w:keepNext w:val="0"/>
        <w:keepLines w:val="0"/>
        <w:pageBreakBefore w:val="0"/>
        <w:widowControl w:val="0"/>
        <w:kinsoku/>
        <w:wordWrap/>
        <w:overflowPunct/>
        <w:topLinePunct w:val="0"/>
        <w:bidi w:val="0"/>
        <w:spacing w:before="0" w:beforeLines="0" w:after="0" w:afterLines="0" w:line="600" w:lineRule="exact"/>
        <w:ind w:firstLine="640" w:firstLineChars="200"/>
        <w:jc w:val="both"/>
        <w:textAlignment w:val="auto"/>
        <w:rPr>
          <w:rFonts w:ascii="Times New Roman" w:hAnsi="Times New Roman" w:eastAsia="方正仿宋_GBK" w:cs="Times New Roman"/>
          <w:kern w:val="2"/>
          <w:sz w:val="32"/>
          <w:szCs w:val="24"/>
          <w:lang w:val="en-US" w:eastAsia="zh-CN" w:bidi="ar-SA"/>
        </w:rPr>
      </w:pPr>
      <w:r>
        <w:rPr>
          <w:rFonts w:ascii="Times New Roman" w:hAnsi="Times New Roman" w:eastAsia="方正仿宋_GBK" w:cs="Times New Roman"/>
          <w:kern w:val="2"/>
          <w:sz w:val="32"/>
          <w:szCs w:val="24"/>
          <w:lang w:val="en-US" w:eastAsia="zh-CN" w:bidi="ar-SA"/>
        </w:rPr>
        <w:t>经过资料收集报送、书面评审、现场评价等流程，市住房公积金管理中心2023年度部门整体支出绩效评价得分为</w:t>
      </w:r>
      <w:r>
        <w:rPr>
          <w:rFonts w:ascii="Times New Roman" w:hAnsi="Times New Roman" w:eastAsia="方正仿宋_GBK" w:cs="Times New Roman"/>
          <w:b/>
          <w:bCs/>
          <w:color w:val="000000"/>
          <w:kern w:val="2"/>
          <w:sz w:val="32"/>
          <w:szCs w:val="24"/>
          <w:highlight w:val="none"/>
          <w:lang w:val="en-US" w:eastAsia="zh-CN" w:bidi="ar-SA"/>
        </w:rPr>
        <w:t>82.09</w:t>
      </w:r>
      <w:r>
        <w:rPr>
          <w:rFonts w:ascii="Times New Roman" w:hAnsi="Times New Roman" w:eastAsia="方正仿宋_GBK" w:cs="Times New Roman"/>
          <w:b/>
          <w:bCs/>
          <w:kern w:val="2"/>
          <w:sz w:val="32"/>
          <w:szCs w:val="24"/>
          <w:lang w:val="en-US" w:eastAsia="zh-CN" w:bidi="ar-SA"/>
        </w:rPr>
        <w:t>分</w:t>
      </w:r>
      <w:r>
        <w:rPr>
          <w:rFonts w:ascii="Times New Roman" w:hAnsi="Times New Roman" w:eastAsia="方正仿宋_GBK" w:cs="Times New Roman"/>
          <w:kern w:val="2"/>
          <w:sz w:val="32"/>
          <w:szCs w:val="24"/>
          <w:lang w:val="en-US" w:eastAsia="zh-CN" w:bidi="ar-SA"/>
        </w:rPr>
        <w:t>，评定等级为</w:t>
      </w:r>
      <w:r>
        <w:rPr>
          <w:rFonts w:ascii="Times New Roman" w:hAnsi="Times New Roman" w:eastAsia="方正仿宋_GBK" w:cs="Times New Roman"/>
          <w:b/>
          <w:bCs/>
          <w:kern w:val="2"/>
          <w:sz w:val="32"/>
          <w:szCs w:val="24"/>
          <w:lang w:val="en-US" w:eastAsia="zh-CN" w:bidi="ar-SA"/>
        </w:rPr>
        <w:t>“</w:t>
      </w:r>
      <w:r>
        <w:rPr>
          <w:rFonts w:ascii="Times New Roman" w:hAnsi="Times New Roman" w:eastAsia="方正仿宋_GBK" w:cs="Times New Roman"/>
          <w:b/>
          <w:bCs/>
          <w:color w:val="000000"/>
          <w:kern w:val="2"/>
          <w:sz w:val="32"/>
          <w:szCs w:val="24"/>
          <w:highlight w:val="none"/>
          <w:lang w:val="en-US" w:eastAsia="zh-CN" w:bidi="ar-SA"/>
        </w:rPr>
        <w:t>良</w:t>
      </w:r>
      <w:r>
        <w:rPr>
          <w:rFonts w:ascii="Times New Roman" w:hAnsi="Times New Roman" w:eastAsia="方正仿宋_GBK" w:cs="Times New Roman"/>
          <w:b/>
          <w:bCs/>
          <w:color w:val="000000"/>
          <w:kern w:val="2"/>
          <w:sz w:val="32"/>
          <w:szCs w:val="24"/>
          <w:lang w:val="en-US" w:eastAsia="zh-CN" w:bidi="ar-SA"/>
        </w:rPr>
        <w:t>”</w:t>
      </w:r>
      <w:r>
        <w:rPr>
          <w:rFonts w:ascii="Times New Roman" w:hAnsi="Times New Roman" w:eastAsia="方正仿宋_GBK" w:cs="Times New Roman"/>
          <w:kern w:val="2"/>
          <w:sz w:val="32"/>
          <w:szCs w:val="24"/>
          <w:lang w:val="en-US" w:eastAsia="zh-CN" w:bidi="ar-SA"/>
        </w:rPr>
        <w:t>。</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lang w:bidi="ar-SA"/>
        </w:rPr>
      </w:pPr>
      <w:bookmarkStart w:id="9" w:name="_Hlk146289377"/>
      <w:bookmarkStart w:id="10" w:name="_Hlk148684145"/>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sz w:val="32"/>
          <w:lang w:val="en-US" w:eastAsia="zh-CN" w:bidi="ar-SA"/>
        </w:rPr>
        <w:t>第一，</w:t>
      </w:r>
      <w:r>
        <w:rPr>
          <w:rFonts w:ascii="Times New Roman" w:hAnsi="Times New Roman" w:eastAsia="方正仿宋_GBK" w:cs="Times New Roman"/>
          <w:sz w:val="32"/>
          <w:lang w:val="en-US" w:eastAsia="zh-CN" w:bidi="ar-SA"/>
        </w:rPr>
        <w:t>精准施策扩大覆面，公积金归集显成效。</w:t>
      </w:r>
      <w:r>
        <w:rPr>
          <w:rFonts w:ascii="Times New Roman" w:hAnsi="Times New Roman" w:eastAsia="方正仿宋_GBK" w:cs="Times New Roman"/>
          <w:b/>
          <w:bCs/>
          <w:sz w:val="32"/>
          <w:lang w:val="en-US" w:eastAsia="zh-CN" w:bidi="ar-SA"/>
        </w:rPr>
        <w:t>第二，</w:t>
      </w:r>
      <w:r>
        <w:rPr>
          <w:rFonts w:ascii="Times New Roman" w:hAnsi="Times New Roman" w:eastAsia="方正仿宋_GBK" w:cs="Times New Roman"/>
          <w:sz w:val="32"/>
          <w:lang w:val="en-US" w:eastAsia="zh-CN" w:bidi="ar-SA"/>
        </w:rPr>
        <w:t>新政惠民服务升级，公积金政策暖民心。</w:t>
      </w:r>
      <w:r>
        <w:rPr>
          <w:rFonts w:ascii="Times New Roman" w:hAnsi="Times New Roman" w:eastAsia="方正仿宋_GBK" w:cs="Times New Roman"/>
          <w:b/>
          <w:bCs/>
          <w:sz w:val="32"/>
          <w:lang w:val="en-US" w:eastAsia="zh-CN" w:bidi="ar-SA"/>
        </w:rPr>
        <w:t>第三，</w:t>
      </w:r>
      <w:r>
        <w:rPr>
          <w:rFonts w:ascii="Times New Roman" w:hAnsi="Times New Roman" w:eastAsia="方正仿宋_GBK" w:cs="Times New Roman"/>
          <w:sz w:val="32"/>
          <w:lang w:val="en-US" w:eastAsia="zh-CN" w:bidi="ar-SA"/>
        </w:rPr>
        <w:t>数字赋能业务服务，公积金管理更高效。</w:t>
      </w:r>
    </w:p>
    <w:bookmarkEnd w:id="9"/>
    <w:bookmarkEnd w:id="10"/>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sz w:val="32"/>
          <w:lang w:val="en-US" w:eastAsia="zh-CN" w:bidi="ar-SA"/>
        </w:rPr>
        <w:t>第一，预算编制较为粗放，</w:t>
      </w:r>
      <w:r>
        <w:rPr>
          <w:rFonts w:ascii="Times New Roman" w:hAnsi="Times New Roman" w:eastAsia="方正仿宋_GBK" w:cs="Times New Roman"/>
          <w:b/>
          <w:bCs/>
          <w:sz w:val="32"/>
          <w:lang w:bidi="ar-SA"/>
        </w:rPr>
        <w:t>测算</w:t>
      </w:r>
      <w:r>
        <w:rPr>
          <w:rFonts w:ascii="Times New Roman" w:hAnsi="Times New Roman" w:eastAsia="方正仿宋_GBK" w:cs="Times New Roman"/>
          <w:b/>
          <w:bCs/>
          <w:sz w:val="32"/>
          <w:lang w:val="en-US" w:eastAsia="zh-CN" w:bidi="ar-SA"/>
        </w:rPr>
        <w:t>依据不够充分</w:t>
      </w:r>
      <w:r>
        <w:rPr>
          <w:rFonts w:ascii="Times New Roman" w:hAnsi="Times New Roman" w:eastAsia="方正仿宋_GBK" w:cs="Times New Roman"/>
          <w:b/>
          <w:bCs/>
          <w:sz w:val="32"/>
          <w:lang w:bidi="ar-SA"/>
        </w:rPr>
        <w:t>。</w:t>
      </w:r>
      <w:r>
        <w:rPr>
          <w:rFonts w:ascii="Times New Roman" w:hAnsi="Times New Roman" w:eastAsia="方正仿宋_GBK" w:cs="Times New Roman"/>
          <w:sz w:val="32"/>
          <w:lang w:bidi="ar-SA"/>
        </w:rPr>
        <w:t>住房公积金缴存情况检查费的测算依据未根据计划工作量、拟投入时间或人数等要素细化两类工作人员各项费用的预算。业务培训费、住房公积金宣传费、公积金诉讼费和聘用顾问经费（法律顾问）等4个项目过于依赖历史情况而未根据当年度实际需要进行预算编制</w:t>
      </w:r>
      <w:r>
        <w:rPr>
          <w:rFonts w:ascii="Times New Roman" w:hAnsi="Times New Roman" w:eastAsia="方正仿宋_GBK" w:cs="Times New Roman"/>
          <w:sz w:val="32"/>
          <w:lang w:eastAsia="zh-CN" w:bidi="ar-SA"/>
        </w:rPr>
        <w:t>。</w:t>
      </w:r>
      <w:r>
        <w:rPr>
          <w:rFonts w:ascii="Times New Roman" w:hAnsi="Times New Roman" w:eastAsia="方正仿宋_GBK" w:cs="Times New Roman"/>
          <w:b/>
          <w:bCs/>
          <w:sz w:val="32"/>
          <w:lang w:val="en-US" w:eastAsia="zh-CN" w:bidi="ar-SA"/>
        </w:rPr>
        <w:t>第二，支出内容交叉重叠，项目边界不够清晰。</w:t>
      </w:r>
      <w:r>
        <w:rPr>
          <w:rFonts w:ascii="Times New Roman" w:hAnsi="Times New Roman" w:eastAsia="方正仿宋_GBK" w:cs="Times New Roman"/>
          <w:sz w:val="32"/>
          <w:lang w:bidi="ar-SA"/>
        </w:rPr>
        <w:t>住房公积金缴存情况检查费和公积金诉讼费均涉及通过电话、信函、上门走访、上门宣讲等方式提供法律服务方面的项目内容，项目</w:t>
      </w:r>
      <w:r>
        <w:rPr>
          <w:rFonts w:ascii="Times New Roman" w:hAnsi="Times New Roman" w:eastAsia="方正仿宋_GBK" w:cs="Times New Roman"/>
          <w:sz w:val="32"/>
          <w:lang w:val="en-US" w:eastAsia="zh-CN" w:bidi="ar-SA"/>
        </w:rPr>
        <w:t>服务方式和支出内容</w:t>
      </w:r>
      <w:r>
        <w:rPr>
          <w:rFonts w:ascii="Times New Roman" w:hAnsi="Times New Roman" w:eastAsia="方正仿宋_GBK" w:cs="Times New Roman"/>
          <w:sz w:val="32"/>
          <w:lang w:bidi="ar-SA"/>
        </w:rPr>
        <w:t>存在交叉重叠</w:t>
      </w:r>
      <w:r>
        <w:rPr>
          <w:rFonts w:ascii="Times New Roman" w:hAnsi="Times New Roman" w:eastAsia="方正仿宋_GBK" w:cs="Times New Roman"/>
          <w:sz w:val="32"/>
          <w:lang w:eastAsia="zh-CN" w:bidi="ar-SA"/>
        </w:rPr>
        <w:t>，</w:t>
      </w:r>
      <w:r>
        <w:rPr>
          <w:rFonts w:ascii="Times New Roman" w:hAnsi="Times New Roman" w:eastAsia="方正仿宋_GBK" w:cs="Times New Roman"/>
          <w:sz w:val="32"/>
          <w:lang w:val="en-US" w:eastAsia="zh-CN" w:bidi="ar-SA"/>
        </w:rPr>
        <w:t>资金支出范围和边界不够清晰</w:t>
      </w:r>
      <w:r>
        <w:rPr>
          <w:rFonts w:ascii="Times New Roman" w:hAnsi="Times New Roman" w:eastAsia="方正仿宋_GBK" w:cs="Times New Roman"/>
          <w:sz w:val="32"/>
          <w:lang w:eastAsia="zh-CN" w:bidi="ar-SA"/>
        </w:rPr>
        <w:t>。</w:t>
      </w:r>
      <w:r>
        <w:rPr>
          <w:rFonts w:ascii="Times New Roman" w:hAnsi="Times New Roman" w:eastAsia="方正仿宋_GBK" w:cs="Times New Roman"/>
          <w:b/>
          <w:bCs/>
          <w:sz w:val="32"/>
          <w:lang w:val="en-US" w:eastAsia="zh-CN" w:bidi="ar-SA"/>
        </w:rPr>
        <w:t>第三，验收审核不够严格，项目监管力度不足。</w:t>
      </w:r>
      <w:r>
        <w:rPr>
          <w:rFonts w:ascii="Times New Roman" w:hAnsi="Times New Roman" w:eastAsia="方正仿宋_GBK" w:cs="Times New Roman"/>
          <w:sz w:val="32"/>
          <w:lang w:bidi="ar-SA"/>
        </w:rPr>
        <w:t>委托服务机构出具的项目中期服务报告未明确协助开展行政追缴案件的具体进展情况，项目总结报告未明确协助处理投诉和行政执法案件的具体进展情况</w:t>
      </w:r>
      <w:r>
        <w:rPr>
          <w:rFonts w:ascii="Times New Roman" w:hAnsi="Times New Roman" w:eastAsia="方正仿宋_GBK" w:cs="Times New Roman"/>
          <w:sz w:val="32"/>
          <w:lang w:eastAsia="zh-CN" w:bidi="ar-SA"/>
        </w:rPr>
        <w:t>。</w:t>
      </w:r>
      <w:r>
        <w:rPr>
          <w:rFonts w:ascii="Times New Roman" w:hAnsi="Times New Roman" w:eastAsia="方正仿宋_GBK" w:cs="Times New Roman"/>
          <w:b/>
          <w:bCs/>
          <w:sz w:val="32"/>
          <w:lang w:val="en-US" w:eastAsia="zh-CN" w:bidi="ar-SA"/>
        </w:rPr>
        <w:t>第四，考核制度有待完善，执行落实存在疏漏。</w:t>
      </w:r>
      <w:r>
        <w:rPr>
          <w:rFonts w:ascii="Times New Roman" w:hAnsi="Times New Roman" w:eastAsia="方正仿宋_GBK" w:cs="Times New Roman"/>
          <w:sz w:val="32"/>
          <w:szCs w:val="32"/>
          <w:lang w:val="en-US" w:eastAsia="zh-CN" w:bidi="ar-SA"/>
        </w:rPr>
        <w:t>受托银行业务考核办法未针对不同考核银行类型区分归集银行和贷款业务银行的考核方式，监管考核制度执行过程中极易产生漏洞和冲突；且市住房公积金管理中心未按照考核制度相关规定成立考核领导小组，不利于各项考核工作的协调与监督。</w:t>
      </w:r>
      <w:r>
        <w:rPr>
          <w:rFonts w:ascii="Times New Roman" w:hAnsi="Times New Roman" w:eastAsia="方正仿宋_GBK" w:cs="Times New Roman"/>
          <w:b/>
          <w:bCs/>
          <w:sz w:val="32"/>
          <w:szCs w:val="32"/>
          <w:lang w:val="en-US" w:eastAsia="zh-CN" w:bidi="ar-SA"/>
        </w:rPr>
        <w:t>第五，数据质量有待提高，实现目标压力较大。</w:t>
      </w:r>
      <w:r>
        <w:rPr>
          <w:rFonts w:ascii="Times New Roman" w:hAnsi="Times New Roman" w:eastAsia="方正仿宋_GBK" w:cs="Times New Roman"/>
          <w:sz w:val="32"/>
          <w:szCs w:val="32"/>
          <w:lang w:bidi="ar-SA"/>
        </w:rPr>
        <w:t>市住房公积金管理中心电子稽查报告合格率较低，数据比对偏差率较高，数据质量合格率距离其任务目标仍有较大差距</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b/>
          <w:bCs/>
          <w:sz w:val="32"/>
          <w:szCs w:val="32"/>
          <w:lang w:val="en-US" w:eastAsia="zh-CN" w:bidi="ar-SA"/>
        </w:rPr>
        <w:t>第六，长效机制尚未明确，风险隐患整改不力。</w:t>
      </w:r>
      <w:r>
        <w:rPr>
          <w:rFonts w:ascii="Times New Roman" w:hAnsi="Times New Roman" w:eastAsia="方正仿宋_GBK" w:cs="Times New Roman"/>
          <w:sz w:val="32"/>
          <w:szCs w:val="32"/>
          <w:lang w:val="en-US" w:eastAsia="zh-CN" w:bidi="ar-SA"/>
        </w:rPr>
        <w:t>惠州市住房公积金电子稽查重要疑点率由2023年第一季度13.76%下降至第二季度13.27%，第三、四季度再上升至15.03%。市住房公积金管理中心尚未建立住房公积金电子稽查风险隐患整改长效机制，风险防范与隐患整改工作成效有待提高</w:t>
      </w:r>
      <w:r>
        <w:rPr>
          <w:rFonts w:ascii="Times New Roman" w:hAnsi="Times New Roman" w:eastAsia="方正仿宋_GBK" w:cs="Times New Roman"/>
          <w:sz w:val="32"/>
          <w:lang w:bidi="ar-SA"/>
        </w:rPr>
        <w:t>。</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32"/>
          <w:lang w:bidi="ar-SA"/>
        </w:rPr>
      </w:pPr>
      <w:bookmarkStart w:id="11" w:name="_Hlk149034783"/>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sz w:val="32"/>
          <w:lang w:val="en-US" w:eastAsia="zh-CN" w:bidi="ar-SA"/>
        </w:rPr>
        <w:t>第一，细化预算编制过程，明确</w:t>
      </w:r>
      <w:r>
        <w:rPr>
          <w:rFonts w:ascii="Times New Roman" w:hAnsi="Times New Roman" w:eastAsia="方正仿宋_GBK" w:cs="Times New Roman"/>
          <w:b/>
          <w:bCs/>
          <w:sz w:val="32"/>
          <w:lang w:bidi="ar-SA"/>
        </w:rPr>
        <w:t>测算依据</w:t>
      </w:r>
      <w:r>
        <w:rPr>
          <w:rFonts w:ascii="Times New Roman" w:hAnsi="Times New Roman" w:eastAsia="方正仿宋_GBK" w:cs="Times New Roman"/>
          <w:b/>
          <w:bCs/>
          <w:sz w:val="32"/>
          <w:lang w:val="en-US" w:eastAsia="zh-CN" w:bidi="ar-SA"/>
        </w:rPr>
        <w:t>。一是</w:t>
      </w:r>
      <w:r>
        <w:rPr>
          <w:rFonts w:ascii="Times New Roman" w:hAnsi="Times New Roman" w:eastAsia="方正仿宋_GBK" w:cs="Times New Roman"/>
          <w:sz w:val="32"/>
          <w:lang w:val="en-US" w:eastAsia="zh-CN" w:bidi="ar-SA"/>
        </w:rPr>
        <w:t>梳理依据各项费用要素的拟投入数量和支出标准，对各项预算费用进行合理估算。</w:t>
      </w:r>
      <w:r>
        <w:rPr>
          <w:rFonts w:ascii="Times New Roman" w:hAnsi="Times New Roman" w:eastAsia="方正仿宋_GBK" w:cs="Times New Roman"/>
          <w:b/>
          <w:bCs/>
          <w:sz w:val="32"/>
          <w:lang w:val="en-US" w:eastAsia="zh-CN" w:bidi="ar-SA"/>
        </w:rPr>
        <w:t>二是</w:t>
      </w:r>
      <w:r>
        <w:rPr>
          <w:rFonts w:ascii="Times New Roman" w:hAnsi="Times New Roman" w:eastAsia="方正仿宋_GBK" w:cs="Times New Roman"/>
          <w:sz w:val="32"/>
          <w:lang w:val="en-US" w:eastAsia="zh-CN" w:bidi="ar-SA"/>
        </w:rPr>
        <w:t>建立预算编制的动态调整机制，定期摸底调研年度业务需求，根据实际业务需求变化情况进行预算编制。</w:t>
      </w:r>
      <w:r>
        <w:rPr>
          <w:rFonts w:ascii="Times New Roman" w:hAnsi="Times New Roman" w:eastAsia="方正仿宋_GBK" w:cs="Times New Roman"/>
          <w:b/>
          <w:bCs/>
          <w:sz w:val="32"/>
          <w:lang w:val="en-US" w:eastAsia="zh-CN" w:bidi="ar-SA"/>
        </w:rPr>
        <w:t>第二，全面梳理支出内容，厘清项目边界。一是</w:t>
      </w:r>
      <w:r>
        <w:rPr>
          <w:rFonts w:ascii="Times New Roman" w:hAnsi="Times New Roman" w:eastAsia="方正仿宋_GBK" w:cs="Times New Roman"/>
          <w:sz w:val="32"/>
          <w:lang w:val="en-US" w:eastAsia="zh-CN" w:bidi="ar-SA"/>
        </w:rPr>
        <w:t>梳理各项目的实施内容与支出范围、项目与项目之间的关系。</w:t>
      </w:r>
      <w:r>
        <w:rPr>
          <w:rFonts w:ascii="Times New Roman" w:hAnsi="Times New Roman" w:eastAsia="方正仿宋_GBK" w:cs="Times New Roman"/>
          <w:b/>
          <w:bCs/>
          <w:sz w:val="32"/>
          <w:lang w:val="en-US" w:eastAsia="zh-CN" w:bidi="ar-SA"/>
        </w:rPr>
        <w:t>二是</w:t>
      </w:r>
      <w:r>
        <w:rPr>
          <w:rFonts w:ascii="Times New Roman" w:hAnsi="Times New Roman" w:eastAsia="方正仿宋_GBK" w:cs="Times New Roman"/>
          <w:sz w:val="32"/>
          <w:lang w:val="en-US" w:eastAsia="zh-CN" w:bidi="ar-SA"/>
        </w:rPr>
        <w:t>厘清项目边界，</w:t>
      </w:r>
      <w:r>
        <w:rPr>
          <w:rFonts w:ascii="Times New Roman" w:hAnsi="Times New Roman" w:eastAsia="方正仿宋_GBK" w:cs="Times New Roman"/>
          <w:sz w:val="32"/>
          <w:lang w:bidi="ar-SA"/>
        </w:rPr>
        <w:t>明确</w:t>
      </w:r>
      <w:r>
        <w:rPr>
          <w:rFonts w:ascii="Times New Roman" w:hAnsi="Times New Roman" w:eastAsia="方正仿宋_GBK" w:cs="Times New Roman"/>
          <w:sz w:val="32"/>
          <w:lang w:val="en-US" w:eastAsia="zh-CN" w:bidi="ar-SA"/>
        </w:rPr>
        <w:t>各</w:t>
      </w:r>
      <w:r>
        <w:rPr>
          <w:rFonts w:ascii="Times New Roman" w:hAnsi="Times New Roman" w:eastAsia="方正仿宋_GBK" w:cs="Times New Roman"/>
          <w:sz w:val="32"/>
          <w:lang w:bidi="ar-SA"/>
        </w:rPr>
        <w:t>项目的目标、范围、时间节点等</w:t>
      </w:r>
      <w:r>
        <w:rPr>
          <w:rFonts w:ascii="Times New Roman" w:hAnsi="Times New Roman" w:eastAsia="方正仿宋_GBK" w:cs="Times New Roman"/>
          <w:sz w:val="32"/>
          <w:lang w:eastAsia="zh-CN" w:bidi="ar-SA"/>
        </w:rPr>
        <w:t>。</w:t>
      </w:r>
      <w:r>
        <w:rPr>
          <w:rFonts w:ascii="Times New Roman" w:hAnsi="Times New Roman" w:eastAsia="方正仿宋_GBK" w:cs="Times New Roman"/>
          <w:b/>
          <w:bCs/>
          <w:sz w:val="32"/>
          <w:lang w:val="en-US" w:eastAsia="zh-CN" w:bidi="ar-SA"/>
        </w:rPr>
        <w:t>三是</w:t>
      </w:r>
      <w:r>
        <w:rPr>
          <w:rFonts w:ascii="Times New Roman" w:hAnsi="Times New Roman" w:eastAsia="方正仿宋_GBK" w:cs="Times New Roman"/>
          <w:sz w:val="32"/>
          <w:lang w:val="en-US" w:eastAsia="zh-CN" w:bidi="ar-SA"/>
        </w:rPr>
        <w:t>对各项目涉及同类的法律服务内容进行整合，优化项目预算支出结构。</w:t>
      </w:r>
      <w:bookmarkEnd w:id="11"/>
      <w:r>
        <w:rPr>
          <w:rFonts w:ascii="Times New Roman" w:hAnsi="Times New Roman" w:eastAsia="方正仿宋_GBK" w:cs="Times New Roman"/>
          <w:b/>
          <w:bCs/>
          <w:sz w:val="32"/>
          <w:lang w:val="en-US" w:eastAsia="zh-CN" w:bidi="ar-SA"/>
        </w:rPr>
        <w:t>第三，严格把关验收审核，加大监管力度。一是</w:t>
      </w:r>
      <w:r>
        <w:rPr>
          <w:rFonts w:ascii="Times New Roman" w:hAnsi="Times New Roman" w:eastAsia="方正仿宋_GBK" w:cs="Times New Roman"/>
          <w:sz w:val="32"/>
          <w:lang w:val="en-US" w:eastAsia="zh-CN" w:bidi="ar-SA"/>
        </w:rPr>
        <w:t>健全完善项目验收标准和流程，确保验收审核过程有章可循，有据可依。</w:t>
      </w:r>
      <w:r>
        <w:rPr>
          <w:rFonts w:ascii="Times New Roman" w:hAnsi="Times New Roman" w:eastAsia="方正仿宋_GBK" w:cs="Times New Roman"/>
          <w:b/>
          <w:bCs/>
          <w:sz w:val="32"/>
          <w:lang w:val="en-US" w:eastAsia="zh-CN" w:bidi="ar-SA"/>
        </w:rPr>
        <w:t>二是</w:t>
      </w:r>
      <w:r>
        <w:rPr>
          <w:rFonts w:ascii="Times New Roman" w:hAnsi="Times New Roman" w:eastAsia="方正仿宋_GBK" w:cs="Times New Roman"/>
          <w:sz w:val="32"/>
          <w:lang w:val="en-US" w:eastAsia="zh-CN" w:bidi="ar-SA"/>
        </w:rPr>
        <w:t>细化验收材料的具体审核要求，确保项目交付要件能够体现委托事项的具体工作成果和进展情况。</w:t>
      </w:r>
      <w:r>
        <w:rPr>
          <w:rFonts w:ascii="Times New Roman" w:hAnsi="Times New Roman" w:eastAsia="方正仿宋_GBK" w:cs="Times New Roman"/>
          <w:b/>
          <w:bCs/>
          <w:sz w:val="32"/>
          <w:lang w:val="en-US" w:eastAsia="zh-CN" w:bidi="ar-SA"/>
        </w:rPr>
        <w:t>三是</w:t>
      </w:r>
      <w:r>
        <w:rPr>
          <w:rFonts w:ascii="Times New Roman" w:hAnsi="Times New Roman" w:eastAsia="方正仿宋_GBK" w:cs="Times New Roman"/>
          <w:sz w:val="32"/>
          <w:lang w:val="en-US" w:eastAsia="zh-CN" w:bidi="ar-SA"/>
        </w:rPr>
        <w:t>严格执行落实验收审核制度，确保每一项工作都符合合同要求和预期目标。</w:t>
      </w:r>
      <w:r>
        <w:rPr>
          <w:rFonts w:ascii="Times New Roman" w:hAnsi="Times New Roman" w:eastAsia="方正仿宋_GBK" w:cs="Times New Roman"/>
          <w:b/>
          <w:bCs/>
          <w:sz w:val="32"/>
          <w:lang w:val="en-US" w:eastAsia="zh-CN" w:bidi="ar-SA"/>
        </w:rPr>
        <w:t>四是</w:t>
      </w:r>
      <w:r>
        <w:rPr>
          <w:rFonts w:ascii="Times New Roman" w:hAnsi="Times New Roman" w:eastAsia="方正仿宋_GBK" w:cs="Times New Roman"/>
          <w:sz w:val="32"/>
          <w:lang w:val="en-US" w:eastAsia="zh-CN" w:bidi="ar-SA"/>
        </w:rPr>
        <w:t>加强对后续服务事项完成情况的跟踪与监督，确保项目执行到位</w:t>
      </w:r>
      <w:r>
        <w:rPr>
          <w:rFonts w:ascii="Times New Roman" w:hAnsi="Times New Roman" w:eastAsia="方正仿宋_GBK" w:cs="Times New Roman"/>
          <w:sz w:val="32"/>
          <w:lang w:bidi="ar-SA"/>
        </w:rPr>
        <w:t>。</w:t>
      </w:r>
      <w:r>
        <w:rPr>
          <w:rFonts w:ascii="Times New Roman" w:hAnsi="Times New Roman" w:eastAsia="方正仿宋_GBK" w:cs="Times New Roman"/>
          <w:b/>
          <w:bCs/>
          <w:sz w:val="32"/>
          <w:lang w:val="en-US" w:eastAsia="zh-CN" w:bidi="ar-SA"/>
        </w:rPr>
        <w:t>第四，</w:t>
      </w:r>
      <w:r>
        <w:rPr>
          <w:rFonts w:ascii="Times New Roman" w:hAnsi="Times New Roman" w:eastAsia="方正仿宋_GBK" w:cs="Times New Roman"/>
          <w:b/>
          <w:bCs/>
          <w:sz w:val="32"/>
          <w:szCs w:val="32"/>
          <w:lang w:val="en-US" w:eastAsia="zh-CN" w:bidi="ar-SA"/>
        </w:rPr>
        <w:t>完善监管考核制度，规范执行落实。一是</w:t>
      </w:r>
      <w:r>
        <w:rPr>
          <w:rFonts w:ascii="Times New Roman" w:hAnsi="Times New Roman" w:eastAsia="方正仿宋_GBK" w:cs="Times New Roman"/>
          <w:sz w:val="32"/>
          <w:lang w:val="en-US" w:eastAsia="zh-CN" w:bidi="ar-SA"/>
        </w:rPr>
        <w:t>修订现行考核制度，区分归集银行和贷款业务银行的考核方式，使监管考核制度更加贴合实际，减少制度执行过程中的漏洞和冲突。</w:t>
      </w:r>
      <w:r>
        <w:rPr>
          <w:rFonts w:ascii="Times New Roman" w:hAnsi="Times New Roman" w:eastAsia="方正仿宋_GBK" w:cs="Times New Roman"/>
          <w:b/>
          <w:bCs/>
          <w:sz w:val="32"/>
          <w:lang w:val="en-US" w:eastAsia="zh-CN" w:bidi="ar-SA"/>
        </w:rPr>
        <w:t>二是</w:t>
      </w:r>
      <w:r>
        <w:rPr>
          <w:rFonts w:ascii="Times New Roman" w:hAnsi="Times New Roman" w:eastAsia="方正仿宋_GBK" w:cs="Times New Roman"/>
          <w:sz w:val="32"/>
          <w:lang w:val="en-US" w:eastAsia="zh-CN" w:bidi="ar-SA"/>
        </w:rPr>
        <w:t>加快成立考核领导小组，加强各项考核工作的组织与协调；通过定期召开会议、审查考核资料、解决考核争议等方式，确保考核工作有序进行。</w:t>
      </w:r>
      <w:r>
        <w:rPr>
          <w:rFonts w:ascii="Times New Roman" w:hAnsi="Times New Roman" w:eastAsia="方正仿宋_GBK" w:cs="Times New Roman"/>
          <w:b/>
          <w:bCs/>
          <w:sz w:val="32"/>
          <w:lang w:val="en-US" w:eastAsia="zh-CN" w:bidi="ar-SA"/>
        </w:rPr>
        <w:t>三是</w:t>
      </w:r>
      <w:r>
        <w:rPr>
          <w:rFonts w:ascii="Times New Roman" w:hAnsi="Times New Roman" w:eastAsia="方正仿宋_GBK" w:cs="Times New Roman"/>
          <w:sz w:val="32"/>
          <w:lang w:val="en-US" w:eastAsia="zh-CN" w:bidi="ar-SA"/>
        </w:rPr>
        <w:t>加强对考核工作的日常监督和检查，确保各项考核任务按时、按质、按量完成。</w:t>
      </w:r>
      <w:r>
        <w:rPr>
          <w:rFonts w:ascii="Times New Roman" w:hAnsi="Times New Roman" w:eastAsia="方正仿宋_GBK" w:cs="Times New Roman"/>
          <w:b/>
          <w:bCs/>
          <w:sz w:val="32"/>
          <w:lang w:val="en-US" w:eastAsia="zh-CN" w:bidi="ar-SA"/>
        </w:rPr>
        <w:t>四是</w:t>
      </w:r>
      <w:r>
        <w:rPr>
          <w:rFonts w:ascii="Times New Roman" w:hAnsi="Times New Roman" w:eastAsia="方正仿宋_GBK" w:cs="Times New Roman"/>
          <w:sz w:val="32"/>
          <w:lang w:val="en-US" w:eastAsia="zh-CN" w:bidi="ar-SA"/>
        </w:rPr>
        <w:t>建立考核激励机制以提高工作积极性，对表现优秀的银行和个人进行表彰和奖励，以提高工作积极性</w:t>
      </w:r>
      <w:r>
        <w:rPr>
          <w:rFonts w:ascii="Times New Roman" w:hAnsi="Times New Roman" w:eastAsia="方正仿宋_GBK" w:cs="Times New Roman"/>
          <w:sz w:val="32"/>
          <w:lang w:bidi="ar-SA"/>
        </w:rPr>
        <w:t>。</w:t>
      </w:r>
      <w:bookmarkStart w:id="12" w:name="_Hlk149035373"/>
      <w:r>
        <w:rPr>
          <w:rFonts w:ascii="Times New Roman" w:hAnsi="Times New Roman" w:eastAsia="方正仿宋_GBK" w:cs="Times New Roman"/>
          <w:b/>
          <w:bCs/>
          <w:sz w:val="32"/>
          <w:lang w:val="en-US" w:eastAsia="zh-CN" w:bidi="ar-SA"/>
        </w:rPr>
        <w:t>第五，</w:t>
      </w:r>
      <w:r>
        <w:rPr>
          <w:rFonts w:ascii="Times New Roman" w:hAnsi="Times New Roman" w:eastAsia="方正仿宋_GBK" w:cs="Times New Roman"/>
          <w:b/>
          <w:bCs/>
          <w:sz w:val="32"/>
          <w:szCs w:val="32"/>
          <w:lang w:val="en-US" w:eastAsia="zh-CN" w:bidi="ar-SA"/>
        </w:rPr>
        <w:t>完善数据整改机制，提高数据质量。一是</w:t>
      </w:r>
      <w:r>
        <w:rPr>
          <w:rFonts w:ascii="Times New Roman" w:hAnsi="Times New Roman" w:eastAsia="方正仿宋_GBK" w:cs="Times New Roman"/>
          <w:sz w:val="32"/>
          <w:szCs w:val="32"/>
          <w:lang w:val="en-US" w:eastAsia="zh-CN" w:bidi="ar-SA"/>
        </w:rPr>
        <w:t>明确</w:t>
      </w:r>
      <w:r>
        <w:rPr>
          <w:rFonts w:ascii="Times New Roman" w:hAnsi="Times New Roman" w:eastAsia="方正仿宋_GBK" w:cs="Times New Roman"/>
          <w:sz w:val="32"/>
          <w:szCs w:val="32"/>
          <w:lang w:bidi="ar-SA"/>
        </w:rPr>
        <w:t>检核</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bidi="ar-SA"/>
        </w:rPr>
        <w:t>整理、分发、整改上报</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bidi="ar-SA"/>
        </w:rPr>
        <w:t>整改反馈</w:t>
      </w:r>
      <w:r>
        <w:rPr>
          <w:rFonts w:ascii="Times New Roman" w:hAnsi="Times New Roman" w:eastAsia="方正仿宋_GBK" w:cs="Times New Roman"/>
          <w:sz w:val="32"/>
          <w:szCs w:val="32"/>
          <w:lang w:val="en-US" w:eastAsia="zh-CN" w:bidi="ar-SA"/>
        </w:rPr>
        <w:t>等各环节</w:t>
      </w:r>
      <w:r>
        <w:rPr>
          <w:rFonts w:ascii="Times New Roman" w:hAnsi="Times New Roman" w:eastAsia="方正仿宋_GBK" w:cs="Times New Roman"/>
          <w:sz w:val="32"/>
          <w:szCs w:val="32"/>
          <w:lang w:bidi="ar-SA"/>
        </w:rPr>
        <w:t>的责任人和时间节点</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bidi="ar-SA"/>
        </w:rPr>
        <w:t>确保</w:t>
      </w:r>
      <w:r>
        <w:rPr>
          <w:rFonts w:ascii="Times New Roman" w:hAnsi="Times New Roman" w:eastAsia="方正仿宋_GBK" w:cs="Times New Roman"/>
          <w:sz w:val="32"/>
          <w:szCs w:val="32"/>
          <w:lang w:val="en-US" w:eastAsia="zh-CN" w:bidi="ar-SA"/>
        </w:rPr>
        <w:t>数据整改</w:t>
      </w:r>
      <w:r>
        <w:rPr>
          <w:rFonts w:ascii="Times New Roman" w:hAnsi="Times New Roman" w:eastAsia="方正仿宋_GBK" w:cs="Times New Roman"/>
          <w:sz w:val="32"/>
          <w:szCs w:val="32"/>
          <w:lang w:bidi="ar-SA"/>
        </w:rPr>
        <w:t>每一步都清晰可追溯。</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sz w:val="32"/>
          <w:szCs w:val="32"/>
          <w:lang w:bidi="ar-SA"/>
        </w:rPr>
        <w:t>建立问题数据的追踪机制，确保每一笔问题数据</w:t>
      </w:r>
      <w:r>
        <w:rPr>
          <w:rFonts w:ascii="Times New Roman" w:hAnsi="Times New Roman" w:eastAsia="方正仿宋_GBK" w:cs="Times New Roman"/>
          <w:sz w:val="32"/>
          <w:szCs w:val="32"/>
          <w:lang w:val="en-US" w:eastAsia="zh-CN" w:bidi="ar-SA"/>
        </w:rPr>
        <w:t>均</w:t>
      </w:r>
      <w:r>
        <w:rPr>
          <w:rFonts w:ascii="Times New Roman" w:hAnsi="Times New Roman" w:eastAsia="方正仿宋_GBK" w:cs="Times New Roman"/>
          <w:sz w:val="32"/>
          <w:szCs w:val="32"/>
          <w:lang w:bidi="ar-SA"/>
        </w:rPr>
        <w:t>能得到及时、有效处理</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b/>
          <w:bCs/>
          <w:sz w:val="32"/>
          <w:szCs w:val="32"/>
          <w:lang w:val="en-US" w:eastAsia="zh-CN" w:bidi="ar-SA"/>
        </w:rPr>
        <w:t>三是</w:t>
      </w:r>
      <w:r>
        <w:rPr>
          <w:rFonts w:ascii="Times New Roman" w:hAnsi="Times New Roman" w:eastAsia="方正仿宋_GBK" w:cs="Times New Roman"/>
          <w:sz w:val="32"/>
          <w:szCs w:val="32"/>
          <w:lang w:val="en-US" w:eastAsia="zh-CN" w:bidi="ar-SA"/>
        </w:rPr>
        <w:t>强化数据质量整改的全程留痕管理，</w:t>
      </w:r>
      <w:r>
        <w:rPr>
          <w:rFonts w:ascii="Times New Roman" w:hAnsi="Times New Roman" w:eastAsia="方正仿宋_GBK" w:cs="Times New Roman"/>
          <w:sz w:val="32"/>
          <w:szCs w:val="32"/>
          <w:lang w:bidi="ar-SA"/>
        </w:rPr>
        <w:t>对问题数据的修改内容、修改时间和修改操作人进行记录</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val="en-US" w:eastAsia="zh-CN" w:bidi="ar-SA"/>
        </w:rPr>
        <w:t>以便后续数据质量出现问题时迅速追溯具体修改记录，为数据质量的持续改进提供有力支撑</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b/>
          <w:bCs/>
          <w:sz w:val="32"/>
          <w:szCs w:val="32"/>
          <w:lang w:val="en-US" w:eastAsia="zh-CN" w:bidi="ar-SA"/>
        </w:rPr>
        <w:t>四是</w:t>
      </w:r>
      <w:r>
        <w:rPr>
          <w:rFonts w:ascii="Times New Roman" w:hAnsi="Times New Roman" w:eastAsia="方正仿宋_GBK" w:cs="Times New Roman"/>
          <w:sz w:val="32"/>
          <w:szCs w:val="32"/>
          <w:lang w:val="en-US" w:eastAsia="zh-CN" w:bidi="ar-SA"/>
        </w:rPr>
        <w:t>充分运用</w:t>
      </w:r>
      <w:r>
        <w:rPr>
          <w:rFonts w:ascii="Times New Roman" w:hAnsi="Times New Roman" w:eastAsia="方正仿宋_GBK" w:cs="Times New Roman"/>
          <w:sz w:val="32"/>
          <w:szCs w:val="32"/>
          <w:lang w:bidi="ar-SA"/>
        </w:rPr>
        <w:t>数据</w:t>
      </w:r>
      <w:r>
        <w:rPr>
          <w:rFonts w:ascii="Times New Roman" w:hAnsi="Times New Roman" w:eastAsia="方正仿宋_GBK" w:cs="Times New Roman"/>
          <w:sz w:val="32"/>
          <w:szCs w:val="32"/>
          <w:lang w:val="en-US" w:eastAsia="zh-CN" w:bidi="ar-SA"/>
        </w:rPr>
        <w:t>质量</w:t>
      </w:r>
      <w:r>
        <w:rPr>
          <w:rFonts w:ascii="Times New Roman" w:hAnsi="Times New Roman" w:eastAsia="方正仿宋_GBK" w:cs="Times New Roman"/>
          <w:sz w:val="32"/>
          <w:szCs w:val="32"/>
          <w:lang w:bidi="ar-SA"/>
        </w:rPr>
        <w:t>管理系统</w:t>
      </w:r>
      <w:r>
        <w:rPr>
          <w:rFonts w:ascii="Times New Roman" w:hAnsi="Times New Roman" w:eastAsia="方正仿宋_GBK" w:cs="Times New Roman"/>
          <w:sz w:val="32"/>
          <w:szCs w:val="32"/>
          <w:lang w:val="en-US" w:eastAsia="zh-CN" w:bidi="ar-SA"/>
        </w:rPr>
        <w:t>和数据质量检查工具开展溯源分析</w:t>
      </w:r>
      <w:r>
        <w:rPr>
          <w:rFonts w:ascii="Times New Roman" w:hAnsi="Times New Roman" w:eastAsia="方正仿宋_GBK" w:cs="Times New Roman"/>
          <w:sz w:val="32"/>
          <w:szCs w:val="32"/>
          <w:lang w:bidi="ar-SA"/>
        </w:rPr>
        <w:t>，</w:t>
      </w:r>
      <w:r>
        <w:rPr>
          <w:rFonts w:ascii="Times New Roman" w:hAnsi="Times New Roman" w:eastAsia="方正仿宋_GBK" w:cs="Times New Roman"/>
          <w:sz w:val="32"/>
          <w:szCs w:val="32"/>
          <w:lang w:val="en-US" w:eastAsia="zh-CN" w:bidi="ar-SA"/>
        </w:rPr>
        <w:t>并</w:t>
      </w:r>
      <w:r>
        <w:rPr>
          <w:rFonts w:ascii="Times New Roman" w:hAnsi="Times New Roman" w:eastAsia="方正仿宋_GBK" w:cs="Times New Roman"/>
          <w:sz w:val="32"/>
          <w:szCs w:val="32"/>
          <w:lang w:bidi="ar-SA"/>
        </w:rPr>
        <w:t>根据溯源分析结果制定针对性的整改措施和预防措施。</w:t>
      </w:r>
      <w:r>
        <w:rPr>
          <w:rFonts w:ascii="Times New Roman" w:hAnsi="Times New Roman" w:eastAsia="方正仿宋_GBK" w:cs="Times New Roman"/>
          <w:b/>
          <w:bCs/>
          <w:sz w:val="32"/>
          <w:szCs w:val="32"/>
          <w:lang w:val="en-US" w:eastAsia="zh-CN" w:bidi="ar-SA"/>
        </w:rPr>
        <w:t>第六，</w:t>
      </w:r>
      <w:r>
        <w:rPr>
          <w:rFonts w:ascii="Times New Roman" w:hAnsi="Times New Roman" w:eastAsia="方正仿宋_GBK" w:cs="Times New Roman"/>
          <w:b/>
          <w:bCs/>
          <w:sz w:val="32"/>
          <w:szCs w:val="32"/>
          <w:lang w:bidi="ar-SA"/>
        </w:rPr>
        <w:t>建立整改长效机制，提高整改成效。</w:t>
      </w:r>
      <w:r>
        <w:rPr>
          <w:rFonts w:ascii="Times New Roman" w:hAnsi="Times New Roman" w:eastAsia="方正仿宋_GBK" w:cs="Times New Roman"/>
          <w:b/>
          <w:bCs/>
          <w:sz w:val="32"/>
          <w:szCs w:val="32"/>
          <w:lang w:val="en-US" w:eastAsia="zh-CN" w:bidi="ar-SA"/>
        </w:rPr>
        <w:t>一是</w:t>
      </w:r>
      <w:r>
        <w:rPr>
          <w:rFonts w:ascii="Times New Roman" w:hAnsi="Times New Roman" w:eastAsia="方正仿宋_GBK" w:cs="Times New Roman"/>
          <w:sz w:val="32"/>
          <w:szCs w:val="32"/>
          <w:lang w:bidi="ar-SA"/>
        </w:rPr>
        <w:t>明确</w:t>
      </w:r>
      <w:r>
        <w:rPr>
          <w:rFonts w:ascii="Times New Roman" w:hAnsi="Times New Roman" w:eastAsia="方正仿宋_GBK" w:cs="Times New Roman"/>
          <w:sz w:val="32"/>
          <w:szCs w:val="32"/>
          <w:lang w:val="en-US" w:eastAsia="zh-CN" w:bidi="ar-SA"/>
        </w:rPr>
        <w:t>电子稽查风险隐患整改的流程、方式方法，确保整改工作的规范性和有效性</w:t>
      </w:r>
      <w:r>
        <w:rPr>
          <w:rFonts w:ascii="Times New Roman" w:hAnsi="Times New Roman" w:eastAsia="方正仿宋_GBK" w:cs="Times New Roman"/>
          <w:sz w:val="32"/>
          <w:szCs w:val="32"/>
          <w:lang w:bidi="ar-SA"/>
        </w:rPr>
        <w:t>。</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sz w:val="32"/>
          <w:szCs w:val="32"/>
          <w:lang w:val="en-US" w:eastAsia="zh-CN" w:bidi="ar-SA"/>
        </w:rPr>
        <w:t>加强对整改过程的监督和检查，完善整改反馈机制，加强对整改效果的跟踪和评估，确保整改措施执行有效、落实到位。</w:t>
      </w:r>
      <w:r>
        <w:rPr>
          <w:rFonts w:ascii="Times New Roman" w:hAnsi="Times New Roman" w:eastAsia="方正仿宋_GBK" w:cs="Times New Roman"/>
          <w:b/>
          <w:bCs/>
          <w:sz w:val="32"/>
          <w:szCs w:val="32"/>
          <w:lang w:val="en-US" w:eastAsia="zh-CN" w:bidi="ar-SA"/>
        </w:rPr>
        <w:t>三是</w:t>
      </w:r>
      <w:r>
        <w:rPr>
          <w:rFonts w:ascii="Times New Roman" w:hAnsi="Times New Roman" w:eastAsia="方正仿宋_GBK" w:cs="Times New Roman"/>
          <w:sz w:val="32"/>
          <w:szCs w:val="32"/>
          <w:lang w:bidi="ar-SA"/>
        </w:rPr>
        <w:t>加大对可降疑点的排查力度</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val="en-US" w:eastAsia="zh-CN" w:bidi="ar-SA"/>
        </w:rPr>
        <w:t>控制可降疑点增量，关注高频可降疑点，深入分析其形成原因及可行的整改方案</w:t>
      </w:r>
      <w:r>
        <w:rPr>
          <w:rFonts w:ascii="Times New Roman" w:hAnsi="Times New Roman" w:eastAsia="方正仿宋_GBK" w:cs="Times New Roman"/>
          <w:sz w:val="32"/>
          <w:szCs w:val="32"/>
          <w:lang w:bidi="ar-SA"/>
        </w:rPr>
        <w:t>。</w:t>
      </w:r>
      <w:bookmarkEnd w:id="12"/>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三、</w:t>
      </w:r>
      <w:bookmarkEnd w:id="6"/>
      <w:bookmarkEnd w:id="7"/>
      <w:bookmarkEnd w:id="8"/>
      <w:r>
        <w:rPr>
          <w:rFonts w:ascii="Times New Roman" w:hAnsi="Times New Roman" w:eastAsia="方正黑体_GBK" w:cs="Times New Roman"/>
          <w:bCs/>
          <w:color w:val="auto"/>
          <w:kern w:val="2"/>
          <w:sz w:val="32"/>
          <w:szCs w:val="32"/>
          <w:lang w:val="en-US" w:eastAsia="zh-CN" w:bidi="ar-SA"/>
        </w:rPr>
        <w:t>惠州市工商业联合会2023年度部门整体支出</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32"/>
          <w:lang w:val="en-US" w:eastAsia="zh-CN" w:bidi="ar-SA"/>
        </w:rPr>
      </w:pPr>
      <w:bookmarkStart w:id="13" w:name="_Toc882"/>
      <w:bookmarkStart w:id="14" w:name="_Toc13061"/>
      <w:bookmarkStart w:id="15" w:name="_Toc30482"/>
      <w:r>
        <w:rPr>
          <w:rFonts w:ascii="Times New Roman" w:hAnsi="Times New Roman" w:eastAsia="方正仿宋_GBK" w:cs="Times New Roman"/>
          <w:sz w:val="32"/>
          <w:szCs w:val="32"/>
          <w:lang w:bidi="ar-SA"/>
        </w:rPr>
        <w:t>为加强财政</w:t>
      </w:r>
      <w:r>
        <w:rPr>
          <w:rFonts w:ascii="Times New Roman" w:hAnsi="Times New Roman" w:eastAsia="方正仿宋_GBK" w:cs="Times New Roman"/>
          <w:sz w:val="32"/>
          <w:szCs w:val="32"/>
          <w:lang w:val="en-US" w:eastAsia="zh-CN" w:bidi="ar-SA"/>
        </w:rPr>
        <w:t>支出</w:t>
      </w:r>
      <w:r>
        <w:rPr>
          <w:rFonts w:ascii="Times New Roman" w:hAnsi="Times New Roman" w:eastAsia="方正仿宋_GBK" w:cs="Times New Roman"/>
          <w:sz w:val="32"/>
          <w:szCs w:val="32"/>
          <w:lang w:bidi="ar-SA"/>
        </w:rPr>
        <w:t>管理，提高财政资金的使用效益，</w:t>
      </w:r>
      <w:r>
        <w:rPr>
          <w:rFonts w:ascii="Times New Roman" w:hAnsi="Times New Roman" w:eastAsia="方正仿宋_GBK" w:cs="Times New Roman"/>
          <w:sz w:val="32"/>
          <w:szCs w:val="32"/>
          <w:lang w:val="en-US" w:eastAsia="zh-CN" w:bidi="ar-SA"/>
        </w:rPr>
        <w:t>惠州市</w:t>
      </w:r>
      <w:r>
        <w:rPr>
          <w:rFonts w:ascii="Times New Roman" w:hAnsi="Times New Roman" w:eastAsia="方正仿宋_GBK" w:cs="Times New Roman"/>
          <w:sz w:val="32"/>
          <w:szCs w:val="32"/>
          <w:lang w:bidi="ar-SA"/>
        </w:rPr>
        <w:t>财政局</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val="en-US" w:eastAsia="zh-CN" w:bidi="ar-SA"/>
        </w:rPr>
        <w:t>以下简称“市财政局”）</w:t>
      </w:r>
      <w:r>
        <w:rPr>
          <w:rFonts w:ascii="Times New Roman" w:hAnsi="Times New Roman" w:eastAsia="方正仿宋_GBK" w:cs="Times New Roman"/>
          <w:sz w:val="32"/>
          <w:szCs w:val="32"/>
          <w:lang w:bidi="ar-SA"/>
        </w:rPr>
        <w:t>委托上海元方智库公共管理咨询有限公司</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val="en-US" w:eastAsia="zh-CN" w:bidi="ar-SA"/>
        </w:rPr>
        <w:t>以下简称“上海元方”），对惠州市工商业联合会（以下简称“市工商联”）</w:t>
      </w:r>
      <w:r>
        <w:rPr>
          <w:rFonts w:ascii="Times New Roman" w:hAnsi="Times New Roman" w:eastAsia="方正仿宋_GBK" w:cs="Times New Roman"/>
          <w:sz w:val="32"/>
          <w:szCs w:val="32"/>
          <w:lang w:bidi="ar-SA"/>
        </w:rPr>
        <w:t>202</w:t>
      </w:r>
      <w:r>
        <w:rPr>
          <w:rFonts w:ascii="Times New Roman" w:hAnsi="Times New Roman" w:eastAsia="方正仿宋_GBK" w:cs="Times New Roman"/>
          <w:sz w:val="32"/>
          <w:szCs w:val="32"/>
          <w:lang w:val="en-US" w:eastAsia="zh-CN" w:bidi="ar-SA"/>
        </w:rPr>
        <w:t>3</w:t>
      </w:r>
      <w:r>
        <w:rPr>
          <w:rFonts w:ascii="Times New Roman" w:hAnsi="Times New Roman" w:eastAsia="方正仿宋_GBK" w:cs="Times New Roman"/>
          <w:sz w:val="32"/>
          <w:szCs w:val="32"/>
          <w:lang w:bidi="ar-SA"/>
        </w:rPr>
        <w:t>年度部门整体支出</w:t>
      </w:r>
      <w:r>
        <w:rPr>
          <w:rFonts w:ascii="Times New Roman" w:hAnsi="Times New Roman" w:eastAsia="方正仿宋_GBK" w:cs="Times New Roman"/>
          <w:sz w:val="32"/>
          <w:szCs w:val="32"/>
          <w:lang w:val="en-US" w:eastAsia="zh-CN" w:bidi="ar-SA"/>
        </w:rPr>
        <w:t>情况实施</w:t>
      </w:r>
      <w:r>
        <w:rPr>
          <w:rFonts w:ascii="Times New Roman" w:hAnsi="Times New Roman" w:eastAsia="方正仿宋_GBK" w:cs="Times New Roman"/>
          <w:sz w:val="32"/>
          <w:szCs w:val="32"/>
          <w:lang w:bidi="ar-SA"/>
        </w:rPr>
        <w:t>绩效评价。</w:t>
      </w:r>
      <w:r>
        <w:rPr>
          <w:rFonts w:ascii="Times New Roman" w:hAnsi="Times New Roman" w:eastAsia="方正仿宋_GBK" w:cs="Times New Roman"/>
          <w:sz w:val="32"/>
          <w:szCs w:val="32"/>
          <w:lang w:val="en-US" w:eastAsia="zh-CN" w:bidi="ar-SA"/>
        </w:rPr>
        <w:t>2023</w:t>
      </w:r>
      <w:r>
        <w:rPr>
          <w:rFonts w:ascii="Times New Roman" w:hAnsi="Times New Roman" w:eastAsia="方正仿宋_GBK" w:cs="Times New Roman"/>
          <w:sz w:val="32"/>
          <w:szCs w:val="32"/>
          <w:lang w:bidi="ar-SA"/>
        </w:rPr>
        <w:t>年</w:t>
      </w:r>
      <w:r>
        <w:rPr>
          <w:rFonts w:ascii="Times New Roman" w:hAnsi="Times New Roman" w:eastAsia="方正仿宋_GBK" w:cs="Times New Roman"/>
          <w:sz w:val="32"/>
          <w:szCs w:val="32"/>
          <w:lang w:val="en-US" w:eastAsia="zh-CN" w:bidi="ar-SA"/>
        </w:rPr>
        <w:t>市工商联财政拨款预算收入为1,584.68万元；财政拨款支出为1,582.67万元，支出</w:t>
      </w:r>
      <w:r>
        <w:rPr>
          <w:rFonts w:ascii="Times New Roman" w:hAnsi="Times New Roman" w:eastAsia="方正仿宋_GBK" w:cs="Times New Roman"/>
          <w:sz w:val="32"/>
          <w:szCs w:val="32"/>
          <w:lang w:bidi="ar-SA"/>
        </w:rPr>
        <w:t>率为</w:t>
      </w:r>
      <w:r>
        <w:rPr>
          <w:rFonts w:ascii="Times New Roman" w:hAnsi="Times New Roman" w:eastAsia="方正仿宋_GBK" w:cs="Times New Roman"/>
          <w:sz w:val="32"/>
          <w:szCs w:val="32"/>
          <w:lang w:val="en-US" w:eastAsia="zh-CN" w:bidi="ar-SA"/>
        </w:rPr>
        <w:t>99.87%。</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32"/>
          <w:lang w:val="en-US" w:eastAsia="zh-CN" w:bidi="ar-SA"/>
        </w:rPr>
      </w:pPr>
      <w:r>
        <w:rPr>
          <w:rFonts w:ascii="Times New Roman" w:hAnsi="Times New Roman" w:eastAsia="方正仿宋_GBK" w:cs="Times New Roman"/>
          <w:sz w:val="32"/>
          <w:szCs w:val="24"/>
          <w:lang w:bidi="ar-SA"/>
        </w:rPr>
        <w:t>经过</w:t>
      </w:r>
      <w:r>
        <w:rPr>
          <w:rFonts w:ascii="Times New Roman" w:hAnsi="Times New Roman" w:eastAsia="方正仿宋_GBK" w:cs="Times New Roman"/>
          <w:sz w:val="32"/>
          <w:szCs w:val="24"/>
          <w:lang w:val="en-US" w:eastAsia="zh-CN" w:bidi="ar-SA"/>
        </w:rPr>
        <w:t>资料收集报送、书面评审</w:t>
      </w:r>
      <w:r>
        <w:rPr>
          <w:rFonts w:ascii="Times New Roman" w:hAnsi="Times New Roman" w:eastAsia="方正仿宋_GBK" w:cs="Times New Roman"/>
          <w:sz w:val="32"/>
          <w:szCs w:val="24"/>
          <w:lang w:bidi="ar-SA"/>
        </w:rPr>
        <w:t>、</w:t>
      </w:r>
      <w:r>
        <w:rPr>
          <w:rFonts w:ascii="Times New Roman" w:hAnsi="Times New Roman" w:eastAsia="方正仿宋_GBK" w:cs="Times New Roman"/>
          <w:sz w:val="32"/>
          <w:szCs w:val="24"/>
          <w:lang w:val="en-US" w:eastAsia="zh-CN" w:bidi="ar-SA"/>
        </w:rPr>
        <w:t>现场评价</w:t>
      </w:r>
      <w:r>
        <w:rPr>
          <w:rFonts w:ascii="Times New Roman" w:hAnsi="Times New Roman" w:eastAsia="方正仿宋_GBK" w:cs="Times New Roman"/>
          <w:sz w:val="32"/>
          <w:szCs w:val="24"/>
          <w:lang w:bidi="ar-SA"/>
        </w:rPr>
        <w:t>等</w:t>
      </w:r>
      <w:r>
        <w:rPr>
          <w:rFonts w:ascii="Times New Roman" w:hAnsi="Times New Roman" w:eastAsia="方正仿宋_GBK" w:cs="Times New Roman"/>
          <w:sz w:val="32"/>
          <w:szCs w:val="24"/>
          <w:lang w:val="en-US" w:eastAsia="zh-CN" w:bidi="ar-SA"/>
        </w:rPr>
        <w:t>流程</w:t>
      </w:r>
      <w:r>
        <w:rPr>
          <w:rFonts w:ascii="Times New Roman" w:hAnsi="Times New Roman" w:eastAsia="方正仿宋_GBK" w:cs="Times New Roman"/>
          <w:sz w:val="32"/>
          <w:szCs w:val="24"/>
          <w:lang w:bidi="ar-SA"/>
        </w:rPr>
        <w:t>，</w:t>
      </w:r>
      <w:r>
        <w:rPr>
          <w:rFonts w:ascii="Times New Roman" w:hAnsi="Times New Roman" w:eastAsia="方正仿宋_GBK" w:cs="Times New Roman"/>
          <w:sz w:val="32"/>
          <w:szCs w:val="24"/>
          <w:lang w:val="en-US" w:eastAsia="zh-CN" w:bidi="ar-SA"/>
        </w:rPr>
        <w:t>经评定，</w:t>
      </w:r>
      <w:r>
        <w:rPr>
          <w:rFonts w:ascii="Times New Roman" w:hAnsi="Times New Roman" w:eastAsia="方正仿宋_GBK" w:cs="Times New Roman"/>
          <w:sz w:val="32"/>
          <w:szCs w:val="32"/>
          <w:lang w:val="en-US" w:eastAsia="zh-CN" w:bidi="ar-SA"/>
        </w:rPr>
        <w:t>工商联2023年度部门整体支出绩效得分为</w:t>
      </w:r>
      <w:r>
        <w:rPr>
          <w:rFonts w:ascii="Times New Roman" w:hAnsi="Times New Roman" w:eastAsia="方正仿宋_GBK" w:cs="Times New Roman"/>
          <w:b/>
          <w:bCs/>
          <w:sz w:val="32"/>
          <w:szCs w:val="32"/>
          <w:lang w:val="en-US" w:eastAsia="zh-CN" w:bidi="ar-SA"/>
        </w:rPr>
        <w:t>84.88分</w:t>
      </w:r>
      <w:r>
        <w:rPr>
          <w:rFonts w:ascii="Times New Roman" w:hAnsi="Times New Roman" w:eastAsia="方正仿宋_GBK" w:cs="Times New Roman"/>
          <w:sz w:val="32"/>
          <w:szCs w:val="32"/>
          <w:lang w:val="en-US" w:eastAsia="zh-CN" w:bidi="ar-SA"/>
        </w:rPr>
        <w:t>，评定等级为</w:t>
      </w:r>
      <w:r>
        <w:rPr>
          <w:rFonts w:ascii="Times New Roman" w:hAnsi="Times New Roman" w:eastAsia="方正仿宋_GBK" w:cs="Times New Roman"/>
          <w:b/>
          <w:bCs/>
          <w:sz w:val="32"/>
          <w:szCs w:val="32"/>
          <w:lang w:val="en-US" w:eastAsia="zh-CN" w:bidi="ar-SA"/>
        </w:rPr>
        <w:t>“良”</w:t>
      </w:r>
      <w:r>
        <w:rPr>
          <w:rFonts w:ascii="Times New Roman" w:hAnsi="Times New Roman" w:eastAsia="方正仿宋_GBK" w:cs="Times New Roman"/>
          <w:sz w:val="32"/>
          <w:szCs w:val="32"/>
          <w:lang w:val="en-US" w:eastAsia="zh-CN" w:bidi="ar-SA"/>
        </w:rPr>
        <w:t>。</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outlineLvl w:val="9"/>
        <w:rPr>
          <w:rFonts w:ascii="Times New Roman" w:hAnsi="Times New Roman" w:eastAsia="方正仿宋_GBK" w:cs="Times New Roman"/>
          <w:sz w:val="32"/>
          <w:szCs w:val="32"/>
          <w:lang w:val="en-US" w:eastAsia="zh-CN" w:bidi="ar-SA"/>
        </w:rPr>
      </w:pPr>
      <w:bookmarkStart w:id="16" w:name="_Toc28551"/>
      <w:bookmarkStart w:id="17" w:name="_Toc29815"/>
      <w:bookmarkStart w:id="18" w:name="_Toc20784"/>
      <w:r>
        <w:rPr>
          <w:rFonts w:ascii="Times New Roman" w:hAnsi="Times New Roman" w:eastAsia="方正黑体_GBK" w:cs="Times New Roman"/>
          <w:bCs/>
          <w:color w:val="auto"/>
          <w:kern w:val="2"/>
          <w:sz w:val="32"/>
          <w:szCs w:val="32"/>
          <w:lang w:val="en-US" w:eastAsia="zh-CN" w:bidi="ar-SA"/>
        </w:rPr>
        <w:t>主要绩效</w:t>
      </w:r>
      <w:bookmarkEnd w:id="16"/>
      <w:bookmarkEnd w:id="17"/>
      <w:bookmarkEnd w:id="18"/>
      <w:r>
        <w:rPr>
          <w:rFonts w:ascii="Times New Roman" w:hAnsi="Times New Roman" w:eastAsia="方正黑体_GBK" w:cs="Times New Roman"/>
          <w:bCs/>
          <w:color w:val="auto"/>
          <w:kern w:val="2"/>
          <w:sz w:val="32"/>
          <w:szCs w:val="32"/>
          <w:lang w:val="en-US" w:eastAsia="zh-CN" w:bidi="ar-SA"/>
        </w:rPr>
        <w:t>：</w:t>
      </w:r>
      <w:r>
        <w:rPr>
          <w:rFonts w:ascii="Times New Roman" w:hAnsi="Times New Roman" w:eastAsia="方正仿宋_GBK" w:cs="Times New Roman"/>
          <w:b/>
          <w:bCs/>
          <w:sz w:val="32"/>
          <w:szCs w:val="32"/>
          <w:lang w:val="en-US" w:eastAsia="zh-CN" w:bidi="ar-SA"/>
        </w:rPr>
        <w:t>第一</w:t>
      </w:r>
      <w:bookmarkStart w:id="19" w:name="_Toc30440"/>
      <w:bookmarkStart w:id="20" w:name="_Toc7559"/>
      <w:bookmarkStart w:id="21" w:name="_Toc22727"/>
      <w:r>
        <w:rPr>
          <w:rFonts w:ascii="Times New Roman" w:hAnsi="Times New Roman" w:eastAsia="方正仿宋_GBK" w:cs="Times New Roman"/>
          <w:b/>
          <w:bCs/>
          <w:sz w:val="32"/>
          <w:szCs w:val="32"/>
          <w:lang w:val="en-US" w:eastAsia="zh-CN" w:bidi="ar-SA"/>
        </w:rPr>
        <w:t>，</w:t>
      </w:r>
      <w:r>
        <w:rPr>
          <w:rFonts w:ascii="Times New Roman" w:hAnsi="Times New Roman" w:eastAsia="方正仿宋_GBK" w:cs="Times New Roman"/>
          <w:sz w:val="32"/>
          <w:szCs w:val="32"/>
          <w:lang w:val="en-US" w:eastAsia="zh-CN" w:bidi="ar-SA"/>
        </w:rPr>
        <w:t>积极开展思想政治教育，落实民营经济统战工作</w:t>
      </w:r>
      <w:bookmarkEnd w:id="19"/>
      <w:bookmarkEnd w:id="20"/>
      <w:bookmarkEnd w:id="21"/>
      <w:bookmarkStart w:id="22" w:name="_Toc27281"/>
      <w:bookmarkStart w:id="23" w:name="_Toc26781"/>
      <w:bookmarkStart w:id="24" w:name="_Toc16890"/>
      <w:r>
        <w:rPr>
          <w:rFonts w:ascii="Times New Roman" w:hAnsi="Times New Roman" w:eastAsia="方正仿宋_GBK" w:cs="Times New Roman"/>
          <w:sz w:val="32"/>
          <w:szCs w:val="32"/>
          <w:lang w:val="en-US" w:eastAsia="zh-CN" w:bidi="ar-SA"/>
        </w:rPr>
        <w:t>。</w:t>
      </w:r>
      <w:r>
        <w:rPr>
          <w:rFonts w:ascii="Times New Roman" w:hAnsi="Times New Roman" w:eastAsia="方正仿宋_GBK" w:cs="Times New Roman"/>
          <w:b/>
          <w:bCs/>
          <w:sz w:val="32"/>
          <w:szCs w:val="32"/>
          <w:lang w:val="en-US" w:eastAsia="zh-CN" w:bidi="ar-SA"/>
        </w:rPr>
        <w:t>第二，</w:t>
      </w:r>
      <w:r>
        <w:rPr>
          <w:rFonts w:ascii="Times New Roman" w:hAnsi="Times New Roman" w:eastAsia="方正仿宋_GBK" w:cs="Times New Roman"/>
          <w:sz w:val="32"/>
          <w:szCs w:val="32"/>
          <w:lang w:val="en-US" w:eastAsia="zh-CN" w:bidi="ar-SA"/>
        </w:rPr>
        <w:t>创新民营经济服务模式，助力营商环境优化</w:t>
      </w:r>
      <w:bookmarkEnd w:id="22"/>
      <w:bookmarkEnd w:id="23"/>
      <w:bookmarkEnd w:id="24"/>
      <w:r>
        <w:rPr>
          <w:rFonts w:ascii="Times New Roman" w:hAnsi="Times New Roman" w:eastAsia="方正仿宋_GBK" w:cs="Times New Roman"/>
          <w:sz w:val="32"/>
          <w:szCs w:val="32"/>
          <w:lang w:val="en-US" w:eastAsia="zh-CN" w:bidi="ar-SA"/>
        </w:rPr>
        <w:t>。</w:t>
      </w:r>
      <w:r>
        <w:rPr>
          <w:rFonts w:ascii="Times New Roman" w:hAnsi="Times New Roman" w:eastAsia="方正仿宋_GBK" w:cs="Times New Roman"/>
          <w:b/>
          <w:sz w:val="32"/>
          <w:szCs w:val="32"/>
          <w:lang w:val="en-US" w:eastAsia="zh-CN" w:bidi="ar-SA"/>
        </w:rPr>
        <w:t>第三</w:t>
      </w:r>
      <w:r>
        <w:rPr>
          <w:rFonts w:hint="eastAsia" w:eastAsia="方正仿宋_GBK" w:cs="Times New Roman"/>
          <w:b/>
          <w:sz w:val="32"/>
          <w:szCs w:val="32"/>
          <w:lang w:val="en-US" w:eastAsia="zh-CN" w:bidi="ar-SA"/>
        </w:rPr>
        <w:t>，</w:t>
      </w:r>
      <w:bookmarkStart w:id="25" w:name="_Toc4861"/>
      <w:bookmarkStart w:id="26" w:name="_Toc18129"/>
      <w:bookmarkStart w:id="27" w:name="_Toc14898"/>
      <w:r>
        <w:rPr>
          <w:rFonts w:ascii="Times New Roman" w:hAnsi="Times New Roman" w:eastAsia="方正仿宋_GBK" w:cs="Times New Roman"/>
          <w:sz w:val="32"/>
          <w:szCs w:val="32"/>
          <w:lang w:val="en-US" w:eastAsia="zh-CN" w:bidi="ar-SA"/>
        </w:rPr>
        <w:t>紧密政企沟通互动，推动民企融入公共事业发展</w:t>
      </w:r>
      <w:bookmarkEnd w:id="25"/>
      <w:bookmarkEnd w:id="26"/>
      <w:bookmarkEnd w:id="27"/>
      <w:r>
        <w:rPr>
          <w:rFonts w:ascii="Times New Roman" w:hAnsi="Times New Roman" w:eastAsia="方正仿宋_GBK" w:cs="Times New Roman"/>
          <w:sz w:val="32"/>
          <w:szCs w:val="32"/>
          <w:lang w:val="en-US" w:eastAsia="zh-CN" w:bidi="ar-SA"/>
        </w:rPr>
        <w:t>。</w:t>
      </w:r>
    </w:p>
    <w:p>
      <w:pPr>
        <w:keepNext w:val="0"/>
        <w:keepLines w:val="0"/>
        <w:pageBreakBefore w:val="0"/>
        <w:widowControl w:val="0"/>
        <w:kinsoku/>
        <w:wordWrap/>
        <w:overflowPunct/>
        <w:topLinePunct w:val="0"/>
        <w:bidi w:val="0"/>
        <w:spacing w:before="0" w:beforeLines="0" w:after="0" w:afterLines="0" w:line="600" w:lineRule="exact"/>
        <w:ind w:left="0" w:firstLine="640" w:firstLineChars="200"/>
        <w:textAlignment w:val="auto"/>
        <w:rPr>
          <w:rFonts w:ascii="Times New Roman" w:hAnsi="Times New Roman" w:eastAsia="方正仿宋_GBK" w:cs="Times New Roman"/>
          <w:sz w:val="32"/>
          <w:szCs w:val="32"/>
          <w:lang w:val="en-US" w:eastAsia="zh-CN" w:bidi="ar-SA"/>
        </w:rPr>
      </w:pPr>
      <w:bookmarkStart w:id="28" w:name="_Toc63"/>
      <w:bookmarkStart w:id="29" w:name="_Toc5544"/>
      <w:bookmarkStart w:id="30" w:name="_Toc10520"/>
      <w:r>
        <w:rPr>
          <w:rFonts w:ascii="Times New Roman" w:hAnsi="Times New Roman" w:eastAsia="方正黑体_GBK" w:cs="Times New Roman"/>
          <w:bCs/>
          <w:color w:val="auto"/>
          <w:kern w:val="2"/>
          <w:sz w:val="32"/>
          <w:szCs w:val="32"/>
          <w:lang w:val="en-US" w:eastAsia="zh-CN" w:bidi="ar-SA"/>
        </w:rPr>
        <w:t>存在问题</w:t>
      </w:r>
      <w:bookmarkEnd w:id="28"/>
      <w:bookmarkEnd w:id="29"/>
      <w:bookmarkEnd w:id="30"/>
      <w:r>
        <w:rPr>
          <w:rFonts w:ascii="Times New Roman" w:hAnsi="Times New Roman" w:eastAsia="方正黑体_GBK" w:cs="Times New Roman"/>
          <w:bCs/>
          <w:color w:val="auto"/>
          <w:kern w:val="2"/>
          <w:sz w:val="32"/>
          <w:szCs w:val="32"/>
          <w:lang w:val="en-US" w:eastAsia="zh-CN" w:bidi="ar-SA"/>
        </w:rPr>
        <w:t>：</w:t>
      </w:r>
      <w:bookmarkStart w:id="31" w:name="_Toc28956"/>
      <w:bookmarkStart w:id="32" w:name="_Toc6459"/>
      <w:bookmarkStart w:id="33" w:name="_Toc892"/>
      <w:r>
        <w:rPr>
          <w:rFonts w:ascii="Times New Roman" w:hAnsi="Times New Roman" w:eastAsia="方正仿宋_GBK" w:cs="Times New Roman"/>
          <w:b/>
          <w:bCs/>
          <w:sz w:val="32"/>
          <w:szCs w:val="32"/>
          <w:lang w:val="en-US" w:eastAsia="zh-CN" w:bidi="ar-SA"/>
        </w:rPr>
        <w:t>第一，非税收入未按规上缴，收入管理存在漏洞</w:t>
      </w:r>
      <w:r>
        <w:rPr>
          <w:rFonts w:ascii="Times New Roman" w:hAnsi="Times New Roman" w:eastAsia="方正仿宋_GBK" w:cs="Times New Roman"/>
          <w:sz w:val="32"/>
          <w:szCs w:val="32"/>
          <w:lang w:val="en-US" w:eastAsia="zh-CN" w:bidi="ar-SA"/>
        </w:rPr>
        <w:t>。</w:t>
      </w:r>
      <w:bookmarkEnd w:id="31"/>
      <w:bookmarkEnd w:id="32"/>
      <w:bookmarkEnd w:id="33"/>
      <w:r>
        <w:rPr>
          <w:rFonts w:ascii="Times New Roman" w:hAnsi="Times New Roman" w:eastAsia="方正仿宋_GBK" w:cs="Times New Roman"/>
          <w:sz w:val="32"/>
          <w:szCs w:val="32"/>
          <w:lang w:val="en-US" w:eastAsia="zh-CN" w:bidi="ar-SA"/>
        </w:rPr>
        <w:t>市工商联2023年有利息收入496.78元未作为非税收入上缴，与《政府非税收入管理办法》规定不符。</w:t>
      </w:r>
      <w:r>
        <w:rPr>
          <w:rFonts w:ascii="Times New Roman" w:hAnsi="Times New Roman" w:eastAsia="方正仿宋_GBK" w:cs="Times New Roman"/>
          <w:b/>
          <w:bCs/>
          <w:sz w:val="32"/>
          <w:szCs w:val="32"/>
          <w:lang w:val="en-US" w:eastAsia="zh-CN" w:bidi="ar-SA"/>
        </w:rPr>
        <w:t>第二，合同备案时效性欠缺，政府采购规范性有待提升</w:t>
      </w:r>
      <w:r>
        <w:rPr>
          <w:rFonts w:ascii="Times New Roman" w:hAnsi="Times New Roman" w:eastAsia="方正仿宋_GBK" w:cs="Times New Roman"/>
          <w:sz w:val="32"/>
          <w:szCs w:val="32"/>
          <w:lang w:val="en-US" w:eastAsia="zh-CN" w:bidi="ar-SA"/>
        </w:rPr>
        <w:t>。采购项目未在合同签订之日起2个工作日内完成合同备案。</w:t>
      </w:r>
      <w:r>
        <w:rPr>
          <w:rFonts w:ascii="Times New Roman" w:hAnsi="Times New Roman" w:eastAsia="方正仿宋_GBK" w:cs="Times New Roman"/>
          <w:b/>
          <w:bCs/>
          <w:sz w:val="32"/>
          <w:szCs w:val="32"/>
          <w:lang w:val="en-US" w:eastAsia="zh-CN" w:bidi="ar-SA"/>
        </w:rPr>
        <w:t>第三</w:t>
      </w:r>
      <w:bookmarkStart w:id="34" w:name="_Toc23822"/>
      <w:bookmarkStart w:id="35" w:name="_Toc28476"/>
      <w:bookmarkStart w:id="36" w:name="_Toc24629"/>
      <w:r>
        <w:rPr>
          <w:rFonts w:ascii="Times New Roman" w:hAnsi="Times New Roman" w:eastAsia="方正仿宋_GBK" w:cs="Times New Roman"/>
          <w:b/>
          <w:bCs/>
          <w:sz w:val="32"/>
          <w:szCs w:val="32"/>
          <w:lang w:val="en-US" w:eastAsia="zh-CN" w:bidi="ar-SA"/>
        </w:rPr>
        <w:t>，基层商会党建宣传力度不够，非公党建短板有待补齐</w:t>
      </w:r>
      <w:bookmarkEnd w:id="34"/>
      <w:bookmarkEnd w:id="35"/>
      <w:bookmarkEnd w:id="36"/>
      <w:r>
        <w:rPr>
          <w:rFonts w:ascii="Times New Roman" w:hAnsi="Times New Roman" w:eastAsia="方正仿宋_GBK" w:cs="Times New Roman"/>
          <w:sz w:val="32"/>
          <w:szCs w:val="32"/>
          <w:lang w:val="en-US" w:eastAsia="zh-CN" w:bidi="ar-SA"/>
        </w:rPr>
        <w:t>。受经费资源约束等因素影响，市工商联在打造民营经济领域党建工作成效方面主要依托自身发展较为成熟、组织建设资源较为充实的非公经济党委，对规模较小的基层商会党建工作关注度和培育力度有待加强，部分基层商会党组织党建宣传力度不够。</w:t>
      </w:r>
      <w:r>
        <w:rPr>
          <w:rFonts w:ascii="Times New Roman" w:hAnsi="Times New Roman" w:eastAsia="方正仿宋_GBK" w:cs="Times New Roman"/>
          <w:b/>
          <w:bCs/>
          <w:sz w:val="32"/>
          <w:szCs w:val="32"/>
          <w:lang w:val="en-US" w:eastAsia="zh-CN" w:bidi="ar-SA"/>
        </w:rPr>
        <w:t>第四</w:t>
      </w:r>
      <w:bookmarkStart w:id="37" w:name="_Toc15402"/>
      <w:bookmarkStart w:id="38" w:name="_Toc21896"/>
      <w:bookmarkStart w:id="39" w:name="_Toc4896"/>
      <w:r>
        <w:rPr>
          <w:rFonts w:ascii="Times New Roman" w:hAnsi="Times New Roman" w:eastAsia="方正仿宋_GBK" w:cs="Times New Roman"/>
          <w:b/>
          <w:bCs/>
          <w:sz w:val="32"/>
          <w:szCs w:val="32"/>
          <w:lang w:val="en-US" w:eastAsia="zh-CN" w:bidi="ar-SA"/>
        </w:rPr>
        <w:t>，绩效管理制度建设薄弱，全过程闭环管理尚未落实</w:t>
      </w:r>
      <w:bookmarkEnd w:id="37"/>
      <w:bookmarkEnd w:id="38"/>
      <w:bookmarkEnd w:id="39"/>
      <w:r>
        <w:rPr>
          <w:rFonts w:ascii="Times New Roman" w:hAnsi="Times New Roman" w:eastAsia="方正仿宋_GBK" w:cs="Times New Roman"/>
          <w:sz w:val="32"/>
          <w:szCs w:val="32"/>
          <w:lang w:val="en-US" w:eastAsia="zh-CN" w:bidi="ar-SA"/>
        </w:rPr>
        <w:t>。</w:t>
      </w:r>
      <w:r>
        <w:rPr>
          <w:rFonts w:ascii="Times New Roman" w:hAnsi="Times New Roman" w:eastAsia="方正仿宋_GBK" w:cs="Times New Roman"/>
          <w:b/>
          <w:bCs/>
          <w:sz w:val="32"/>
          <w:szCs w:val="32"/>
          <w:lang w:val="en-US" w:eastAsia="zh-CN" w:bidi="ar-SA"/>
        </w:rPr>
        <w:t>一是</w:t>
      </w:r>
      <w:r>
        <w:rPr>
          <w:rFonts w:ascii="Times New Roman" w:hAnsi="Times New Roman" w:eastAsia="方正仿宋_GBK" w:cs="Times New Roman"/>
          <w:sz w:val="32"/>
          <w:szCs w:val="32"/>
          <w:lang w:val="en-US" w:eastAsia="zh-CN" w:bidi="ar-SA"/>
        </w:rPr>
        <w:t>预算绩效管理制度未建立。尚未制定专门的预算绩效管理制度或在部门预算业务管理制度中明确预算绩效管理全流程环节的主体责任和实施规范。</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sz w:val="32"/>
          <w:szCs w:val="32"/>
          <w:lang w:val="en-US" w:eastAsia="zh-CN" w:bidi="ar-SA"/>
        </w:rPr>
        <w:t>绩效指标设置全面性、可衡量性、准确性和关键性有待提升。</w:t>
      </w:r>
      <w:r>
        <w:rPr>
          <w:rFonts w:ascii="Times New Roman" w:hAnsi="Times New Roman" w:eastAsia="方正仿宋_GBK" w:cs="Times New Roman"/>
          <w:b/>
          <w:bCs/>
          <w:sz w:val="32"/>
          <w:szCs w:val="32"/>
          <w:lang w:val="en-US" w:eastAsia="zh-CN" w:bidi="ar-SA"/>
        </w:rPr>
        <w:t>三是</w:t>
      </w:r>
      <w:r>
        <w:rPr>
          <w:rFonts w:ascii="Times New Roman" w:hAnsi="Times New Roman" w:eastAsia="方正仿宋_GBK" w:cs="Times New Roman"/>
          <w:sz w:val="32"/>
          <w:szCs w:val="32"/>
          <w:lang w:val="en-US" w:eastAsia="zh-CN" w:bidi="ar-SA"/>
        </w:rPr>
        <w:t>绩效运行监控环节缺失，未建立绩效目标和预算执行事中监控机制。</w:t>
      </w:r>
      <w:r>
        <w:rPr>
          <w:rFonts w:ascii="Times New Roman" w:hAnsi="Times New Roman" w:eastAsia="方正仿宋_GBK" w:cs="Times New Roman"/>
          <w:b/>
          <w:bCs/>
          <w:sz w:val="32"/>
          <w:szCs w:val="32"/>
          <w:lang w:val="en-US" w:eastAsia="zh-CN" w:bidi="ar-SA"/>
        </w:rPr>
        <w:t>四是</w:t>
      </w:r>
      <w:r>
        <w:rPr>
          <w:rFonts w:ascii="Times New Roman" w:hAnsi="Times New Roman" w:eastAsia="方正仿宋_GBK" w:cs="Times New Roman"/>
          <w:sz w:val="32"/>
          <w:szCs w:val="32"/>
          <w:lang w:val="en-US" w:eastAsia="zh-CN" w:bidi="ar-SA"/>
        </w:rPr>
        <w:t>绩效自评工作质量欠佳。效益指标完成情况未能详述得失分原因，佐证材料缺乏针对性。</w:t>
      </w:r>
      <w:r>
        <w:rPr>
          <w:rFonts w:hint="eastAsia" w:eastAsia="方正仿宋_GBK" w:cs="Times New Roman"/>
          <w:sz w:val="32"/>
          <w:szCs w:val="32"/>
          <w:lang w:val="en-US" w:eastAsia="zh-CN" w:bidi="ar-SA"/>
        </w:rPr>
        <w:t>此外，</w:t>
      </w:r>
      <w:r>
        <w:rPr>
          <w:rFonts w:ascii="Times New Roman" w:hAnsi="Times New Roman" w:eastAsia="方正仿宋_GBK" w:cs="Times New Roman"/>
          <w:sz w:val="32"/>
          <w:szCs w:val="32"/>
          <w:lang w:val="en-US" w:eastAsia="zh-CN" w:bidi="ar-SA"/>
        </w:rPr>
        <w:t>满意度指标未见佐证材料</w:t>
      </w:r>
      <w:r>
        <w:rPr>
          <w:rFonts w:hint="eastAsia" w:eastAsia="方正仿宋_GBK" w:cs="Times New Roman"/>
          <w:sz w:val="32"/>
          <w:szCs w:val="32"/>
          <w:lang w:val="en-US" w:eastAsia="zh-CN" w:bidi="ar-SA"/>
        </w:rPr>
        <w:t>，</w:t>
      </w:r>
      <w:r>
        <w:rPr>
          <w:rFonts w:ascii="Times New Roman" w:hAnsi="Times New Roman" w:eastAsia="方正仿宋_GBK" w:cs="Times New Roman"/>
          <w:sz w:val="32"/>
          <w:szCs w:val="32"/>
          <w:lang w:val="en-US" w:eastAsia="zh-CN" w:bidi="ar-SA"/>
        </w:rPr>
        <w:t>绩效自评报告未按规定时限公开。</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32"/>
          <w:lang w:val="en-US" w:eastAsia="zh-CN" w:bidi="ar-SA"/>
        </w:rPr>
      </w:pPr>
      <w:bookmarkStart w:id="40" w:name="_Toc32742"/>
      <w:bookmarkStart w:id="41" w:name="_Toc26284"/>
      <w:bookmarkStart w:id="42" w:name="_Toc23118"/>
      <w:r>
        <w:rPr>
          <w:rFonts w:ascii="Times New Roman" w:hAnsi="Times New Roman" w:eastAsia="方正黑体_GBK" w:cs="Times New Roman"/>
          <w:bCs/>
          <w:color w:val="auto"/>
          <w:kern w:val="2"/>
          <w:sz w:val="32"/>
          <w:szCs w:val="32"/>
          <w:lang w:val="en-US" w:eastAsia="zh-CN" w:bidi="ar-SA"/>
        </w:rPr>
        <w:t>改进建议</w:t>
      </w:r>
      <w:bookmarkEnd w:id="40"/>
      <w:bookmarkEnd w:id="41"/>
      <w:bookmarkEnd w:id="42"/>
      <w:r>
        <w:rPr>
          <w:rFonts w:ascii="Times New Roman" w:hAnsi="Times New Roman" w:eastAsia="方正黑体_GBK" w:cs="Times New Roman"/>
          <w:bCs/>
          <w:color w:val="auto"/>
          <w:kern w:val="2"/>
          <w:sz w:val="32"/>
          <w:szCs w:val="32"/>
          <w:lang w:val="en-US" w:eastAsia="zh-CN" w:bidi="ar-SA"/>
        </w:rPr>
        <w:t>：</w:t>
      </w:r>
      <w:r>
        <w:rPr>
          <w:rFonts w:ascii="Times New Roman" w:hAnsi="Times New Roman" w:eastAsia="方正仿宋_GBK" w:cs="Times New Roman"/>
          <w:b/>
          <w:bCs/>
          <w:sz w:val="32"/>
          <w:szCs w:val="32"/>
          <w:lang w:val="en-US" w:eastAsia="zh-CN" w:bidi="ar-SA"/>
        </w:rPr>
        <w:t>第一，</w:t>
      </w:r>
      <w:r>
        <w:rPr>
          <w:rFonts w:ascii="Times New Roman" w:hAnsi="Times New Roman" w:eastAsia="方正仿宋_GBK" w:cs="Times New Roman"/>
          <w:b/>
          <w:bCs/>
          <w:sz w:val="32"/>
          <w:szCs w:val="32"/>
          <w:lang w:bidi="ar-SA"/>
        </w:rPr>
        <w:t>及时上缴非税收入，确保收入管理严谨性</w:t>
      </w:r>
      <w:r>
        <w:rPr>
          <w:rFonts w:ascii="Times New Roman" w:hAnsi="Times New Roman" w:eastAsia="方正仿宋_GBK" w:cs="Times New Roman"/>
          <w:sz w:val="32"/>
          <w:szCs w:val="32"/>
          <w:lang w:eastAsia="zh-CN" w:bidi="ar-SA"/>
        </w:rPr>
        <w:t>。</w:t>
      </w:r>
      <w:r>
        <w:rPr>
          <w:rFonts w:ascii="Times New Roman" w:hAnsi="Times New Roman" w:eastAsia="方正仿宋_GBK" w:cs="Times New Roman"/>
          <w:sz w:val="32"/>
          <w:szCs w:val="32"/>
          <w:lang w:val="en-US" w:eastAsia="zh-CN" w:bidi="ar-SA"/>
        </w:rPr>
        <w:t>加强财务收支管理把控，及时清算、上缴部门非税收入，落实国库集中支付改革。</w:t>
      </w:r>
      <w:r>
        <w:rPr>
          <w:rFonts w:ascii="Times New Roman" w:hAnsi="Times New Roman" w:eastAsia="方正仿宋_GBK" w:cs="Times New Roman"/>
          <w:b/>
          <w:bCs/>
          <w:sz w:val="32"/>
          <w:szCs w:val="32"/>
          <w:lang w:val="en-US" w:eastAsia="zh-CN" w:bidi="ar-SA"/>
        </w:rPr>
        <w:t>第二，落实合同备案要求，提高政府采购合规性</w:t>
      </w:r>
      <w:r>
        <w:rPr>
          <w:rFonts w:ascii="Times New Roman" w:hAnsi="Times New Roman" w:eastAsia="方正仿宋_GBK" w:cs="Times New Roman"/>
          <w:sz w:val="32"/>
          <w:szCs w:val="32"/>
          <w:lang w:val="en-US" w:eastAsia="zh-CN" w:bidi="ar-SA"/>
        </w:rPr>
        <w:t>。部门还应加强对政府采购管理法律法规的学习和掌握，确保政府采购信息公开、合同备案及时。</w:t>
      </w:r>
      <w:r>
        <w:rPr>
          <w:rFonts w:ascii="Times New Roman" w:hAnsi="Times New Roman" w:eastAsia="方正仿宋_GBK" w:cs="Times New Roman"/>
          <w:b/>
          <w:bCs/>
          <w:sz w:val="32"/>
          <w:szCs w:val="32"/>
          <w:lang w:val="en-US" w:eastAsia="zh-CN" w:bidi="ar-SA"/>
        </w:rPr>
        <w:t>第三</w:t>
      </w:r>
      <w:bookmarkStart w:id="43" w:name="_Toc17845"/>
      <w:bookmarkStart w:id="44" w:name="_Toc9994"/>
      <w:bookmarkStart w:id="45" w:name="_Toc12708"/>
      <w:r>
        <w:rPr>
          <w:rFonts w:ascii="Times New Roman" w:hAnsi="Times New Roman" w:eastAsia="方正仿宋_GBK" w:cs="Times New Roman"/>
          <w:b/>
          <w:bCs/>
          <w:sz w:val="32"/>
          <w:szCs w:val="32"/>
          <w:lang w:val="en-US" w:eastAsia="zh-CN" w:bidi="ar-SA"/>
        </w:rPr>
        <w:t>，加大商会党建工作指导力度，巩固非公经济思想阵地</w:t>
      </w:r>
      <w:bookmarkEnd w:id="43"/>
      <w:bookmarkEnd w:id="44"/>
      <w:bookmarkEnd w:id="45"/>
      <w:r>
        <w:rPr>
          <w:rFonts w:ascii="Times New Roman" w:hAnsi="Times New Roman" w:eastAsia="方正仿宋_GBK" w:cs="Times New Roman"/>
          <w:sz w:val="32"/>
          <w:szCs w:val="32"/>
          <w:lang w:val="en-US" w:eastAsia="zh-CN" w:bidi="ar-SA"/>
        </w:rPr>
        <w:t>。市工商联应进一步深化民营经济领域党建工作，从加强组织建设引导、强化教育培训、创新活动方式等角度共同发力，提升基层商会组织建设和党建工作水平。</w:t>
      </w:r>
      <w:r>
        <w:rPr>
          <w:rFonts w:ascii="Times New Roman" w:hAnsi="Times New Roman" w:eastAsia="方正仿宋_GBK" w:cs="Times New Roman"/>
          <w:b/>
          <w:bCs/>
          <w:sz w:val="32"/>
          <w:szCs w:val="32"/>
          <w:lang w:val="en-US" w:eastAsia="zh-CN" w:bidi="ar-SA"/>
        </w:rPr>
        <w:t>第四</w:t>
      </w:r>
      <w:bookmarkStart w:id="46" w:name="_Toc22205"/>
      <w:bookmarkStart w:id="47" w:name="_Toc24380"/>
      <w:bookmarkStart w:id="48" w:name="_Toc26341"/>
      <w:r>
        <w:rPr>
          <w:rFonts w:ascii="Times New Roman" w:hAnsi="Times New Roman" w:eastAsia="方正仿宋_GBK" w:cs="Times New Roman"/>
          <w:b/>
          <w:bCs/>
          <w:sz w:val="32"/>
          <w:szCs w:val="32"/>
          <w:lang w:val="en-US" w:eastAsia="zh-CN" w:bidi="ar-SA"/>
        </w:rPr>
        <w:t>，健全预算绩效管理制度，深化绩效管理制度执行</w:t>
      </w:r>
      <w:bookmarkEnd w:id="46"/>
      <w:bookmarkEnd w:id="47"/>
      <w:bookmarkEnd w:id="48"/>
      <w:r>
        <w:rPr>
          <w:rFonts w:ascii="Times New Roman" w:hAnsi="Times New Roman" w:eastAsia="方正仿宋_GBK" w:cs="Times New Roman"/>
          <w:sz w:val="32"/>
          <w:szCs w:val="32"/>
          <w:lang w:val="en-US" w:eastAsia="zh-CN" w:bidi="ar-SA"/>
        </w:rPr>
        <w:t>。</w:t>
      </w:r>
      <w:r>
        <w:rPr>
          <w:rFonts w:ascii="Times New Roman" w:hAnsi="Times New Roman" w:eastAsia="方正仿宋_GBK" w:cs="Times New Roman"/>
          <w:b/>
          <w:bCs/>
          <w:sz w:val="32"/>
          <w:szCs w:val="32"/>
          <w:lang w:val="en-US" w:eastAsia="zh-CN" w:bidi="ar-SA"/>
        </w:rPr>
        <w:t>一是</w:t>
      </w:r>
      <w:r>
        <w:rPr>
          <w:rFonts w:ascii="Times New Roman" w:hAnsi="Times New Roman" w:eastAsia="方正仿宋_GBK" w:cs="Times New Roman"/>
          <w:sz w:val="32"/>
          <w:szCs w:val="32"/>
          <w:lang w:val="en-US" w:eastAsia="zh-CN" w:bidi="ar-SA"/>
        </w:rPr>
        <w:t>健全预算绩效管理制度体系。逐步建立涵盖事前绩效评估、事中绩效运行监控、事后绩效评价、成果应用等各环节的全过程预算绩效管理闭环。</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sz w:val="32"/>
          <w:szCs w:val="32"/>
          <w:lang w:val="en-US" w:eastAsia="zh-CN" w:bidi="ar-SA"/>
        </w:rPr>
        <w:t>科学构建部门整体核心指标体系。部门应高度重视、积极参与已于2024年启动的部门核心指标体系建设工作，与财政部门协同推进预算绩效目标管理提质增效。在梳理部门职能、明确部门中长期规划和年度工作计划的基础上，确定总体目标，并结合部门各项具体工作任务预计要达到的产出和效果，从中概括、提炼出最能反映工作任务预期实现程度的关键性指标，充分考虑指标的可衡量性、全面性、可达性等维度，并科学设定指标值。</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四、</w:t>
      </w:r>
      <w:bookmarkEnd w:id="13"/>
      <w:bookmarkEnd w:id="14"/>
      <w:bookmarkEnd w:id="15"/>
      <w:r>
        <w:rPr>
          <w:rFonts w:ascii="Times New Roman" w:hAnsi="Times New Roman" w:eastAsia="方正黑体_GBK" w:cs="Times New Roman"/>
          <w:bCs/>
          <w:color w:val="auto"/>
          <w:kern w:val="2"/>
          <w:sz w:val="32"/>
          <w:szCs w:val="32"/>
          <w:lang w:val="en-US" w:eastAsia="zh-CN" w:bidi="ar-SA"/>
        </w:rPr>
        <w:t>惠州市市场监督管理局2023年度部门整体支出</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ascii="Times New Roman" w:hAnsi="Times New Roman" w:eastAsia="方正仿宋_GBK" w:cs="Times New Roman"/>
          <w:color w:val="auto"/>
          <w:sz w:val="32"/>
          <w:szCs w:val="32"/>
          <w:highlight w:val="none"/>
          <w:lang w:bidi="ar-SA"/>
        </w:rPr>
      </w:pPr>
      <w:bookmarkStart w:id="49" w:name="_Toc13761"/>
      <w:bookmarkStart w:id="50" w:name="_Toc27315"/>
      <w:bookmarkStart w:id="51" w:name="_Toc4770"/>
      <w:r>
        <w:rPr>
          <w:rFonts w:ascii="Times New Roman" w:hAnsi="Times New Roman" w:eastAsia="方正仿宋_GBK" w:cs="Times New Roman"/>
          <w:color w:val="auto"/>
          <w:sz w:val="32"/>
          <w:szCs w:val="32"/>
          <w:highlight w:val="none"/>
          <w:lang w:bidi="ar-SA"/>
        </w:rPr>
        <w:t>为加强财政支出管理，提高财政资金的使用效益，惠州市财政局（以下简称“市财政局”）委托广东惠正资产评估与房地产土地估价有限公司（以下简称“惠正公司”）对</w:t>
      </w:r>
      <w:r>
        <w:rPr>
          <w:rFonts w:ascii="Times New Roman" w:hAnsi="Times New Roman" w:eastAsia="方正仿宋_GBK" w:cs="Times New Roman"/>
          <w:color w:val="auto"/>
          <w:sz w:val="32"/>
          <w:szCs w:val="32"/>
          <w:highlight w:val="none"/>
          <w:lang w:eastAsia="zh-CN" w:bidi="ar-SA"/>
        </w:rPr>
        <w:t>惠州市市场监督管理局</w:t>
      </w:r>
      <w:r>
        <w:rPr>
          <w:rFonts w:ascii="Times New Roman" w:hAnsi="Times New Roman" w:eastAsia="方正仿宋_GBK" w:cs="Times New Roman"/>
          <w:color w:val="auto"/>
          <w:sz w:val="32"/>
          <w:szCs w:val="32"/>
          <w:highlight w:val="none"/>
          <w:lang w:bidi="ar-SA"/>
        </w:rPr>
        <w:t>（以下简称“</w:t>
      </w:r>
      <w:r>
        <w:rPr>
          <w:rFonts w:ascii="Times New Roman" w:hAnsi="Times New Roman" w:eastAsia="方正仿宋_GBK" w:cs="Times New Roman"/>
          <w:color w:val="auto"/>
          <w:sz w:val="32"/>
          <w:szCs w:val="32"/>
          <w:highlight w:val="none"/>
          <w:lang w:val="en-US" w:eastAsia="zh-CN" w:bidi="ar-SA"/>
        </w:rPr>
        <w:t>市市监局</w:t>
      </w:r>
      <w:r>
        <w:rPr>
          <w:rFonts w:ascii="Times New Roman" w:hAnsi="Times New Roman" w:eastAsia="方正仿宋_GBK" w:cs="Times New Roman"/>
          <w:color w:val="auto"/>
          <w:sz w:val="32"/>
          <w:szCs w:val="32"/>
          <w:highlight w:val="none"/>
          <w:lang w:bidi="ar-SA"/>
        </w:rPr>
        <w:t>”）</w:t>
      </w:r>
      <w:r>
        <w:rPr>
          <w:rFonts w:ascii="Times New Roman" w:hAnsi="Times New Roman" w:eastAsia="方正仿宋_GBK" w:cs="Times New Roman"/>
          <w:color w:val="auto"/>
          <w:sz w:val="32"/>
          <w:szCs w:val="32"/>
          <w:highlight w:val="none"/>
          <w:lang w:val="en-US" w:eastAsia="zh-CN" w:bidi="ar-SA"/>
        </w:rPr>
        <w:t>2023年</w:t>
      </w:r>
      <w:r>
        <w:rPr>
          <w:rFonts w:ascii="Times New Roman" w:hAnsi="Times New Roman" w:eastAsia="方正仿宋_GBK" w:cs="Times New Roman"/>
          <w:color w:val="auto"/>
          <w:sz w:val="32"/>
          <w:szCs w:val="32"/>
          <w:highlight w:val="none"/>
          <w:lang w:eastAsia="zh-CN" w:bidi="ar-SA"/>
        </w:rPr>
        <w:t>度</w:t>
      </w:r>
      <w:r>
        <w:rPr>
          <w:rFonts w:ascii="Times New Roman" w:hAnsi="Times New Roman" w:eastAsia="方正仿宋_GBK" w:cs="Times New Roman"/>
          <w:color w:val="auto"/>
          <w:sz w:val="32"/>
          <w:szCs w:val="32"/>
          <w:highlight w:val="none"/>
          <w:lang w:bidi="ar-SA"/>
        </w:rPr>
        <w:t>部门整体支出情况实施绩效评价。</w:t>
      </w:r>
      <w:r>
        <w:rPr>
          <w:rFonts w:ascii="Times New Roman" w:hAnsi="Times New Roman" w:eastAsia="方正仿宋_GBK" w:cs="Times New Roman"/>
          <w:color w:val="auto"/>
          <w:sz w:val="32"/>
          <w:szCs w:val="32"/>
          <w:highlight w:val="none"/>
          <w:lang w:val="en-US" w:eastAsia="zh-CN" w:bidi="ar-SA"/>
        </w:rPr>
        <w:t>2023年市市监局（含直属单位）财政拨款收入为149,103,037.68元，年初财政拨款结转和结余为25,000,000.00元，财政拨款支出为148,807,523.03元，年末财政拨款结转和结余为25,295,514.65元，支出率为99.80%。</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ascii="Times New Roman" w:hAnsi="Times New Roman" w:eastAsia="方正仿宋_GBK" w:cs="Times New Roman"/>
          <w:color w:val="auto"/>
          <w:sz w:val="32"/>
          <w:szCs w:val="32"/>
          <w:highlight w:val="none"/>
          <w:lang w:bidi="ar-SA"/>
        </w:rPr>
      </w:pPr>
      <w:r>
        <w:rPr>
          <w:rFonts w:ascii="Times New Roman" w:hAnsi="Times New Roman" w:eastAsia="方正仿宋_GBK" w:cs="Times New Roman"/>
          <w:color w:val="auto"/>
          <w:sz w:val="32"/>
          <w:szCs w:val="32"/>
          <w:highlight w:val="none"/>
          <w:lang w:bidi="ar-SA"/>
        </w:rPr>
        <w:t>经过</w:t>
      </w:r>
      <w:r>
        <w:rPr>
          <w:rFonts w:ascii="Times New Roman" w:hAnsi="Times New Roman" w:eastAsia="方正仿宋_GBK" w:cs="Times New Roman"/>
          <w:color w:val="auto"/>
          <w:sz w:val="32"/>
          <w:szCs w:val="32"/>
          <w:highlight w:val="none"/>
          <w:lang w:val="en-US" w:eastAsia="zh-CN" w:bidi="ar-SA"/>
        </w:rPr>
        <w:t>资料收集报送、书面评审、现场评价等流程</w:t>
      </w:r>
      <w:r>
        <w:rPr>
          <w:rFonts w:ascii="Times New Roman" w:hAnsi="Times New Roman" w:eastAsia="方正仿宋_GBK" w:cs="Times New Roman"/>
          <w:color w:val="auto"/>
          <w:sz w:val="32"/>
          <w:szCs w:val="32"/>
          <w:highlight w:val="none"/>
          <w:lang w:bidi="ar-SA"/>
        </w:rPr>
        <w:t>，经评定，</w:t>
      </w:r>
      <w:r>
        <w:rPr>
          <w:rFonts w:ascii="Times New Roman" w:hAnsi="Times New Roman" w:eastAsia="方正仿宋_GBK" w:cs="Times New Roman"/>
          <w:color w:val="auto"/>
          <w:sz w:val="32"/>
          <w:szCs w:val="32"/>
          <w:highlight w:val="none"/>
          <w:lang w:val="en-US" w:eastAsia="zh-CN" w:bidi="ar-SA"/>
        </w:rPr>
        <w:t>市市监局2023年</w:t>
      </w:r>
      <w:r>
        <w:rPr>
          <w:rFonts w:ascii="Times New Roman" w:hAnsi="Times New Roman" w:eastAsia="方正仿宋_GBK" w:cs="Times New Roman"/>
          <w:color w:val="auto"/>
          <w:sz w:val="32"/>
          <w:szCs w:val="32"/>
          <w:highlight w:val="none"/>
          <w:lang w:eastAsia="zh-CN" w:bidi="ar-SA"/>
        </w:rPr>
        <w:t>度</w:t>
      </w:r>
      <w:r>
        <w:rPr>
          <w:rFonts w:ascii="Times New Roman" w:hAnsi="Times New Roman" w:eastAsia="方正仿宋_GBK" w:cs="Times New Roman"/>
          <w:color w:val="auto"/>
          <w:sz w:val="32"/>
          <w:szCs w:val="32"/>
          <w:highlight w:val="none"/>
          <w:lang w:bidi="ar-SA"/>
        </w:rPr>
        <w:t>部门整体支出绩效评价得分：</w:t>
      </w:r>
      <w:r>
        <w:rPr>
          <w:rFonts w:ascii="Times New Roman" w:hAnsi="Times New Roman" w:eastAsia="方正仿宋_GBK" w:cs="Times New Roman"/>
          <w:b/>
          <w:bCs/>
          <w:color w:val="auto"/>
          <w:sz w:val="32"/>
          <w:szCs w:val="32"/>
          <w:highlight w:val="none"/>
          <w:lang w:val="en-US" w:eastAsia="zh-CN" w:bidi="ar-SA"/>
        </w:rPr>
        <w:t>81.27</w:t>
      </w:r>
      <w:r>
        <w:rPr>
          <w:rFonts w:ascii="Times New Roman" w:hAnsi="Times New Roman" w:eastAsia="方正仿宋_GBK" w:cs="Times New Roman"/>
          <w:b/>
          <w:bCs/>
          <w:color w:val="auto"/>
          <w:sz w:val="32"/>
          <w:szCs w:val="32"/>
          <w:highlight w:val="none"/>
          <w:lang w:bidi="ar-SA"/>
        </w:rPr>
        <w:t>分</w:t>
      </w:r>
      <w:r>
        <w:rPr>
          <w:rFonts w:ascii="Times New Roman" w:hAnsi="Times New Roman" w:eastAsia="方正仿宋_GBK" w:cs="Times New Roman"/>
          <w:color w:val="auto"/>
          <w:sz w:val="32"/>
          <w:szCs w:val="32"/>
          <w:highlight w:val="none"/>
          <w:lang w:bidi="ar-SA"/>
        </w:rPr>
        <w:t>，评定等级为</w:t>
      </w:r>
      <w:r>
        <w:rPr>
          <w:rFonts w:ascii="Times New Roman" w:hAnsi="Times New Roman" w:eastAsia="方正仿宋_GBK" w:cs="Times New Roman"/>
          <w:color w:val="auto"/>
          <w:sz w:val="32"/>
          <w:szCs w:val="32"/>
          <w:highlight w:val="none"/>
          <w:lang w:eastAsia="zh-CN" w:bidi="ar-SA"/>
        </w:rPr>
        <w:t>“</w:t>
      </w:r>
      <w:r>
        <w:rPr>
          <w:rFonts w:ascii="Times New Roman" w:hAnsi="Times New Roman" w:eastAsia="方正仿宋_GBK" w:cs="Times New Roman"/>
          <w:b/>
          <w:bCs/>
          <w:color w:val="auto"/>
          <w:sz w:val="32"/>
          <w:szCs w:val="32"/>
          <w:highlight w:val="none"/>
          <w:lang w:val="en-US" w:eastAsia="zh-CN" w:bidi="ar-SA"/>
        </w:rPr>
        <w:t>良</w:t>
      </w:r>
      <w:r>
        <w:rPr>
          <w:rFonts w:ascii="Times New Roman" w:hAnsi="Times New Roman" w:eastAsia="方正仿宋_GBK" w:cs="Times New Roman"/>
          <w:color w:val="auto"/>
          <w:sz w:val="32"/>
          <w:szCs w:val="32"/>
          <w:highlight w:val="none"/>
          <w:lang w:val="en-US" w:eastAsia="zh-CN" w:bidi="ar-SA"/>
        </w:rPr>
        <w:t>”</w:t>
      </w:r>
      <w:r>
        <w:rPr>
          <w:rFonts w:ascii="Times New Roman" w:hAnsi="Times New Roman" w:eastAsia="方正仿宋_GBK" w:cs="Times New Roman"/>
          <w:color w:val="auto"/>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rFonts w:ascii="Times New Roman" w:hAnsi="Times New Roman" w:eastAsia="方正仿宋_GBK" w:cs="Times New Roman"/>
          <w:color w:val="auto"/>
          <w:sz w:val="32"/>
          <w:szCs w:val="32"/>
          <w:highlight w:val="none"/>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color w:val="auto"/>
          <w:sz w:val="32"/>
          <w:szCs w:val="32"/>
          <w:highlight w:val="none"/>
          <w:lang w:val="en-US" w:eastAsia="zh-CN" w:bidi="ar-SA"/>
        </w:rPr>
        <w:t>第一，</w:t>
      </w:r>
      <w:r>
        <w:rPr>
          <w:rFonts w:ascii="Times New Roman" w:hAnsi="Times New Roman" w:eastAsia="方正仿宋_GBK" w:cs="Times New Roman"/>
          <w:color w:val="auto"/>
          <w:sz w:val="32"/>
          <w:szCs w:val="32"/>
          <w:highlight w:val="none"/>
          <w:lang w:val="en-US" w:eastAsia="zh-CN" w:bidi="ar-SA"/>
        </w:rPr>
        <w:t>强化执法监督，维护良好市场秩序</w:t>
      </w:r>
      <w:r>
        <w:rPr>
          <w:rFonts w:ascii="Times New Roman" w:hAnsi="Times New Roman" w:eastAsia="方正仿宋_GBK" w:cs="Times New Roman"/>
          <w:color w:val="auto"/>
          <w:sz w:val="32"/>
          <w:szCs w:val="32"/>
          <w:highlight w:val="none"/>
          <w:lang w:eastAsia="zh-CN" w:bidi="ar-SA"/>
        </w:rPr>
        <w:t>。</w:t>
      </w:r>
      <w:r>
        <w:rPr>
          <w:rFonts w:ascii="Times New Roman" w:hAnsi="Times New Roman" w:eastAsia="方正仿宋_GBK" w:cs="Times New Roman"/>
          <w:b/>
          <w:bCs/>
          <w:color w:val="auto"/>
          <w:sz w:val="32"/>
          <w:szCs w:val="32"/>
          <w:highlight w:val="none"/>
          <w:lang w:val="en-US" w:eastAsia="zh-CN" w:bidi="ar-SA"/>
        </w:rPr>
        <w:t>第二，</w:t>
      </w:r>
      <w:r>
        <w:rPr>
          <w:rFonts w:ascii="Times New Roman" w:hAnsi="Times New Roman" w:eastAsia="方正仿宋_GBK" w:cs="Times New Roman"/>
          <w:color w:val="auto"/>
          <w:kern w:val="2"/>
          <w:sz w:val="32"/>
          <w:szCs w:val="32"/>
          <w:highlight w:val="none"/>
          <w:lang w:val="en-US" w:eastAsia="zh-CN" w:bidi="ar-SA"/>
        </w:rPr>
        <w:t>深化商事制度改革，提升政务服务质量和便利化水平</w:t>
      </w:r>
      <w:r>
        <w:rPr>
          <w:rFonts w:ascii="Times New Roman" w:hAnsi="Times New Roman" w:eastAsia="方正仿宋_GBK" w:cs="Times New Roman"/>
          <w:color w:val="auto"/>
          <w:sz w:val="32"/>
          <w:szCs w:val="32"/>
          <w:highlight w:val="none"/>
          <w:lang w:val="en-US" w:eastAsia="zh-CN" w:bidi="ar-SA"/>
        </w:rPr>
        <w:t>。</w:t>
      </w:r>
      <w:r>
        <w:rPr>
          <w:rFonts w:ascii="Times New Roman" w:hAnsi="Times New Roman" w:eastAsia="方正仿宋_GBK" w:cs="Times New Roman"/>
          <w:b/>
          <w:bCs/>
          <w:color w:val="auto"/>
          <w:sz w:val="32"/>
          <w:szCs w:val="32"/>
          <w:highlight w:val="none"/>
          <w:lang w:val="en-US" w:eastAsia="zh-CN" w:bidi="ar-SA"/>
        </w:rPr>
        <w:t>第三，</w:t>
      </w:r>
      <w:r>
        <w:rPr>
          <w:rFonts w:ascii="Times New Roman" w:hAnsi="Times New Roman" w:eastAsia="方正仿宋_GBK" w:cs="Times New Roman"/>
          <w:color w:val="auto"/>
          <w:sz w:val="32"/>
          <w:szCs w:val="32"/>
          <w:highlight w:val="none"/>
          <w:lang w:val="en-US" w:eastAsia="zh-CN" w:bidi="ar-SA"/>
        </w:rPr>
        <w:t>助推知识产权事业发展，提升企业市场竞争力。</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outlineLvl w:val="2"/>
        <w:rPr>
          <w:rFonts w:ascii="Times New Roman" w:hAnsi="Times New Roman" w:eastAsia="方正仿宋_GBK" w:cs="Times New Roman"/>
          <w:color w:val="auto"/>
          <w:sz w:val="32"/>
          <w:szCs w:val="32"/>
          <w:highlight w:val="none"/>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sz w:val="32"/>
          <w:szCs w:val="32"/>
          <w:highlight w:val="none"/>
          <w:lang w:val="en-US" w:eastAsia="zh-CN" w:bidi="ar-SA"/>
        </w:rPr>
        <w:t>第一，</w:t>
      </w:r>
      <w:r>
        <w:rPr>
          <w:rFonts w:ascii="Times New Roman" w:hAnsi="Times New Roman" w:eastAsia="方正仿宋_GBK" w:cs="Times New Roman"/>
          <w:b/>
          <w:bCs/>
          <w:color w:val="auto"/>
          <w:sz w:val="32"/>
          <w:szCs w:val="32"/>
          <w:highlight w:val="none"/>
          <w:lang w:eastAsia="zh-CN" w:bidi="ar-SA"/>
        </w:rPr>
        <w:t>预算编制细化程度不足，预算配置科学性有待提高。</w:t>
      </w:r>
      <w:r>
        <w:rPr>
          <w:rFonts w:ascii="Times New Roman" w:hAnsi="Times New Roman" w:eastAsia="方正仿宋_GBK" w:cs="Times New Roman"/>
          <w:b/>
          <w:color w:val="auto"/>
          <w:sz w:val="32"/>
          <w:szCs w:val="32"/>
          <w:highlight w:val="none"/>
          <w:lang w:eastAsia="zh-CN" w:bidi="ar-SA"/>
        </w:rPr>
        <w:t>一是</w:t>
      </w:r>
      <w:r>
        <w:rPr>
          <w:rFonts w:ascii="Times New Roman" w:hAnsi="Times New Roman" w:eastAsia="方正仿宋_GBK" w:cs="Times New Roman"/>
          <w:color w:val="auto"/>
          <w:sz w:val="32"/>
          <w:szCs w:val="32"/>
          <w:highlight w:val="none"/>
          <w:lang w:eastAsia="zh-CN" w:bidi="ar-SA"/>
        </w:rPr>
        <w:t>预算编制不细化、不具体，部分项目支出编制未能反映实际需求，测算依据未细化具体工作内容及数量，预算编制明细程度有待提高。</w:t>
      </w:r>
      <w:r>
        <w:rPr>
          <w:rFonts w:ascii="Times New Roman" w:hAnsi="Times New Roman" w:eastAsia="方正仿宋_GBK" w:cs="Times New Roman"/>
          <w:b/>
          <w:color w:val="auto"/>
          <w:sz w:val="32"/>
          <w:szCs w:val="32"/>
          <w:highlight w:val="none"/>
          <w:lang w:eastAsia="zh-CN" w:bidi="ar-SA"/>
        </w:rPr>
        <w:t>二是</w:t>
      </w:r>
      <w:r>
        <w:rPr>
          <w:rFonts w:ascii="Times New Roman" w:hAnsi="Times New Roman" w:eastAsia="方正仿宋_GBK" w:cs="Times New Roman"/>
          <w:color w:val="auto"/>
          <w:sz w:val="32"/>
          <w:szCs w:val="32"/>
          <w:highlight w:val="none"/>
          <w:lang w:eastAsia="zh-CN" w:bidi="ar-SA"/>
        </w:rPr>
        <w:t>部分项目预算执行效率不高，未能按照零基预算原则并结合年中项目实际情况及时、合理调整预算，</w:t>
      </w:r>
      <w:r>
        <w:rPr>
          <w:rFonts w:ascii="Times New Roman" w:hAnsi="Times New Roman" w:eastAsia="方正仿宋_GBK" w:cs="Times New Roman"/>
          <w:color w:val="auto"/>
          <w:sz w:val="32"/>
          <w:szCs w:val="32"/>
          <w:highlight w:val="none"/>
          <w:lang w:val="en-US" w:eastAsia="zh-CN" w:bidi="ar-SA"/>
        </w:rPr>
        <w:t>导致项目资金结余比例较大</w:t>
      </w:r>
      <w:r>
        <w:rPr>
          <w:rFonts w:ascii="Times New Roman" w:hAnsi="Times New Roman" w:eastAsia="方正仿宋_GBK" w:cs="Times New Roman"/>
          <w:color w:val="auto"/>
          <w:sz w:val="32"/>
          <w:szCs w:val="32"/>
          <w:highlight w:val="none"/>
          <w:lang w:eastAsia="zh-CN" w:bidi="ar-SA"/>
        </w:rPr>
        <w:t>。</w:t>
      </w:r>
      <w:r>
        <w:rPr>
          <w:rFonts w:ascii="Times New Roman" w:hAnsi="Times New Roman" w:eastAsia="方正仿宋_GBK" w:cs="Times New Roman"/>
          <w:b/>
          <w:bCs/>
          <w:color w:val="auto"/>
          <w:sz w:val="32"/>
          <w:szCs w:val="32"/>
          <w:highlight w:val="none"/>
          <w:lang w:val="en-US" w:eastAsia="zh-CN" w:bidi="ar-SA"/>
        </w:rPr>
        <w:t>第二，采购管理规范性不足，制度执行力度有待加强。</w:t>
      </w:r>
      <w:r>
        <w:rPr>
          <w:rFonts w:ascii="Times New Roman" w:hAnsi="Times New Roman" w:eastAsia="方正仿宋_GBK" w:cs="Times New Roman"/>
          <w:color w:val="auto"/>
          <w:sz w:val="32"/>
          <w:szCs w:val="32"/>
          <w:highlight w:val="none"/>
          <w:lang w:eastAsia="zh-CN" w:bidi="ar-SA"/>
        </w:rPr>
        <w:t>政府采购实际支出超年初预算，超预算原因为各业务科室在年初填报预算时未能及时上报采购需求，反映了市市监局在采购预算申报时各科室间协调配合力度不足，内部管理流程上的细化程度有待提高。</w:t>
      </w:r>
      <w:r>
        <w:rPr>
          <w:rFonts w:ascii="Times New Roman" w:hAnsi="Times New Roman" w:eastAsia="方正仿宋_GBK" w:cs="Times New Roman"/>
          <w:b/>
          <w:bCs/>
          <w:color w:val="auto"/>
          <w:sz w:val="32"/>
          <w:szCs w:val="32"/>
          <w:highlight w:val="none"/>
          <w:lang w:val="en-US" w:eastAsia="zh-CN" w:bidi="ar-SA"/>
        </w:rPr>
        <w:t>第三，固定资产管理规范性不足，资产利用效率有待提高。</w:t>
      </w:r>
      <w:r>
        <w:rPr>
          <w:rFonts w:ascii="Times New Roman" w:hAnsi="Times New Roman" w:eastAsia="方正仿宋_GBK" w:cs="Times New Roman"/>
          <w:b/>
          <w:color w:val="auto"/>
          <w:sz w:val="32"/>
          <w:szCs w:val="32"/>
          <w:highlight w:val="none"/>
          <w:lang w:eastAsia="zh-CN" w:bidi="ar-SA"/>
        </w:rPr>
        <w:t>一是</w:t>
      </w:r>
      <w:r>
        <w:rPr>
          <w:rFonts w:ascii="Times New Roman" w:hAnsi="Times New Roman" w:eastAsia="方正仿宋_GBK" w:cs="Times New Roman"/>
          <w:color w:val="auto"/>
          <w:sz w:val="32"/>
          <w:szCs w:val="32"/>
          <w:highlight w:val="none"/>
          <w:lang w:eastAsia="zh-CN" w:bidi="ar-SA"/>
        </w:rPr>
        <w:t>部分固定资产闲置，未能有效利用。</w:t>
      </w:r>
      <w:r>
        <w:rPr>
          <w:rFonts w:ascii="Times New Roman" w:hAnsi="Times New Roman" w:eastAsia="方正仿宋_GBK" w:cs="Times New Roman"/>
          <w:b/>
          <w:color w:val="auto"/>
          <w:sz w:val="32"/>
          <w:szCs w:val="32"/>
          <w:highlight w:val="none"/>
          <w:lang w:eastAsia="zh-CN" w:bidi="ar-SA"/>
        </w:rPr>
        <w:t>二是</w:t>
      </w:r>
      <w:r>
        <w:rPr>
          <w:rFonts w:ascii="Times New Roman" w:hAnsi="Times New Roman" w:eastAsia="方正仿宋_GBK" w:cs="Times New Roman"/>
          <w:color w:val="auto"/>
          <w:sz w:val="32"/>
          <w:szCs w:val="32"/>
          <w:highlight w:val="none"/>
          <w:lang w:eastAsia="zh-CN" w:bidi="ar-SA"/>
        </w:rPr>
        <w:t>盘亏或移交固定资产后未及时进行账务处理，导致账实不符。</w:t>
      </w:r>
      <w:r>
        <w:rPr>
          <w:rFonts w:ascii="Times New Roman" w:hAnsi="Times New Roman" w:eastAsia="方正仿宋_GBK" w:cs="Times New Roman"/>
          <w:b/>
          <w:color w:val="auto"/>
          <w:sz w:val="32"/>
          <w:szCs w:val="32"/>
          <w:highlight w:val="none"/>
          <w:lang w:eastAsia="zh-CN" w:bidi="ar-SA"/>
        </w:rPr>
        <w:t>三是</w:t>
      </w:r>
      <w:r>
        <w:rPr>
          <w:rFonts w:ascii="Times New Roman" w:hAnsi="Times New Roman" w:eastAsia="方正仿宋_GBK" w:cs="Times New Roman"/>
          <w:color w:val="auto"/>
          <w:sz w:val="32"/>
          <w:szCs w:val="32"/>
          <w:highlight w:val="none"/>
          <w:lang w:eastAsia="zh-CN" w:bidi="ar-SA"/>
        </w:rPr>
        <w:t>《固定资产台账》登记信息不完整，部分资产未清楚登记存放地点。</w:t>
      </w:r>
      <w:r>
        <w:rPr>
          <w:rFonts w:ascii="Times New Roman" w:hAnsi="Times New Roman" w:eastAsia="方正仿宋_GBK" w:cs="Times New Roman"/>
          <w:b/>
          <w:bCs/>
          <w:color w:val="auto"/>
          <w:sz w:val="32"/>
          <w:szCs w:val="32"/>
          <w:highlight w:val="none"/>
          <w:lang w:val="en-US" w:eastAsia="zh-CN" w:bidi="ar-SA"/>
        </w:rPr>
        <w:t>第四</w:t>
      </w:r>
      <w:r>
        <w:rPr>
          <w:rFonts w:hint="eastAsia" w:ascii="Times New Roman" w:hAnsi="Times New Roman" w:eastAsia="方正仿宋_GBK" w:cs="Times New Roman"/>
          <w:b/>
          <w:bCs/>
          <w:color w:val="auto"/>
          <w:sz w:val="32"/>
          <w:szCs w:val="32"/>
          <w:highlight w:val="none"/>
          <w:lang w:val="en-US" w:eastAsia="zh-CN" w:bidi="ar-SA"/>
        </w:rPr>
        <w:t>，</w:t>
      </w:r>
      <w:r>
        <w:rPr>
          <w:rFonts w:ascii="Times New Roman" w:hAnsi="Times New Roman" w:eastAsia="方正仿宋_GBK" w:cs="Times New Roman"/>
          <w:b/>
          <w:bCs/>
          <w:color w:val="auto"/>
          <w:sz w:val="32"/>
          <w:szCs w:val="32"/>
          <w:highlight w:val="none"/>
          <w:lang w:eastAsia="zh-CN" w:bidi="ar-SA"/>
        </w:rPr>
        <w:t>未建立绩效全过程管理制度，绩效管理意识有待加强。</w:t>
      </w:r>
      <w:r>
        <w:rPr>
          <w:rFonts w:ascii="Times New Roman" w:hAnsi="Times New Roman" w:eastAsia="方正仿宋_GBK" w:cs="Times New Roman"/>
          <w:b/>
          <w:color w:val="auto"/>
          <w:sz w:val="32"/>
          <w:szCs w:val="32"/>
          <w:highlight w:val="none"/>
          <w:lang w:eastAsia="zh-CN" w:bidi="ar-SA"/>
        </w:rPr>
        <w:t>一是</w:t>
      </w:r>
      <w:r>
        <w:rPr>
          <w:rFonts w:ascii="Times New Roman" w:hAnsi="Times New Roman" w:eastAsia="方正仿宋_GBK" w:cs="Times New Roman"/>
          <w:color w:val="auto"/>
          <w:sz w:val="32"/>
          <w:szCs w:val="32"/>
          <w:highlight w:val="none"/>
          <w:lang w:eastAsia="zh-CN" w:bidi="ar-SA"/>
        </w:rPr>
        <w:t>未建立绩效全过程管理制度，不符合《惠州市财政局关于推进市直部门预算和绩效管理一体化工作的通知》（惠财绩函〔2022〕4号）的要求。</w:t>
      </w:r>
      <w:r>
        <w:rPr>
          <w:rFonts w:ascii="Times New Roman" w:hAnsi="Times New Roman" w:eastAsia="方正仿宋_GBK" w:cs="Times New Roman"/>
          <w:b/>
          <w:color w:val="auto"/>
          <w:sz w:val="32"/>
          <w:szCs w:val="32"/>
          <w:highlight w:val="none"/>
          <w:lang w:eastAsia="zh-CN" w:bidi="ar-SA"/>
        </w:rPr>
        <w:t>二是</w:t>
      </w:r>
      <w:r>
        <w:rPr>
          <w:rFonts w:ascii="Times New Roman" w:hAnsi="Times New Roman" w:eastAsia="方正仿宋_GBK" w:cs="Times New Roman"/>
          <w:color w:val="auto"/>
          <w:sz w:val="32"/>
          <w:szCs w:val="32"/>
          <w:highlight w:val="none"/>
          <w:lang w:eastAsia="zh-CN" w:bidi="ar-SA"/>
        </w:rPr>
        <w:t>未落实绩效管理及监控，不利于及时发现并纠正偏差，确保项目按既定目标推进。</w:t>
      </w:r>
      <w:r>
        <w:rPr>
          <w:rFonts w:ascii="Times New Roman" w:hAnsi="Times New Roman" w:eastAsia="方正仿宋_GBK" w:cs="Times New Roman"/>
          <w:b/>
          <w:color w:val="auto"/>
          <w:sz w:val="32"/>
          <w:szCs w:val="32"/>
          <w:highlight w:val="none"/>
          <w:lang w:eastAsia="zh-CN" w:bidi="ar-SA"/>
        </w:rPr>
        <w:t>三是</w:t>
      </w:r>
      <w:r>
        <w:rPr>
          <w:rFonts w:ascii="Times New Roman" w:hAnsi="Times New Roman" w:eastAsia="方正仿宋_GBK" w:cs="Times New Roman"/>
          <w:color w:val="auto"/>
          <w:sz w:val="32"/>
          <w:szCs w:val="32"/>
          <w:highlight w:val="none"/>
          <w:lang w:eastAsia="zh-CN" w:bidi="ar-SA"/>
        </w:rPr>
        <w:t>年度重点工作任务设立不明晰。</w:t>
      </w:r>
      <w:r>
        <w:rPr>
          <w:rFonts w:ascii="Times New Roman" w:hAnsi="Times New Roman" w:eastAsia="方正仿宋_GBK" w:cs="Times New Roman"/>
          <w:b/>
          <w:color w:val="auto"/>
          <w:sz w:val="32"/>
          <w:szCs w:val="32"/>
          <w:highlight w:val="none"/>
          <w:lang w:eastAsia="zh-CN" w:bidi="ar-SA"/>
        </w:rPr>
        <w:t>四是</w:t>
      </w:r>
      <w:r>
        <w:rPr>
          <w:rFonts w:ascii="Times New Roman" w:hAnsi="Times New Roman" w:eastAsia="方正仿宋_GBK" w:cs="Times New Roman"/>
          <w:color w:val="auto"/>
          <w:sz w:val="32"/>
          <w:szCs w:val="32"/>
          <w:highlight w:val="none"/>
          <w:lang w:eastAsia="zh-CN" w:bidi="ar-SA"/>
        </w:rPr>
        <w:t>绩效指标设置的完整性、合理性有待提高</w:t>
      </w:r>
      <w:r>
        <w:rPr>
          <w:rFonts w:ascii="Times New Roman" w:hAnsi="Times New Roman" w:eastAsia="方正仿宋_GBK" w:cs="Times New Roman"/>
          <w:color w:val="auto"/>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rFonts w:ascii="Times New Roman" w:hAnsi="Times New Roman" w:eastAsia="方正仿宋_GBK" w:cs="Times New Roman"/>
          <w:color w:val="auto"/>
          <w:sz w:val="32"/>
          <w:szCs w:val="32"/>
          <w:highlight w:val="none"/>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color w:val="auto"/>
          <w:sz w:val="32"/>
          <w:szCs w:val="32"/>
          <w:highlight w:val="none"/>
          <w:lang w:val="en-US" w:eastAsia="zh-CN" w:bidi="ar-SA"/>
        </w:rPr>
        <w:t>第一，强化预算编制科学性，提升预算执行效率与效果。</w:t>
      </w:r>
      <w:r>
        <w:rPr>
          <w:rFonts w:ascii="Times New Roman" w:hAnsi="Times New Roman" w:eastAsia="方正仿宋_GBK" w:cs="Times New Roman"/>
          <w:b/>
          <w:color w:val="auto"/>
          <w:kern w:val="2"/>
          <w:sz w:val="32"/>
          <w:szCs w:val="32"/>
          <w:highlight w:val="none"/>
          <w:lang w:val="en-US" w:eastAsia="zh-CN" w:bidi="ar-SA"/>
        </w:rPr>
        <w:t>一是</w:t>
      </w:r>
      <w:r>
        <w:rPr>
          <w:rFonts w:ascii="Times New Roman" w:hAnsi="Times New Roman" w:eastAsia="方正仿宋_GBK" w:cs="Times New Roman"/>
          <w:color w:val="auto"/>
          <w:kern w:val="2"/>
          <w:sz w:val="32"/>
          <w:szCs w:val="32"/>
          <w:highlight w:val="none"/>
          <w:lang w:val="en-US" w:eastAsia="zh-CN" w:bidi="ar-SA"/>
        </w:rPr>
        <w:t>强化预算编制的精细化与具体化，列明支出的用途、预期成果及量化指标，确保预算编制既能全面反映实际需求，又便于监督与执行。</w:t>
      </w:r>
      <w:r>
        <w:rPr>
          <w:rFonts w:ascii="Times New Roman" w:hAnsi="Times New Roman" w:eastAsia="方正仿宋_GBK" w:cs="Times New Roman"/>
          <w:b/>
          <w:color w:val="auto"/>
          <w:kern w:val="2"/>
          <w:sz w:val="32"/>
          <w:szCs w:val="32"/>
          <w:highlight w:val="none"/>
          <w:lang w:val="en-US" w:eastAsia="zh-CN" w:bidi="ar-SA"/>
        </w:rPr>
        <w:t>二是</w:t>
      </w:r>
      <w:r>
        <w:rPr>
          <w:rFonts w:ascii="Times New Roman" w:hAnsi="Times New Roman" w:eastAsia="方正仿宋_GBK" w:cs="Times New Roman"/>
          <w:color w:val="auto"/>
          <w:kern w:val="2"/>
          <w:sz w:val="32"/>
          <w:szCs w:val="32"/>
          <w:highlight w:val="none"/>
          <w:lang w:val="en-US" w:eastAsia="zh-CN" w:bidi="ar-SA"/>
        </w:rPr>
        <w:t>提升预算执行效率与灵活性。遵循零基预算原则，每年重新评估项目预算的必要性与合理性，避免预算固化。对于因外部因素导致项目执行受阻的情况，应及时启动预算调整程序，根据年中项目实际进展灵活调配资金，确保预算资源的高效利用。同时，建立健全预算执行监控机制，定期分析预算执行情况，及时发现并解决问题，提高预算执行效率与效果。</w:t>
      </w:r>
      <w:r>
        <w:rPr>
          <w:rFonts w:ascii="Times New Roman" w:hAnsi="Times New Roman" w:eastAsia="方正仿宋_GBK" w:cs="Times New Roman"/>
          <w:b/>
          <w:bCs/>
          <w:color w:val="auto"/>
          <w:sz w:val="32"/>
          <w:szCs w:val="32"/>
          <w:highlight w:val="none"/>
          <w:lang w:val="en-US" w:eastAsia="zh-CN" w:bidi="ar-SA"/>
        </w:rPr>
        <w:t>第二，优化采购管理流程，加大制度执行力度。</w:t>
      </w:r>
      <w:r>
        <w:rPr>
          <w:rFonts w:ascii="Times New Roman" w:hAnsi="Times New Roman" w:eastAsia="方正仿宋_GBK" w:cs="Times New Roman"/>
          <w:b/>
          <w:color w:val="auto"/>
          <w:kern w:val="2"/>
          <w:sz w:val="32"/>
          <w:szCs w:val="32"/>
          <w:highlight w:val="none"/>
          <w:lang w:val="en-US" w:eastAsia="zh-CN" w:bidi="ar-SA"/>
        </w:rPr>
        <w:t>一是</w:t>
      </w:r>
      <w:r>
        <w:rPr>
          <w:rFonts w:ascii="Times New Roman" w:hAnsi="Times New Roman" w:eastAsia="方正仿宋_GBK" w:cs="Times New Roman"/>
          <w:color w:val="auto"/>
          <w:kern w:val="2"/>
          <w:sz w:val="32"/>
          <w:szCs w:val="32"/>
          <w:highlight w:val="none"/>
          <w:lang w:val="en-US" w:eastAsia="zh-CN" w:bidi="ar-SA"/>
        </w:rPr>
        <w:t>强化政府采购预算申报程序，优化内部协调机制，确保各业务科室及时、全面上报采购需求，以便科学制定年度采购预算。同时，加强采购预算执行过程中的监控，避免超预算现象发生。</w:t>
      </w:r>
      <w:r>
        <w:rPr>
          <w:rFonts w:ascii="Times New Roman" w:hAnsi="Times New Roman" w:eastAsia="方正仿宋_GBK" w:cs="Times New Roman"/>
          <w:b/>
          <w:color w:val="auto"/>
          <w:kern w:val="2"/>
          <w:sz w:val="32"/>
          <w:szCs w:val="32"/>
          <w:highlight w:val="none"/>
          <w:lang w:val="en-US" w:eastAsia="zh-CN" w:bidi="ar-SA"/>
        </w:rPr>
        <w:t>二是</w:t>
      </w:r>
      <w:r>
        <w:rPr>
          <w:rFonts w:ascii="Times New Roman" w:hAnsi="Times New Roman" w:eastAsia="方正仿宋_GBK" w:cs="Times New Roman"/>
          <w:color w:val="auto"/>
          <w:kern w:val="2"/>
          <w:sz w:val="32"/>
          <w:szCs w:val="32"/>
          <w:highlight w:val="none"/>
          <w:lang w:val="en-US" w:eastAsia="zh-CN" w:bidi="ar-SA"/>
        </w:rPr>
        <w:t>建立健全合同管理的内部监督机制，定期核查合同执行情况，及时发现并纠正问题。</w:t>
      </w:r>
      <w:r>
        <w:rPr>
          <w:rFonts w:ascii="Times New Roman" w:hAnsi="Times New Roman" w:eastAsia="方正仿宋_GBK" w:cs="Times New Roman"/>
          <w:b/>
          <w:color w:val="auto"/>
          <w:kern w:val="2"/>
          <w:sz w:val="32"/>
          <w:szCs w:val="32"/>
          <w:highlight w:val="none"/>
          <w:lang w:val="en-US" w:eastAsia="zh-CN" w:bidi="ar-SA"/>
        </w:rPr>
        <w:t>三是</w:t>
      </w:r>
      <w:r>
        <w:rPr>
          <w:rFonts w:ascii="Times New Roman" w:hAnsi="Times New Roman" w:eastAsia="方正仿宋_GBK" w:cs="Times New Roman"/>
          <w:color w:val="auto"/>
          <w:kern w:val="2"/>
          <w:sz w:val="32"/>
          <w:szCs w:val="32"/>
          <w:highlight w:val="none"/>
          <w:lang w:val="en-US" w:eastAsia="zh-CN" w:bidi="ar-SA"/>
        </w:rPr>
        <w:t>强化采购管理的培训与宣传，增强各业务科室对采购管理规范性的认识，确保各项制度得到有效执行。</w:t>
      </w:r>
      <w:r>
        <w:rPr>
          <w:rFonts w:ascii="Times New Roman" w:hAnsi="Times New Roman" w:eastAsia="方正仿宋_GBK" w:cs="Times New Roman"/>
          <w:b/>
          <w:bCs/>
          <w:color w:val="auto"/>
          <w:sz w:val="32"/>
          <w:szCs w:val="32"/>
          <w:highlight w:val="none"/>
          <w:lang w:val="en-US" w:eastAsia="zh-CN" w:bidi="ar-SA"/>
        </w:rPr>
        <w:t>第三，优化固定资产管理规范，提升资产利用效率与效益。</w:t>
      </w:r>
      <w:r>
        <w:rPr>
          <w:rFonts w:ascii="Times New Roman" w:hAnsi="Times New Roman" w:eastAsia="方正仿宋_GBK" w:cs="Times New Roman"/>
          <w:b/>
          <w:color w:val="auto"/>
          <w:kern w:val="2"/>
          <w:sz w:val="32"/>
          <w:szCs w:val="32"/>
          <w:highlight w:val="none"/>
          <w:lang w:val="en-US" w:eastAsia="zh-CN" w:bidi="ar-SA"/>
        </w:rPr>
        <w:t>一是</w:t>
      </w:r>
      <w:r>
        <w:rPr>
          <w:rFonts w:ascii="Times New Roman" w:hAnsi="Times New Roman" w:eastAsia="方正仿宋_GBK" w:cs="Times New Roman"/>
          <w:color w:val="auto"/>
          <w:kern w:val="2"/>
          <w:sz w:val="32"/>
          <w:szCs w:val="32"/>
          <w:highlight w:val="none"/>
          <w:lang w:val="en-US" w:eastAsia="zh-CN" w:bidi="ar-SA"/>
        </w:rPr>
        <w:t>加强固定资产的采购规划与合规性审查，确保新购资产符合项目要求及政策规定，避免资产闲置浪费。</w:t>
      </w:r>
      <w:r>
        <w:rPr>
          <w:rFonts w:ascii="Times New Roman" w:hAnsi="Times New Roman" w:eastAsia="方正仿宋_GBK" w:cs="Times New Roman"/>
          <w:b/>
          <w:color w:val="auto"/>
          <w:kern w:val="2"/>
          <w:sz w:val="32"/>
          <w:szCs w:val="32"/>
          <w:highlight w:val="none"/>
          <w:lang w:val="en-US" w:eastAsia="zh-CN" w:bidi="ar-SA"/>
        </w:rPr>
        <w:t>二是</w:t>
      </w:r>
      <w:r>
        <w:rPr>
          <w:rFonts w:ascii="Times New Roman" w:hAnsi="Times New Roman" w:eastAsia="方正仿宋_GBK" w:cs="Times New Roman"/>
          <w:color w:val="auto"/>
          <w:kern w:val="2"/>
          <w:sz w:val="32"/>
          <w:szCs w:val="32"/>
          <w:highlight w:val="none"/>
          <w:lang w:val="en-US" w:eastAsia="zh-CN" w:bidi="ar-SA"/>
        </w:rPr>
        <w:t>建立健全固定资产管理制度，加强资产盘点与账务处理工作。同时，完善《固定资产台账》登记信息，确保每项资产都有完整的存放地点、使用状态等记录，便于管理和查询。</w:t>
      </w:r>
      <w:r>
        <w:rPr>
          <w:rFonts w:ascii="Times New Roman" w:hAnsi="Times New Roman" w:eastAsia="方正仿宋_GBK" w:cs="Times New Roman"/>
          <w:b/>
          <w:color w:val="auto"/>
          <w:kern w:val="2"/>
          <w:sz w:val="32"/>
          <w:szCs w:val="32"/>
          <w:highlight w:val="none"/>
          <w:lang w:val="en-US" w:eastAsia="zh-CN" w:bidi="ar-SA"/>
        </w:rPr>
        <w:t>三是</w:t>
      </w:r>
      <w:r>
        <w:rPr>
          <w:rFonts w:ascii="Times New Roman" w:hAnsi="Times New Roman" w:eastAsia="方正仿宋_GBK" w:cs="Times New Roman"/>
          <w:color w:val="auto"/>
          <w:kern w:val="2"/>
          <w:sz w:val="32"/>
          <w:szCs w:val="32"/>
          <w:highlight w:val="none"/>
          <w:lang w:val="en-US" w:eastAsia="zh-CN" w:bidi="ar-SA"/>
        </w:rPr>
        <w:t>加强固定资产管理人员的培训与考核，提升其专业素养和责任意识。</w:t>
      </w:r>
      <w:r>
        <w:rPr>
          <w:rFonts w:ascii="Times New Roman" w:hAnsi="Times New Roman" w:eastAsia="方正仿宋_GBK" w:cs="Times New Roman"/>
          <w:b/>
          <w:bCs/>
          <w:color w:val="auto"/>
          <w:sz w:val="32"/>
          <w:szCs w:val="32"/>
          <w:highlight w:val="none"/>
          <w:lang w:val="en-US" w:eastAsia="zh-CN" w:bidi="ar-SA"/>
        </w:rPr>
        <w:t>第四，加强绩效管理工作，构建部门整体支出核心绩效指标体系。</w:t>
      </w:r>
      <w:r>
        <w:rPr>
          <w:rFonts w:ascii="Times New Roman" w:hAnsi="Times New Roman" w:eastAsia="方正仿宋_GBK" w:cs="Times New Roman"/>
          <w:b/>
          <w:color w:val="auto"/>
          <w:kern w:val="2"/>
          <w:sz w:val="32"/>
          <w:szCs w:val="32"/>
          <w:highlight w:val="none"/>
          <w:lang w:val="en-US" w:eastAsia="zh-CN" w:bidi="ar-SA"/>
        </w:rPr>
        <w:t>一是</w:t>
      </w:r>
      <w:r>
        <w:rPr>
          <w:rFonts w:ascii="Times New Roman" w:hAnsi="Times New Roman" w:eastAsia="方正仿宋_GBK" w:cs="Times New Roman"/>
          <w:color w:val="auto"/>
          <w:kern w:val="2"/>
          <w:sz w:val="32"/>
          <w:szCs w:val="32"/>
          <w:highlight w:val="none"/>
          <w:lang w:val="en-US" w:eastAsia="zh-CN" w:bidi="ar-SA"/>
        </w:rPr>
        <w:t>建议完善绩效制度建设。</w:t>
      </w:r>
      <w:r>
        <w:rPr>
          <w:rFonts w:ascii="Times New Roman" w:hAnsi="Times New Roman" w:eastAsia="方正仿宋_GBK" w:cs="Times New Roman"/>
          <w:b/>
          <w:color w:val="auto"/>
          <w:kern w:val="2"/>
          <w:sz w:val="32"/>
          <w:szCs w:val="32"/>
          <w:highlight w:val="none"/>
          <w:lang w:val="en-US" w:eastAsia="zh-CN" w:bidi="ar-SA"/>
        </w:rPr>
        <w:t>二是</w:t>
      </w:r>
      <w:r>
        <w:rPr>
          <w:rFonts w:ascii="Times New Roman" w:hAnsi="Times New Roman" w:eastAsia="方正仿宋_GBK" w:cs="Times New Roman"/>
          <w:color w:val="auto"/>
          <w:kern w:val="2"/>
          <w:sz w:val="32"/>
          <w:szCs w:val="32"/>
          <w:highlight w:val="none"/>
          <w:lang w:val="en-US" w:eastAsia="zh-CN" w:bidi="ar-SA"/>
        </w:rPr>
        <w:t>建议加强项目绩效运行监控。</w:t>
      </w:r>
      <w:r>
        <w:rPr>
          <w:rFonts w:ascii="Times New Roman" w:hAnsi="Times New Roman" w:eastAsia="方正仿宋_GBK" w:cs="Times New Roman"/>
          <w:b/>
          <w:color w:val="auto"/>
          <w:kern w:val="2"/>
          <w:sz w:val="32"/>
          <w:szCs w:val="32"/>
          <w:highlight w:val="none"/>
          <w:lang w:val="en-US" w:eastAsia="zh-CN" w:bidi="ar-SA"/>
        </w:rPr>
        <w:t>三是</w:t>
      </w:r>
      <w:r>
        <w:rPr>
          <w:rFonts w:ascii="Times New Roman" w:hAnsi="Times New Roman" w:eastAsia="方正仿宋_GBK" w:cs="Times New Roman"/>
          <w:color w:val="auto"/>
          <w:kern w:val="2"/>
          <w:sz w:val="32"/>
          <w:szCs w:val="32"/>
          <w:highlight w:val="none"/>
          <w:lang w:val="en-US" w:eastAsia="zh-CN" w:bidi="ar-SA"/>
        </w:rPr>
        <w:t>合理确定工作任务的优先级和资源配置，系统规划年度重点工作任务。</w:t>
      </w:r>
      <w:r>
        <w:rPr>
          <w:rFonts w:ascii="Times New Roman" w:hAnsi="Times New Roman" w:eastAsia="方正仿宋_GBK" w:cs="Times New Roman"/>
          <w:b/>
          <w:color w:val="auto"/>
          <w:kern w:val="2"/>
          <w:sz w:val="32"/>
          <w:szCs w:val="32"/>
          <w:highlight w:val="none"/>
          <w:lang w:val="en-US" w:eastAsia="zh-CN" w:bidi="ar-SA"/>
        </w:rPr>
        <w:t>四是</w:t>
      </w:r>
      <w:r>
        <w:rPr>
          <w:rFonts w:ascii="Times New Roman" w:hAnsi="Times New Roman" w:eastAsia="方正仿宋_GBK" w:cs="Times New Roman"/>
          <w:color w:val="auto"/>
          <w:kern w:val="2"/>
          <w:sz w:val="32"/>
          <w:szCs w:val="32"/>
          <w:highlight w:val="none"/>
          <w:lang w:val="en-US" w:eastAsia="zh-CN" w:bidi="ar-SA"/>
        </w:rPr>
        <w:t>完善部门核心绩效指标体系构建，加大对单位人员的绩效管理培训力度，不断提升全员绩效管理意识与专业能力，为构建高效、透明的绩效管理体系奠定坚实基础。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五、</w:t>
      </w:r>
      <w:bookmarkEnd w:id="49"/>
      <w:bookmarkEnd w:id="50"/>
      <w:bookmarkEnd w:id="51"/>
      <w:r>
        <w:rPr>
          <w:rFonts w:ascii="Times New Roman" w:hAnsi="Times New Roman" w:eastAsia="方正黑体_GBK" w:cs="Times New Roman"/>
          <w:bCs/>
          <w:color w:val="auto"/>
          <w:kern w:val="2"/>
          <w:sz w:val="32"/>
          <w:szCs w:val="32"/>
          <w:lang w:val="en-US" w:eastAsia="zh-CN" w:bidi="ar-SA"/>
        </w:rPr>
        <w:t>中共惠州市委机构编制委员会办公室2023年度部门整体支出</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ascii="Times New Roman" w:hAnsi="Times New Roman" w:eastAsia="方正仿宋_GBK" w:cs="Times New Roman"/>
          <w:color w:val="auto"/>
          <w:sz w:val="32"/>
          <w:szCs w:val="32"/>
          <w:highlight w:val="none"/>
          <w:lang w:bidi="ar-SA"/>
        </w:rPr>
      </w:pPr>
      <w:r>
        <w:rPr>
          <w:rFonts w:ascii="Times New Roman" w:hAnsi="Times New Roman" w:eastAsia="方正仿宋_GBK" w:cs="Times New Roman"/>
          <w:color w:val="auto"/>
          <w:sz w:val="32"/>
          <w:szCs w:val="32"/>
          <w:highlight w:val="none"/>
          <w:lang w:bidi="ar-SA"/>
        </w:rPr>
        <w:t>为加强财政支出管理，提高财政资金的使用效益，惠州市财政局（以下简称“市财政局”）委托广东惠正资产评估与房地产土地估价有限公司（以下简称“惠正公司”</w:t>
      </w:r>
      <w:r>
        <w:rPr>
          <w:rFonts w:ascii="Times New Roman" w:hAnsi="Times New Roman" w:eastAsia="方正仿宋_GBK" w:cs="Times New Roman"/>
          <w:color w:val="auto"/>
          <w:sz w:val="32"/>
          <w:szCs w:val="32"/>
          <w:highlight w:val="none"/>
          <w:lang w:eastAsia="zh-CN" w:bidi="ar-SA"/>
        </w:rPr>
        <w:t>）</w:t>
      </w:r>
      <w:r>
        <w:rPr>
          <w:rFonts w:ascii="Times New Roman" w:hAnsi="Times New Roman" w:eastAsia="方正仿宋_GBK" w:cs="Times New Roman"/>
          <w:color w:val="auto"/>
          <w:sz w:val="32"/>
          <w:szCs w:val="32"/>
          <w:highlight w:val="none"/>
          <w:lang w:bidi="ar-SA"/>
        </w:rPr>
        <w:t>对</w:t>
      </w:r>
      <w:r>
        <w:rPr>
          <w:rFonts w:ascii="Times New Roman" w:hAnsi="Times New Roman" w:eastAsia="方正仿宋_GBK" w:cs="Times New Roman"/>
          <w:color w:val="auto"/>
          <w:sz w:val="32"/>
          <w:szCs w:val="32"/>
          <w:highlight w:val="none"/>
          <w:lang w:eastAsia="zh-CN" w:bidi="ar-SA"/>
        </w:rPr>
        <w:t>中共惠州市委机构编制委员会办公室</w:t>
      </w:r>
      <w:r>
        <w:rPr>
          <w:rFonts w:ascii="Times New Roman" w:hAnsi="Times New Roman" w:eastAsia="方正仿宋_GBK" w:cs="Times New Roman"/>
          <w:color w:val="auto"/>
          <w:sz w:val="32"/>
          <w:szCs w:val="32"/>
          <w:highlight w:val="none"/>
          <w:lang w:bidi="ar-SA"/>
        </w:rPr>
        <w:t>（以下简称“</w:t>
      </w:r>
      <w:r>
        <w:rPr>
          <w:rFonts w:ascii="Times New Roman" w:hAnsi="Times New Roman" w:eastAsia="方正仿宋_GBK" w:cs="Times New Roman"/>
          <w:color w:val="auto"/>
          <w:sz w:val="32"/>
          <w:szCs w:val="32"/>
          <w:highlight w:val="none"/>
          <w:lang w:eastAsia="zh-CN" w:bidi="ar-SA"/>
        </w:rPr>
        <w:t>市委编办</w:t>
      </w:r>
      <w:r>
        <w:rPr>
          <w:rFonts w:ascii="Times New Roman" w:hAnsi="Times New Roman" w:eastAsia="方正仿宋_GBK" w:cs="Times New Roman"/>
          <w:color w:val="auto"/>
          <w:sz w:val="32"/>
          <w:szCs w:val="32"/>
          <w:highlight w:val="none"/>
          <w:lang w:bidi="ar-SA"/>
        </w:rPr>
        <w:t>”）</w:t>
      </w:r>
      <w:r>
        <w:rPr>
          <w:rFonts w:ascii="Times New Roman" w:hAnsi="Times New Roman" w:eastAsia="方正仿宋_GBK" w:cs="Times New Roman"/>
          <w:color w:val="auto"/>
          <w:sz w:val="32"/>
          <w:szCs w:val="32"/>
          <w:highlight w:val="none"/>
          <w:lang w:val="en-US" w:eastAsia="zh-CN" w:bidi="ar-SA"/>
        </w:rPr>
        <w:t>2023</w:t>
      </w:r>
      <w:r>
        <w:rPr>
          <w:rFonts w:ascii="Times New Roman" w:hAnsi="Times New Roman" w:eastAsia="方正仿宋_GBK" w:cs="Times New Roman"/>
          <w:color w:val="auto"/>
          <w:sz w:val="32"/>
          <w:szCs w:val="32"/>
          <w:highlight w:val="none"/>
          <w:lang w:eastAsia="zh-CN" w:bidi="ar-SA"/>
        </w:rPr>
        <w:t>年度</w:t>
      </w:r>
      <w:r>
        <w:rPr>
          <w:rFonts w:ascii="Times New Roman" w:hAnsi="Times New Roman" w:eastAsia="方正仿宋_GBK" w:cs="Times New Roman"/>
          <w:color w:val="auto"/>
          <w:sz w:val="32"/>
          <w:szCs w:val="32"/>
          <w:highlight w:val="none"/>
          <w:lang w:bidi="ar-SA"/>
        </w:rPr>
        <w:t>部门整体支出情况实施绩效评价。</w:t>
      </w:r>
      <w:r>
        <w:rPr>
          <w:rFonts w:ascii="Times New Roman" w:hAnsi="Times New Roman" w:eastAsia="方正仿宋_GBK" w:cs="Times New Roman"/>
          <w:color w:val="auto"/>
          <w:sz w:val="32"/>
          <w:szCs w:val="32"/>
          <w:highlight w:val="none"/>
          <w:lang w:val="en-US" w:eastAsia="zh-CN" w:bidi="ar-SA"/>
        </w:rPr>
        <w:t>2023</w:t>
      </w:r>
      <w:r>
        <w:rPr>
          <w:rFonts w:ascii="Times New Roman" w:hAnsi="Times New Roman" w:eastAsia="方正仿宋_GBK" w:cs="Times New Roman"/>
          <w:color w:val="auto"/>
          <w:sz w:val="32"/>
          <w:szCs w:val="32"/>
          <w:highlight w:val="none"/>
          <w:lang w:eastAsia="zh-CN" w:bidi="ar-SA"/>
        </w:rPr>
        <w:t>年市委编办财政拨款收入（</w:t>
      </w:r>
      <w:r>
        <w:rPr>
          <w:rFonts w:ascii="Times New Roman" w:hAnsi="Times New Roman" w:eastAsia="方正仿宋_GBK" w:cs="Times New Roman"/>
          <w:color w:val="auto"/>
          <w:sz w:val="32"/>
          <w:szCs w:val="32"/>
          <w:highlight w:val="none"/>
          <w:lang w:val="en-US" w:eastAsia="zh-CN" w:bidi="ar-SA"/>
        </w:rPr>
        <w:t>含年初结转结余</w:t>
      </w:r>
      <w:r>
        <w:rPr>
          <w:rFonts w:ascii="Times New Roman" w:hAnsi="Times New Roman" w:eastAsia="方正仿宋_GBK" w:cs="Times New Roman"/>
          <w:color w:val="auto"/>
          <w:sz w:val="32"/>
          <w:szCs w:val="32"/>
          <w:highlight w:val="none"/>
          <w:lang w:eastAsia="zh-CN" w:bidi="ar-SA"/>
        </w:rPr>
        <w:t>）为</w:t>
      </w:r>
      <w:r>
        <w:rPr>
          <w:rFonts w:ascii="Times New Roman" w:hAnsi="Times New Roman" w:eastAsia="方正仿宋_GBK" w:cs="Times New Roman"/>
          <w:color w:val="auto"/>
          <w:sz w:val="32"/>
          <w:szCs w:val="32"/>
          <w:highlight w:val="none"/>
          <w:lang w:val="en-US" w:eastAsia="zh-CN" w:bidi="ar-SA"/>
        </w:rPr>
        <w:t>16,774,873.26</w:t>
      </w:r>
      <w:r>
        <w:rPr>
          <w:rFonts w:ascii="Times New Roman" w:hAnsi="Times New Roman" w:eastAsia="方正仿宋_GBK" w:cs="Times New Roman"/>
          <w:color w:val="auto"/>
          <w:sz w:val="32"/>
          <w:szCs w:val="32"/>
          <w:highlight w:val="none"/>
          <w:lang w:eastAsia="zh-CN" w:bidi="ar-SA"/>
        </w:rPr>
        <w:t>元，财政拨款支出为</w:t>
      </w:r>
      <w:r>
        <w:rPr>
          <w:rFonts w:ascii="Times New Roman" w:hAnsi="Times New Roman" w:eastAsia="方正仿宋_GBK" w:cs="Times New Roman"/>
          <w:color w:val="auto"/>
          <w:sz w:val="32"/>
          <w:szCs w:val="32"/>
          <w:highlight w:val="none"/>
          <w:lang w:val="en-US" w:eastAsia="zh-CN" w:bidi="ar-SA"/>
        </w:rPr>
        <w:t>16,724,251.74</w:t>
      </w:r>
      <w:r>
        <w:rPr>
          <w:rFonts w:ascii="Times New Roman" w:hAnsi="Times New Roman" w:eastAsia="方正仿宋_GBK" w:cs="Times New Roman"/>
          <w:color w:val="auto"/>
          <w:sz w:val="32"/>
          <w:szCs w:val="32"/>
          <w:highlight w:val="none"/>
          <w:lang w:eastAsia="zh-CN" w:bidi="ar-SA"/>
        </w:rPr>
        <w:t>元，支出率为</w:t>
      </w:r>
      <w:r>
        <w:rPr>
          <w:rFonts w:ascii="Times New Roman" w:hAnsi="Times New Roman" w:eastAsia="方正仿宋_GBK" w:cs="Times New Roman"/>
          <w:color w:val="auto"/>
          <w:sz w:val="32"/>
          <w:szCs w:val="32"/>
          <w:highlight w:val="none"/>
          <w:lang w:val="en-US" w:eastAsia="zh-CN" w:bidi="ar-SA"/>
        </w:rPr>
        <w:t>99.70%</w:t>
      </w:r>
      <w:r>
        <w:rPr>
          <w:rFonts w:ascii="Times New Roman" w:hAnsi="Times New Roman" w:eastAsia="方正仿宋_GBK" w:cs="Times New Roman"/>
          <w:color w:val="auto"/>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ascii="Times New Roman" w:hAnsi="Times New Roman" w:eastAsia="方正仿宋_GBK" w:cs="Times New Roman"/>
          <w:color w:val="auto"/>
          <w:sz w:val="32"/>
          <w:szCs w:val="32"/>
          <w:highlight w:val="none"/>
          <w:lang w:bidi="ar-SA"/>
        </w:rPr>
      </w:pPr>
      <w:r>
        <w:rPr>
          <w:rFonts w:ascii="Times New Roman" w:hAnsi="Times New Roman" w:eastAsia="方正仿宋_GBK" w:cs="Times New Roman"/>
          <w:color w:val="auto"/>
          <w:sz w:val="32"/>
          <w:szCs w:val="32"/>
          <w:highlight w:val="none"/>
          <w:lang w:bidi="ar-SA"/>
        </w:rPr>
        <w:t>经过资料收集报送、书面评审、现场评价等流程，经评定，</w:t>
      </w:r>
      <w:r>
        <w:rPr>
          <w:rFonts w:ascii="Times New Roman" w:hAnsi="Times New Roman" w:eastAsia="方正仿宋_GBK" w:cs="Times New Roman"/>
          <w:color w:val="auto"/>
          <w:sz w:val="32"/>
          <w:szCs w:val="32"/>
          <w:highlight w:val="none"/>
          <w:lang w:eastAsia="zh-CN" w:bidi="ar-SA"/>
        </w:rPr>
        <w:t>市委编办2023年度</w:t>
      </w:r>
      <w:r>
        <w:rPr>
          <w:rFonts w:ascii="Times New Roman" w:hAnsi="Times New Roman" w:eastAsia="方正仿宋_GBK" w:cs="Times New Roman"/>
          <w:color w:val="auto"/>
          <w:sz w:val="32"/>
          <w:szCs w:val="32"/>
          <w:highlight w:val="none"/>
          <w:lang w:bidi="ar-SA"/>
        </w:rPr>
        <w:t>部门整体支出绩效评价得分：</w:t>
      </w:r>
      <w:r>
        <w:rPr>
          <w:rFonts w:ascii="Times New Roman" w:hAnsi="Times New Roman" w:eastAsia="方正仿宋_GBK" w:cs="Times New Roman"/>
          <w:b/>
          <w:bCs/>
          <w:color w:val="auto"/>
          <w:sz w:val="32"/>
          <w:szCs w:val="32"/>
          <w:highlight w:val="none"/>
          <w:lang w:val="en-US" w:eastAsia="zh-CN" w:bidi="ar-SA"/>
        </w:rPr>
        <w:t>84.85</w:t>
      </w:r>
      <w:r>
        <w:rPr>
          <w:rFonts w:ascii="Times New Roman" w:hAnsi="Times New Roman" w:eastAsia="方正仿宋_GBK" w:cs="Times New Roman"/>
          <w:color w:val="auto"/>
          <w:sz w:val="32"/>
          <w:szCs w:val="32"/>
          <w:highlight w:val="none"/>
          <w:lang w:bidi="ar-SA"/>
        </w:rPr>
        <w:t>分，评定等级为</w:t>
      </w:r>
      <w:r>
        <w:rPr>
          <w:rFonts w:ascii="Times New Roman" w:hAnsi="Times New Roman" w:eastAsia="方正仿宋_GBK" w:cs="Times New Roman"/>
          <w:b/>
          <w:bCs/>
          <w:color w:val="auto"/>
          <w:sz w:val="32"/>
          <w:szCs w:val="32"/>
          <w:highlight w:val="none"/>
          <w:lang w:eastAsia="zh-CN" w:bidi="ar-SA"/>
        </w:rPr>
        <w:t>“</w:t>
      </w:r>
      <w:r>
        <w:rPr>
          <w:rFonts w:ascii="Times New Roman" w:hAnsi="Times New Roman" w:eastAsia="方正仿宋_GBK" w:cs="Times New Roman"/>
          <w:b/>
          <w:bCs/>
          <w:color w:val="auto"/>
          <w:sz w:val="32"/>
          <w:szCs w:val="32"/>
          <w:highlight w:val="none"/>
          <w:lang w:val="en-US" w:eastAsia="zh-CN" w:bidi="ar-SA"/>
        </w:rPr>
        <w:t>良</w:t>
      </w:r>
      <w:r>
        <w:rPr>
          <w:rFonts w:ascii="Times New Roman" w:hAnsi="Times New Roman" w:eastAsia="方正仿宋_GBK" w:cs="Times New Roman"/>
          <w:b/>
          <w:bCs/>
          <w:color w:val="auto"/>
          <w:sz w:val="32"/>
          <w:szCs w:val="32"/>
          <w:highlight w:val="none"/>
          <w:lang w:eastAsia="zh-CN" w:bidi="ar-SA"/>
        </w:rPr>
        <w:t>”</w:t>
      </w:r>
      <w:r>
        <w:rPr>
          <w:rFonts w:ascii="Times New Roman" w:hAnsi="Times New Roman" w:eastAsia="方正仿宋_GBK" w:cs="Times New Roman"/>
          <w:color w:val="auto"/>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firstLineChars="200"/>
        <w:jc w:val="both"/>
        <w:textAlignment w:val="auto"/>
        <w:rPr>
          <w:rFonts w:ascii="Times New Roman" w:hAnsi="Times New Roman" w:eastAsia="方正仿宋_GBK" w:cs="Times New Roman"/>
          <w:color w:val="auto"/>
          <w:sz w:val="32"/>
          <w:szCs w:val="32"/>
          <w:highlight w:val="none"/>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color w:val="auto"/>
          <w:sz w:val="32"/>
          <w:szCs w:val="32"/>
          <w:highlight w:val="none"/>
          <w:lang w:eastAsia="zh-CN" w:bidi="ar-SA"/>
        </w:rPr>
        <w:t>第一，</w:t>
      </w:r>
      <w:r>
        <w:rPr>
          <w:rFonts w:ascii="Times New Roman" w:hAnsi="Times New Roman" w:eastAsia="方正仿宋_GBK" w:cs="Times New Roman"/>
          <w:color w:val="auto"/>
          <w:sz w:val="32"/>
          <w:szCs w:val="32"/>
          <w:highlight w:val="none"/>
          <w:lang w:val="en-US" w:eastAsia="zh-CN" w:bidi="ar-SA"/>
        </w:rPr>
        <w:t>开展改革前置调研评估，夯实机构改革基础。</w:t>
      </w:r>
      <w:r>
        <w:rPr>
          <w:rFonts w:ascii="Times New Roman" w:hAnsi="Times New Roman" w:eastAsia="方正仿宋_GBK" w:cs="Times New Roman"/>
          <w:b/>
          <w:bCs/>
          <w:color w:val="auto"/>
          <w:sz w:val="32"/>
          <w:szCs w:val="32"/>
          <w:highlight w:val="none"/>
          <w:lang w:val="en-US" w:eastAsia="zh-CN" w:bidi="ar-SA"/>
        </w:rPr>
        <w:t>第二，</w:t>
      </w:r>
      <w:r>
        <w:rPr>
          <w:rFonts w:ascii="Times New Roman" w:hAnsi="Times New Roman" w:eastAsia="方正仿宋_GBK" w:cs="Times New Roman"/>
          <w:color w:val="auto"/>
          <w:sz w:val="32"/>
          <w:szCs w:val="32"/>
          <w:highlight w:val="none"/>
          <w:lang w:val="en-US" w:eastAsia="zh-CN" w:bidi="ar-SA"/>
        </w:rPr>
        <w:t>聚焦机构职能协同高效，有序推动体制机制专项改革。</w:t>
      </w:r>
      <w:r>
        <w:rPr>
          <w:rFonts w:ascii="Times New Roman" w:hAnsi="Times New Roman" w:eastAsia="方正仿宋_GBK" w:cs="Times New Roman"/>
          <w:b/>
          <w:bCs/>
          <w:color w:val="auto"/>
          <w:sz w:val="32"/>
          <w:szCs w:val="32"/>
          <w:highlight w:val="none"/>
          <w:lang w:val="en-US" w:eastAsia="zh-CN" w:bidi="ar-SA"/>
        </w:rPr>
        <w:t>第三，</w:t>
      </w:r>
      <w:r>
        <w:rPr>
          <w:rFonts w:ascii="Times New Roman" w:hAnsi="Times New Roman" w:eastAsia="方正仿宋_GBK" w:cs="Times New Roman"/>
          <w:color w:val="auto"/>
          <w:sz w:val="32"/>
          <w:szCs w:val="32"/>
          <w:highlight w:val="none"/>
          <w:lang w:val="en-US" w:eastAsia="zh-CN" w:bidi="ar-SA"/>
        </w:rPr>
        <w:t>科学规范从严管理，优化配置机构编制资源。</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firstLineChars="200"/>
        <w:jc w:val="both"/>
        <w:textAlignment w:val="auto"/>
        <w:rPr>
          <w:rFonts w:ascii="Times New Roman" w:hAnsi="Times New Roman" w:eastAsia="方正仿宋_GBK" w:cs="Times New Roman"/>
          <w:color w:val="auto"/>
          <w:sz w:val="32"/>
          <w:szCs w:val="32"/>
          <w:highlight w:val="none"/>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sz w:val="32"/>
          <w:szCs w:val="32"/>
          <w:highlight w:val="none"/>
          <w:lang w:val="en-US" w:eastAsia="zh-CN" w:bidi="ar-SA"/>
        </w:rPr>
        <w:t>第一，部分预算项目测算依据不充分，预算编报质量有待提高。</w:t>
      </w:r>
      <w:r>
        <w:rPr>
          <w:rFonts w:ascii="Times New Roman" w:hAnsi="Times New Roman" w:eastAsia="方正仿宋_GBK" w:cs="Times New Roman"/>
          <w:color w:val="auto"/>
          <w:sz w:val="32"/>
          <w:szCs w:val="32"/>
          <w:highlight w:val="none"/>
          <w:lang w:val="en-US" w:eastAsia="zh-CN" w:bidi="ar-SA"/>
        </w:rPr>
        <w:t>部分项目预算编制主要参照上一年度的经费基数，涉及的“培训费”“差旅费”等主要业务活动量，测算依据粗略不明确，与年度实际需求及相应标准的结合不够紧密。如：缺乏讲师人数、差旅天数等测算依据，预算编制细化程度有待提高。</w:t>
      </w:r>
      <w:r>
        <w:rPr>
          <w:rFonts w:ascii="Times New Roman" w:hAnsi="Times New Roman" w:eastAsia="方正仿宋_GBK" w:cs="Times New Roman"/>
          <w:b/>
          <w:bCs/>
          <w:color w:val="auto"/>
          <w:sz w:val="32"/>
          <w:szCs w:val="32"/>
          <w:highlight w:val="none"/>
          <w:lang w:val="en-US" w:eastAsia="zh-CN" w:bidi="ar-SA"/>
        </w:rPr>
        <w:t>第二，绩效目标不够明确，全过程预算绩效管理意识有待加强。</w:t>
      </w:r>
      <w:r>
        <w:rPr>
          <w:rFonts w:ascii="Times New Roman" w:hAnsi="Times New Roman" w:eastAsia="方正仿宋_GBK" w:cs="Times New Roman"/>
          <w:color w:val="auto"/>
          <w:sz w:val="32"/>
          <w:szCs w:val="32"/>
          <w:highlight w:val="none"/>
          <w:lang w:val="en-US" w:eastAsia="zh-CN" w:bidi="ar-SA"/>
        </w:rPr>
        <w:t>部门未制定绩效管理机制，设置的绩效指标存在量化程度不够、指标值设置偏低等问题。</w:t>
      </w:r>
      <w:r>
        <w:rPr>
          <w:rFonts w:ascii="Times New Roman" w:hAnsi="Times New Roman" w:eastAsia="方正仿宋_GBK" w:cs="Times New Roman"/>
          <w:b/>
          <w:bCs/>
          <w:color w:val="auto"/>
          <w:sz w:val="32"/>
          <w:szCs w:val="32"/>
          <w:highlight w:val="none"/>
          <w:lang w:val="en-US" w:eastAsia="zh-CN" w:bidi="ar-SA"/>
        </w:rPr>
        <w:t>第三，部门资金资产及采购管理存在薄弱环节，内控管理水平有待提升。一是</w:t>
      </w:r>
      <w:r>
        <w:rPr>
          <w:rFonts w:ascii="Times New Roman" w:hAnsi="Times New Roman" w:eastAsia="方正仿宋_GBK" w:cs="Times New Roman"/>
          <w:color w:val="auto"/>
          <w:sz w:val="32"/>
          <w:szCs w:val="32"/>
          <w:highlight w:val="none"/>
          <w:lang w:val="en-US" w:eastAsia="zh-CN" w:bidi="ar-SA"/>
        </w:rPr>
        <w:t>资金管理方面，存在非财政拨款结转科目核算有误、结转结余资金未及时统筹清理或使用、非税收入（银行利息收入）未及时上缴等问题，影响后续决算及核算准确性。</w:t>
      </w:r>
      <w:r>
        <w:rPr>
          <w:rFonts w:ascii="Times New Roman" w:hAnsi="Times New Roman" w:eastAsia="方正仿宋_GBK" w:cs="Times New Roman"/>
          <w:b/>
          <w:bCs/>
          <w:color w:val="auto"/>
          <w:sz w:val="32"/>
          <w:szCs w:val="32"/>
          <w:highlight w:val="none"/>
          <w:lang w:val="en-US" w:eastAsia="zh-CN" w:bidi="ar-SA"/>
        </w:rPr>
        <w:t>二是</w:t>
      </w:r>
      <w:r>
        <w:rPr>
          <w:rFonts w:ascii="Times New Roman" w:hAnsi="Times New Roman" w:eastAsia="方正仿宋_GBK" w:cs="Times New Roman"/>
          <w:color w:val="auto"/>
          <w:sz w:val="32"/>
          <w:szCs w:val="32"/>
          <w:highlight w:val="none"/>
          <w:lang w:val="en-US" w:eastAsia="zh-CN" w:bidi="ar-SA"/>
        </w:rPr>
        <w:t>采购管理方面，存在合同签订日与合同履约期限倒挂、合同未及时备案问题，采购程序不严谨。</w:t>
      </w:r>
      <w:r>
        <w:rPr>
          <w:rFonts w:ascii="Times New Roman" w:hAnsi="Times New Roman" w:eastAsia="方正仿宋_GBK" w:cs="Times New Roman"/>
          <w:b/>
          <w:bCs/>
          <w:color w:val="auto"/>
          <w:sz w:val="32"/>
          <w:szCs w:val="32"/>
          <w:highlight w:val="none"/>
          <w:lang w:val="en-US" w:eastAsia="zh-CN" w:bidi="ar-SA"/>
        </w:rPr>
        <w:t>三是</w:t>
      </w:r>
      <w:r>
        <w:rPr>
          <w:rFonts w:ascii="Times New Roman" w:hAnsi="Times New Roman" w:eastAsia="方正仿宋_GBK" w:cs="Times New Roman"/>
          <w:color w:val="auto"/>
          <w:sz w:val="32"/>
          <w:szCs w:val="32"/>
          <w:highlight w:val="none"/>
          <w:lang w:val="en-US" w:eastAsia="zh-CN" w:bidi="ar-SA"/>
        </w:rPr>
        <w:t>资产管理方面，未落实年度盘点工作；存在闲置资产堆积占用库容、资产信息更新不及时、资产月报填报不准确问题，资产管理规范性不足。</w:t>
      </w:r>
      <w:r>
        <w:rPr>
          <w:rFonts w:ascii="Times New Roman" w:hAnsi="Times New Roman" w:eastAsia="方正仿宋_GBK" w:cs="Times New Roman"/>
          <w:b/>
          <w:bCs/>
          <w:color w:val="auto"/>
          <w:sz w:val="32"/>
          <w:szCs w:val="32"/>
          <w:highlight w:val="none"/>
          <w:lang w:val="en-US" w:eastAsia="zh-CN" w:bidi="ar-SA"/>
        </w:rPr>
        <w:t>第四，机构政策宣传力度偏弱，“机构编制网”主渠道宣传作用未完全发挥。</w:t>
      </w:r>
      <w:r>
        <w:rPr>
          <w:rFonts w:ascii="Times New Roman" w:hAnsi="Times New Roman" w:eastAsia="方正仿宋_GBK" w:cs="Times New Roman"/>
          <w:color w:val="auto"/>
          <w:sz w:val="32"/>
          <w:szCs w:val="32"/>
          <w:highlight w:val="none"/>
          <w:lang w:val="en-US" w:eastAsia="zh-CN" w:bidi="ar-SA"/>
        </w:rPr>
        <w:t>“信息动态”栏目更新频率对比周边地市尚有一定差距；“县区工作动态”栏目年更新频率仅5条，未充分发挥“机构编制网”的宣传主渠道作用。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color w:val="auto"/>
          <w:sz w:val="32"/>
          <w:szCs w:val="32"/>
          <w:highlight w:val="none"/>
          <w:lang w:val="en-US" w:eastAsia="zh-CN" w:bidi="ar-SA"/>
        </w:rPr>
        <w:t>第一，强化零基预算理念，细化预算编制，减少预算安排和实际任务需求间的误差。</w:t>
      </w:r>
      <w:r>
        <w:rPr>
          <w:rFonts w:ascii="Times New Roman" w:hAnsi="Times New Roman" w:eastAsia="方正仿宋_GBK" w:cs="Times New Roman"/>
          <w:color w:val="auto"/>
          <w:sz w:val="32"/>
          <w:szCs w:val="32"/>
          <w:highlight w:val="none"/>
          <w:lang w:val="en-US" w:eastAsia="zh-CN" w:bidi="ar-SA"/>
        </w:rPr>
        <w:t>深入贯彻零基预算理念，在编制预算时打破传统基数观念和支出固化模式，依据相关文件规定的支出标准和项目实际需求，合理确定各预算项目的支出额度，以提高预算编制的精细化程度。</w:t>
      </w:r>
      <w:r>
        <w:rPr>
          <w:rFonts w:ascii="Times New Roman" w:hAnsi="Times New Roman" w:eastAsia="方正仿宋_GBK" w:cs="Times New Roman"/>
          <w:b/>
          <w:bCs/>
          <w:color w:val="auto"/>
          <w:sz w:val="32"/>
          <w:szCs w:val="32"/>
          <w:highlight w:val="none"/>
          <w:lang w:val="en-US" w:eastAsia="zh-CN" w:bidi="ar-SA"/>
        </w:rPr>
        <w:t>第二，健全绩效机制，提高目标编报和自评质量，逐步巩固预算绩效管理工作基础。一是</w:t>
      </w:r>
      <w:r>
        <w:rPr>
          <w:rFonts w:ascii="Times New Roman" w:hAnsi="Times New Roman" w:eastAsia="方正仿宋_GBK" w:cs="Times New Roman"/>
          <w:color w:val="auto"/>
          <w:sz w:val="32"/>
          <w:szCs w:val="32"/>
          <w:highlight w:val="none"/>
          <w:lang w:val="en-US" w:eastAsia="zh-CN" w:bidi="ar-SA"/>
        </w:rPr>
        <w:t>建立健全绩效管理机制，规范和压实各环节绩效责任。</w:t>
      </w:r>
      <w:r>
        <w:rPr>
          <w:rFonts w:ascii="Times New Roman" w:hAnsi="Times New Roman" w:eastAsia="方正仿宋_GBK" w:cs="Times New Roman"/>
          <w:b/>
          <w:bCs/>
          <w:color w:val="auto"/>
          <w:sz w:val="32"/>
          <w:szCs w:val="32"/>
          <w:highlight w:val="none"/>
          <w:lang w:val="en-US" w:eastAsia="zh-CN" w:bidi="ar-SA"/>
        </w:rPr>
        <w:t>二是</w:t>
      </w:r>
      <w:r>
        <w:rPr>
          <w:rFonts w:ascii="Times New Roman" w:hAnsi="Times New Roman" w:eastAsia="方正仿宋_GBK" w:cs="Times New Roman"/>
          <w:color w:val="auto"/>
          <w:kern w:val="2"/>
          <w:sz w:val="32"/>
          <w:szCs w:val="32"/>
          <w:highlight w:val="none"/>
          <w:lang w:val="en-US" w:eastAsia="zh-CN" w:bidi="ar-SA"/>
        </w:rPr>
        <w:t>申报部门整体绩效目标时，以“三定”方案和预算资金管理为主线，加强绩效目标与工作计划的衔接性、与预算资金的匹配性；设置绩效指标时对绩效指标尽量进行定性定量设置；通过有效实施绩效自评，适当实施绩效监控，及时进行绩效公开，推动预算绩效管理提质增效。</w:t>
      </w:r>
      <w:r>
        <w:rPr>
          <w:rFonts w:ascii="Times New Roman" w:hAnsi="Times New Roman" w:eastAsia="方正仿宋_GBK" w:cs="Times New Roman"/>
          <w:b/>
          <w:bCs/>
          <w:color w:val="auto"/>
          <w:sz w:val="32"/>
          <w:szCs w:val="32"/>
          <w:highlight w:val="none"/>
          <w:lang w:val="en-US" w:eastAsia="zh-CN" w:bidi="ar-SA"/>
        </w:rPr>
        <w:t>第三，及时落实存量资金清理和采购备案事项，提升部门内控管理质效。一是</w:t>
      </w:r>
      <w:r>
        <w:rPr>
          <w:rFonts w:ascii="Times New Roman" w:hAnsi="Times New Roman" w:eastAsia="方正仿宋_GBK" w:cs="Times New Roman"/>
          <w:color w:val="auto"/>
          <w:sz w:val="32"/>
          <w:szCs w:val="32"/>
          <w:highlight w:val="none"/>
          <w:lang w:val="en-US" w:eastAsia="zh-CN" w:bidi="ar-SA"/>
        </w:rPr>
        <w:t>严格按照政府会计制度要求进行会计核算，按照“收支两条线”管理规定上缴非税收入（银行利息收入）。</w:t>
      </w:r>
      <w:r>
        <w:rPr>
          <w:rFonts w:ascii="Times New Roman" w:hAnsi="Times New Roman" w:eastAsia="方正仿宋_GBK" w:cs="Times New Roman"/>
          <w:b/>
          <w:bCs/>
          <w:color w:val="auto"/>
          <w:sz w:val="32"/>
          <w:szCs w:val="32"/>
          <w:highlight w:val="none"/>
          <w:lang w:val="en-US" w:eastAsia="zh-CN" w:bidi="ar-SA"/>
        </w:rPr>
        <w:t>二是</w:t>
      </w:r>
      <w:r>
        <w:rPr>
          <w:rFonts w:ascii="Times New Roman" w:hAnsi="Times New Roman" w:eastAsia="方正仿宋_GBK" w:cs="Times New Roman"/>
          <w:color w:val="auto"/>
          <w:sz w:val="32"/>
          <w:szCs w:val="32"/>
          <w:highlight w:val="none"/>
          <w:lang w:val="en-US" w:eastAsia="zh-CN" w:bidi="ar-SA"/>
        </w:rPr>
        <w:t>及时上缴养老职业年金结转资金，助推历史遗留问题“减仓清仓”，压缩存量资金规模。</w:t>
      </w:r>
      <w:r>
        <w:rPr>
          <w:rFonts w:ascii="Times New Roman" w:hAnsi="Times New Roman" w:eastAsia="方正仿宋_GBK" w:cs="Times New Roman"/>
          <w:b/>
          <w:bCs/>
          <w:color w:val="auto"/>
          <w:sz w:val="32"/>
          <w:szCs w:val="32"/>
          <w:highlight w:val="none"/>
          <w:lang w:val="en-US" w:eastAsia="zh-CN" w:bidi="ar-SA"/>
        </w:rPr>
        <w:t>三是</w:t>
      </w:r>
      <w:r>
        <w:rPr>
          <w:rFonts w:ascii="Times New Roman" w:hAnsi="Times New Roman" w:eastAsia="方正仿宋_GBK" w:cs="Times New Roman"/>
          <w:color w:val="auto"/>
          <w:sz w:val="32"/>
          <w:szCs w:val="32"/>
          <w:highlight w:val="none"/>
          <w:lang w:val="en-US" w:eastAsia="zh-CN" w:bidi="ar-SA"/>
        </w:rPr>
        <w:t>做实合同监控，及时落实采购公开及备案等事项，提升合同管理质效。</w:t>
      </w:r>
      <w:r>
        <w:rPr>
          <w:rFonts w:ascii="Times New Roman" w:hAnsi="Times New Roman" w:eastAsia="方正仿宋_GBK" w:cs="Times New Roman"/>
          <w:b/>
          <w:bCs/>
          <w:color w:val="auto"/>
          <w:sz w:val="32"/>
          <w:szCs w:val="32"/>
          <w:highlight w:val="none"/>
          <w:lang w:val="en-US" w:eastAsia="zh-CN" w:bidi="ar-SA"/>
        </w:rPr>
        <w:t>第四，实化举措推动资产管理，提升国有资产管理效能。</w:t>
      </w:r>
      <w:r>
        <w:rPr>
          <w:rFonts w:ascii="Times New Roman" w:hAnsi="Times New Roman" w:eastAsia="方正仿宋_GBK" w:cs="Times New Roman"/>
          <w:b/>
          <w:bCs/>
          <w:color w:val="auto"/>
          <w:kern w:val="2"/>
          <w:sz w:val="32"/>
          <w:szCs w:val="32"/>
          <w:highlight w:val="none"/>
          <w:lang w:val="en-US" w:eastAsia="zh-CN" w:bidi="ar-SA"/>
        </w:rPr>
        <w:t>一是</w:t>
      </w:r>
      <w:r>
        <w:rPr>
          <w:rFonts w:ascii="Times New Roman" w:hAnsi="Times New Roman" w:eastAsia="方正仿宋_GBK" w:cs="Times New Roman"/>
          <w:color w:val="auto"/>
          <w:kern w:val="2"/>
          <w:sz w:val="32"/>
          <w:szCs w:val="32"/>
          <w:highlight w:val="none"/>
          <w:lang w:val="en-US" w:eastAsia="zh-CN" w:bidi="ar-SA"/>
        </w:rPr>
        <w:t>在落实资产清查盘点工作的基础上，按规定处置待处理资产，降低因管理资产造成的人力、物力耗费。</w:t>
      </w:r>
      <w:r>
        <w:rPr>
          <w:rFonts w:ascii="Times New Roman" w:hAnsi="Times New Roman" w:eastAsia="方正仿宋_GBK" w:cs="Times New Roman"/>
          <w:b/>
          <w:bCs/>
          <w:color w:val="auto"/>
          <w:kern w:val="2"/>
          <w:sz w:val="32"/>
          <w:szCs w:val="32"/>
          <w:highlight w:val="none"/>
          <w:lang w:val="en-US" w:eastAsia="zh-CN" w:bidi="ar-SA"/>
        </w:rPr>
        <w:t>二是</w:t>
      </w:r>
      <w:r>
        <w:rPr>
          <w:rFonts w:ascii="Times New Roman" w:hAnsi="Times New Roman" w:eastAsia="方正仿宋_GBK" w:cs="Times New Roman"/>
          <w:color w:val="auto"/>
          <w:kern w:val="2"/>
          <w:sz w:val="32"/>
          <w:szCs w:val="32"/>
          <w:highlight w:val="none"/>
          <w:lang w:val="en-US" w:eastAsia="zh-CN" w:bidi="ar-SA"/>
        </w:rPr>
        <w:t>建立变动资产按季度更新机制，实现固定资产动态管理；新增资产时及时入账，保证账务、行政事业单位资产管理信息系统数据同步，确保月报按时保质上报，并与资产年报数据衔接，筑牢报告编制的“地基”。</w:t>
      </w:r>
      <w:r>
        <w:rPr>
          <w:rFonts w:ascii="Times New Roman" w:hAnsi="Times New Roman" w:eastAsia="方正仿宋_GBK" w:cs="Times New Roman"/>
          <w:b/>
          <w:bCs/>
          <w:color w:val="auto"/>
          <w:kern w:val="2"/>
          <w:sz w:val="32"/>
          <w:szCs w:val="32"/>
          <w:highlight w:val="none"/>
          <w:lang w:val="en-US" w:eastAsia="zh-CN" w:bidi="ar-SA"/>
        </w:rPr>
        <w:t>三是</w:t>
      </w:r>
      <w:r>
        <w:rPr>
          <w:rFonts w:ascii="Times New Roman" w:hAnsi="Times New Roman" w:eastAsia="方正仿宋_GBK" w:cs="Times New Roman"/>
          <w:color w:val="auto"/>
          <w:kern w:val="2"/>
          <w:sz w:val="32"/>
          <w:szCs w:val="32"/>
          <w:highlight w:val="none"/>
          <w:lang w:val="en-US" w:eastAsia="zh-CN" w:bidi="ar-SA"/>
        </w:rPr>
        <w:t>深入挖掘闲置资产设备的潜在功能，通过与相关部门沟通协调，采取租赁或调剂等方式给有需求的单位使用，最大限度做到资源共享、物尽其用。</w:t>
      </w:r>
      <w:r>
        <w:rPr>
          <w:rFonts w:ascii="Times New Roman" w:hAnsi="Times New Roman" w:eastAsia="方正仿宋_GBK" w:cs="Times New Roman"/>
          <w:b/>
          <w:bCs/>
          <w:color w:val="auto"/>
          <w:sz w:val="32"/>
          <w:szCs w:val="32"/>
          <w:highlight w:val="none"/>
          <w:lang w:val="en-US" w:eastAsia="zh-CN" w:bidi="ar-SA"/>
        </w:rPr>
        <w:t>第五，充分利用好宣传窗口，展示机构编制部门“好声音”和“新作为”。一是</w:t>
      </w:r>
      <w:r>
        <w:rPr>
          <w:rFonts w:ascii="Times New Roman" w:hAnsi="Times New Roman" w:eastAsia="方正仿宋_GBK" w:cs="Times New Roman"/>
          <w:color w:val="auto"/>
          <w:sz w:val="32"/>
          <w:szCs w:val="32"/>
          <w:highlight w:val="none"/>
          <w:lang w:val="en-US" w:eastAsia="zh-CN" w:bidi="ar-SA"/>
        </w:rPr>
        <w:t>利用机构编制门户网站，充分发挥“惠州市机构编制网”的宣传主渠道作用。通过及时更新、充实完善“政策法规”“信息公开”“改革与管理”等专栏和板块，向社会大众宣传中央和省市各级机构编制和业务工作的进展动态。</w:t>
      </w:r>
      <w:r>
        <w:rPr>
          <w:rFonts w:ascii="Times New Roman" w:hAnsi="Times New Roman" w:eastAsia="方正仿宋_GBK" w:cs="Times New Roman"/>
          <w:b/>
          <w:bCs/>
          <w:color w:val="auto"/>
          <w:sz w:val="32"/>
          <w:szCs w:val="32"/>
          <w:highlight w:val="none"/>
          <w:lang w:val="en-US" w:eastAsia="zh-CN" w:bidi="ar-SA"/>
        </w:rPr>
        <w:t>二是</w:t>
      </w:r>
      <w:r>
        <w:rPr>
          <w:rFonts w:ascii="Times New Roman" w:hAnsi="Times New Roman" w:eastAsia="方正仿宋_GBK" w:cs="Times New Roman"/>
          <w:color w:val="auto"/>
          <w:sz w:val="32"/>
          <w:szCs w:val="32"/>
          <w:highlight w:val="none"/>
          <w:lang w:val="en-US" w:eastAsia="zh-CN" w:bidi="ar-SA"/>
        </w:rPr>
        <w:t>充分利用机构编制网站、LED显示屏等有效载体，结合机构编制申请事项及机构编制资源使用效益情况评估、走访调研等方式，进一步扩大宣传辐射面，扩大机构编制工作的关注度、知情权、认同感，引导广大干部职工充分了解机构编制工作，提升与机构编制部门配合推进工作的密切度。</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beforeLines="0" w:after="0" w:afterLines="0" w:line="600" w:lineRule="exact"/>
        <w:ind w:left="0" w:firstLine="640" w:firstLineChars="200"/>
        <w:textAlignment w:val="auto"/>
        <w:outlineLvl w:val="0"/>
        <w:rPr>
          <w:rFonts w:ascii="Times New Roman" w:hAnsi="Times New Roman" w:eastAsia="方正黑体_GBK" w:cs="Times New Roman"/>
          <w:bCs/>
          <w:color w:val="auto"/>
          <w:kern w:val="2"/>
          <w:sz w:val="32"/>
          <w:szCs w:val="32"/>
          <w:lang w:val="en-US" w:eastAsia="zh-CN" w:bidi="ar-SA"/>
        </w:rPr>
      </w:pPr>
      <w:bookmarkStart w:id="52" w:name="_Toc4806"/>
      <w:bookmarkStart w:id="53" w:name="_Toc8577"/>
      <w:bookmarkStart w:id="54" w:name="_Toc22764"/>
      <w:r>
        <w:rPr>
          <w:rFonts w:ascii="Times New Roman" w:hAnsi="Times New Roman" w:eastAsia="方正黑体_GBK" w:cs="Times New Roman"/>
          <w:bCs/>
          <w:color w:val="auto"/>
          <w:kern w:val="2"/>
          <w:sz w:val="32"/>
          <w:szCs w:val="32"/>
          <w:lang w:val="en-US" w:eastAsia="zh-CN" w:bidi="ar-SA"/>
        </w:rPr>
        <w:t>惠州市工业和信息化局2023年度部门整体支出</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left="0" w:firstLine="640" w:firstLineChars="200"/>
        <w:textAlignment w:val="auto"/>
        <w:outlineLvl w:val="0"/>
        <w:rPr>
          <w:rFonts w:ascii="Times New Roman" w:hAnsi="Times New Roman" w:eastAsia="方正仿宋_GBK" w:cs="Times New Roman"/>
          <w:color w:val="auto"/>
          <w:kern w:val="0"/>
          <w:sz w:val="32"/>
          <w:szCs w:val="32"/>
          <w:lang w:val="en-US" w:eastAsia="zh-CN" w:bidi="ar-SA"/>
        </w:rPr>
      </w:pPr>
      <w:r>
        <w:rPr>
          <w:rFonts w:ascii="Times New Roman" w:hAnsi="Times New Roman" w:eastAsia="方正仿宋_GBK" w:cs="Times New Roman"/>
          <w:color w:val="auto"/>
          <w:kern w:val="0"/>
          <w:sz w:val="32"/>
          <w:szCs w:val="32"/>
          <w:lang w:val="en-US" w:eastAsia="zh-CN" w:bidi="ar-SA"/>
        </w:rPr>
        <w:t>为加强财政支出管理，提高财政资金的使用效益，惠州市财政局（以下简称“市财政局”）委托广东中大管理咨询集团股份有限公司（以下简称“中大咨询”）对惠州市工业和信息化局（以下简称“市工信局”）2023年度部门整体支出情况实施绩效评价。2023年市工信局收入决算总数为74,524,128.95元，支出决算总数为73,921,990.91元，全年预算执行率为99.19%。</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kern w:val="0"/>
          <w:sz w:val="32"/>
          <w:szCs w:val="32"/>
          <w:lang w:val="en-US" w:eastAsia="zh-CN" w:bidi="ar-SA"/>
        </w:rPr>
      </w:pPr>
      <w:r>
        <w:rPr>
          <w:rFonts w:ascii="Times New Roman" w:hAnsi="Times New Roman" w:eastAsia="方正仿宋_GBK" w:cs="Times New Roman"/>
          <w:color w:val="auto"/>
          <w:kern w:val="0"/>
          <w:sz w:val="32"/>
          <w:szCs w:val="32"/>
          <w:lang w:val="en-US" w:eastAsia="zh-CN" w:bidi="ar-SA"/>
        </w:rPr>
        <w:t>经过资料收集报送、书面评审、现场评价等流程，经评定，市工信局2023年度部门整体支出绩效评价得分：</w:t>
      </w:r>
      <w:r>
        <w:rPr>
          <w:rFonts w:ascii="Times New Roman" w:hAnsi="Times New Roman" w:eastAsia="方正仿宋_GBK" w:cs="Times New Roman"/>
          <w:b/>
          <w:bCs/>
          <w:color w:val="auto"/>
          <w:kern w:val="0"/>
          <w:sz w:val="32"/>
          <w:szCs w:val="32"/>
          <w:lang w:val="en-US" w:eastAsia="zh-CN" w:bidi="ar-SA"/>
        </w:rPr>
        <w:t>87.41分</w:t>
      </w:r>
      <w:r>
        <w:rPr>
          <w:rFonts w:ascii="Times New Roman" w:hAnsi="Times New Roman" w:eastAsia="方正仿宋_GBK" w:cs="Times New Roman"/>
          <w:color w:val="auto"/>
          <w:kern w:val="0"/>
          <w:sz w:val="32"/>
          <w:szCs w:val="32"/>
          <w:lang w:val="en-US" w:eastAsia="zh-CN" w:bidi="ar-SA"/>
        </w:rPr>
        <w:t>，评定等级为</w:t>
      </w:r>
      <w:r>
        <w:rPr>
          <w:rFonts w:ascii="Times New Roman" w:hAnsi="Times New Roman" w:eastAsia="方正仿宋_GBK" w:cs="Times New Roman"/>
          <w:b/>
          <w:bCs/>
          <w:color w:val="auto"/>
          <w:kern w:val="0"/>
          <w:sz w:val="32"/>
          <w:szCs w:val="32"/>
          <w:lang w:val="en-US" w:eastAsia="zh-CN" w:bidi="ar-SA"/>
        </w:rPr>
        <w:t>“良”</w:t>
      </w:r>
      <w:r>
        <w:rPr>
          <w:rFonts w:ascii="Times New Roman" w:hAnsi="Times New Roman" w:eastAsia="方正仿宋_GBK" w:cs="Times New Roman"/>
          <w:color w:val="auto"/>
          <w:kern w:val="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kern w:val="0"/>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color w:val="auto"/>
          <w:kern w:val="0"/>
          <w:sz w:val="32"/>
          <w:szCs w:val="32"/>
          <w:lang w:val="en-US" w:eastAsia="zh-CN" w:bidi="ar-SA"/>
        </w:rPr>
        <w:t>第一，市直部门绩效考核结果</w:t>
      </w:r>
      <w:r>
        <w:rPr>
          <w:rFonts w:hint="eastAsia" w:eastAsia="方正仿宋_GBK" w:cs="Times New Roman"/>
          <w:b/>
          <w:bCs/>
          <w:color w:val="auto"/>
          <w:kern w:val="0"/>
          <w:sz w:val="32"/>
          <w:szCs w:val="32"/>
          <w:lang w:val="en-US" w:eastAsia="zh-CN" w:bidi="ar-SA"/>
        </w:rPr>
        <w:t>为</w:t>
      </w:r>
      <w:r>
        <w:rPr>
          <w:rFonts w:ascii="Times New Roman" w:hAnsi="Times New Roman" w:eastAsia="方正仿宋_GBK" w:cs="Times New Roman"/>
          <w:b/>
          <w:bCs/>
          <w:color w:val="auto"/>
          <w:kern w:val="0"/>
          <w:sz w:val="32"/>
          <w:szCs w:val="32"/>
          <w:lang w:val="en-US" w:eastAsia="zh-CN" w:bidi="ar-SA"/>
        </w:rPr>
        <w:t>优秀，年度重点工作任务全部按期完成。一是</w:t>
      </w:r>
      <w:r>
        <w:rPr>
          <w:rFonts w:ascii="Times New Roman" w:hAnsi="Times New Roman" w:eastAsia="方正仿宋_GBK" w:cs="Times New Roman"/>
          <w:color w:val="auto"/>
          <w:kern w:val="0"/>
          <w:sz w:val="32"/>
          <w:szCs w:val="32"/>
          <w:lang w:val="en-US" w:eastAsia="zh-CN" w:bidi="ar-SA"/>
        </w:rPr>
        <w:t>惠州市工业和信息化局在市委组织部组织的2023年度市直部门绩效考核评价中，取得了“优秀”等次。</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《市政府工作报告》分解至市工信局的84项重点工作任务均基本完成。</w:t>
      </w:r>
      <w:r>
        <w:rPr>
          <w:rFonts w:ascii="Times New Roman" w:hAnsi="Times New Roman" w:eastAsia="方正仿宋_GBK" w:cs="Times New Roman"/>
          <w:b/>
          <w:bCs/>
          <w:color w:val="auto"/>
          <w:kern w:val="0"/>
          <w:sz w:val="32"/>
          <w:szCs w:val="32"/>
          <w:lang w:val="en-US" w:eastAsia="zh-CN" w:bidi="ar-SA"/>
        </w:rPr>
        <w:t>第二，全力推动工业项目建设，巩固提升工业发展水平，工业产业竞争力逐步加强。一是</w:t>
      </w:r>
      <w:r>
        <w:rPr>
          <w:rFonts w:ascii="Times New Roman" w:hAnsi="Times New Roman" w:eastAsia="方正仿宋_GBK" w:cs="Times New Roman"/>
          <w:color w:val="auto"/>
          <w:kern w:val="0"/>
          <w:sz w:val="32"/>
          <w:szCs w:val="32"/>
          <w:lang w:val="en-US" w:eastAsia="zh-CN" w:bidi="ar-SA"/>
        </w:rPr>
        <w:t>全市工业基础持续筑牢夯实，发展后劲不断积厚成势。2023年全市规上工业企业4,475家，规上工业总产值11,423亿元，增长1.3%；规上工业增加值2,575.6亿元，规模总量排全省第五，增长5.2%。</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产业集群基础更加夯实。2023年全市工业占GDP的比重约48.3%。</w:t>
      </w:r>
      <w:r>
        <w:rPr>
          <w:rFonts w:ascii="Times New Roman" w:hAnsi="Times New Roman" w:eastAsia="方正仿宋_GBK" w:cs="Times New Roman"/>
          <w:b/>
          <w:bCs/>
          <w:color w:val="auto"/>
          <w:kern w:val="0"/>
          <w:sz w:val="32"/>
          <w:szCs w:val="32"/>
          <w:lang w:val="en-US" w:eastAsia="zh-CN" w:bidi="ar-SA"/>
        </w:rPr>
        <w:t>三是</w:t>
      </w:r>
      <w:r>
        <w:rPr>
          <w:rFonts w:ascii="Times New Roman" w:hAnsi="Times New Roman" w:eastAsia="方正仿宋_GBK" w:cs="Times New Roman"/>
          <w:color w:val="auto"/>
          <w:kern w:val="0"/>
          <w:sz w:val="32"/>
          <w:szCs w:val="32"/>
          <w:lang w:val="en-US" w:eastAsia="zh-CN" w:bidi="ar-SA"/>
        </w:rPr>
        <w:t>园区集聚度增强，“3+7”园区贡献了全市70%的工业总产值和62%的工业投资。</w:t>
      </w:r>
      <w:r>
        <w:rPr>
          <w:rFonts w:ascii="Times New Roman" w:hAnsi="Times New Roman" w:eastAsia="方正仿宋_GBK" w:cs="Times New Roman"/>
          <w:b/>
          <w:bCs/>
          <w:color w:val="auto"/>
          <w:kern w:val="0"/>
          <w:sz w:val="32"/>
          <w:szCs w:val="32"/>
          <w:lang w:val="en-US" w:eastAsia="zh-CN" w:bidi="ar-SA"/>
        </w:rPr>
        <w:t>第三，抓转型、促升级，推动产业高端化发展。一是</w:t>
      </w:r>
      <w:r>
        <w:rPr>
          <w:rFonts w:ascii="Times New Roman" w:hAnsi="Times New Roman" w:eastAsia="方正仿宋_GBK" w:cs="Times New Roman"/>
          <w:color w:val="auto"/>
          <w:kern w:val="0"/>
          <w:sz w:val="32"/>
          <w:szCs w:val="32"/>
          <w:lang w:val="en-US" w:eastAsia="zh-CN" w:bidi="ar-SA"/>
        </w:rPr>
        <w:t>全市工业技改投资增速65%，增速排名全省第二。</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先进制造业和高技术制造业增加值占全市规上工业增加值的比重分别为64.9%、39.7%，位居全省前列。</w:t>
      </w:r>
      <w:r>
        <w:rPr>
          <w:rFonts w:ascii="Times New Roman" w:hAnsi="Times New Roman" w:eastAsia="方正仿宋_GBK" w:cs="Times New Roman"/>
          <w:b/>
          <w:bCs/>
          <w:color w:val="auto"/>
          <w:kern w:val="0"/>
          <w:sz w:val="32"/>
          <w:szCs w:val="32"/>
          <w:lang w:val="en-US" w:eastAsia="zh-CN" w:bidi="ar-SA"/>
        </w:rPr>
        <w:t>三是</w:t>
      </w:r>
      <w:r>
        <w:rPr>
          <w:rFonts w:ascii="Times New Roman" w:hAnsi="Times New Roman" w:eastAsia="方正仿宋_GBK" w:cs="Times New Roman"/>
          <w:color w:val="auto"/>
          <w:kern w:val="0"/>
          <w:sz w:val="32"/>
          <w:szCs w:val="32"/>
          <w:lang w:val="en-US" w:eastAsia="zh-CN" w:bidi="ar-SA"/>
        </w:rPr>
        <w:t>新增19家国家级专精特新“小巨人”企业；新增362家省级专精特新中小企业。</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kern w:val="0"/>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kern w:val="0"/>
          <w:sz w:val="32"/>
          <w:szCs w:val="32"/>
          <w:lang w:val="en-US" w:eastAsia="zh-CN" w:bidi="ar-SA"/>
        </w:rPr>
        <w:t>第一，预算管理仍有提升空间。一是</w:t>
      </w:r>
      <w:r>
        <w:rPr>
          <w:rFonts w:ascii="Times New Roman" w:hAnsi="Times New Roman" w:eastAsia="方正仿宋_GBK" w:cs="Times New Roman"/>
          <w:color w:val="auto"/>
          <w:kern w:val="0"/>
          <w:sz w:val="32"/>
          <w:szCs w:val="32"/>
          <w:lang w:val="en-US" w:eastAsia="zh-CN" w:bidi="ar-SA"/>
        </w:rPr>
        <w:t>政府采购项目执行率偏低。市工信局年初政府采购预算2,869,500元，实际政府采购支出405,172.87元，政府采购执行率为14.12%。</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2023年工业专项资金预算存在420万元的项目间预算调剂，如广佛惠共同培育国家超高清视频和智能家电产业集群三地配套资金385万元调减为0。</w:t>
      </w:r>
      <w:r>
        <w:rPr>
          <w:rFonts w:ascii="Times New Roman" w:hAnsi="Times New Roman" w:eastAsia="方正仿宋_GBK" w:cs="Times New Roman"/>
          <w:b/>
          <w:bCs/>
          <w:color w:val="auto"/>
          <w:kern w:val="0"/>
          <w:sz w:val="32"/>
          <w:szCs w:val="32"/>
          <w:lang w:val="en-US" w:eastAsia="zh-CN" w:bidi="ar-SA"/>
        </w:rPr>
        <w:t>第二，部门整体支出绩效目标与指标设置未能体现“以部门整体绩效目标引导资金分配，以绩效指标约束项目资金投入”的意图。一是</w:t>
      </w:r>
      <w:r>
        <w:rPr>
          <w:rFonts w:ascii="Times New Roman" w:hAnsi="Times New Roman" w:eastAsia="方正仿宋_GBK" w:cs="Times New Roman"/>
          <w:color w:val="auto"/>
          <w:kern w:val="0"/>
          <w:sz w:val="32"/>
          <w:szCs w:val="32"/>
          <w:lang w:val="en-US" w:eastAsia="zh-CN" w:bidi="ar-SA"/>
        </w:rPr>
        <w:t>绩效指标未能按照核心职能-重点工作任务-核心绩效指标的思路来梳理，现有部门整体支出绩效目标表不足以反映市工信局全年工作的效益和效果。</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部分绩效指标不可量化衡量。以“是否打造具有聚集效应和地区影响力的数字产业”为例，数字产业发展到何种水平，产值达到什么标准才算有地区影响力，没有一个明确的判断标准。</w:t>
      </w:r>
      <w:r>
        <w:rPr>
          <w:rFonts w:ascii="Times New Roman" w:hAnsi="Times New Roman" w:eastAsia="方正仿宋_GBK" w:cs="Times New Roman"/>
          <w:b/>
          <w:bCs/>
          <w:color w:val="auto"/>
          <w:kern w:val="0"/>
          <w:sz w:val="32"/>
          <w:szCs w:val="32"/>
          <w:lang w:val="en-US" w:eastAsia="zh-CN" w:bidi="ar-SA"/>
        </w:rPr>
        <w:t>三是</w:t>
      </w:r>
      <w:r>
        <w:rPr>
          <w:rFonts w:ascii="Times New Roman" w:hAnsi="Times New Roman" w:eastAsia="方正仿宋_GBK" w:cs="Times New Roman"/>
          <w:color w:val="auto"/>
          <w:kern w:val="0"/>
          <w:sz w:val="32"/>
          <w:szCs w:val="32"/>
          <w:lang w:val="en-US" w:eastAsia="zh-CN" w:bidi="ar-SA"/>
        </w:rPr>
        <w:t>部分绩效指标与市工信局职责关联性不大，如“审计项目数量”“绩效评价项目数量”等。</w:t>
      </w:r>
      <w:r>
        <w:rPr>
          <w:rFonts w:ascii="Times New Roman" w:hAnsi="Times New Roman" w:eastAsia="方正仿宋_GBK" w:cs="Times New Roman"/>
          <w:b/>
          <w:bCs/>
          <w:color w:val="auto"/>
          <w:kern w:val="0"/>
          <w:sz w:val="32"/>
          <w:szCs w:val="32"/>
          <w:lang w:val="en-US" w:eastAsia="zh-CN" w:bidi="ar-SA"/>
        </w:rPr>
        <w:t>第三，部分工信领域工作成绩不够理想。一是</w:t>
      </w:r>
      <w:r>
        <w:rPr>
          <w:rFonts w:ascii="Times New Roman" w:hAnsi="Times New Roman" w:eastAsia="方正仿宋_GBK" w:cs="Times New Roman"/>
          <w:color w:val="auto"/>
          <w:kern w:val="0"/>
          <w:sz w:val="32"/>
          <w:szCs w:val="32"/>
          <w:lang w:val="en-US" w:eastAsia="zh-CN" w:bidi="ar-SA"/>
        </w:rPr>
        <w:t>标准厂房入驻生产效果不够理想。2023年市政府工作报告提出了“推动500万㎡以上标准厂房招商入驻、投运生产”的目标，截至2023年12月31日，全市工业标准厂房完成新入驻投产企业888家，面积409.33万平方米，完成全年目标任务（500万平方米）的81.85%。</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企业培育效果不够理想。截至2023年末，惠州市超百亿企业15家，完成率为75%；超十亿企业138家，完成率76.67%；规上企业数量4,475家，完成率93.23%，三项工作均未实现政府工作报告中的预期目标。</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仿宋" w:cs="Times New Roman"/>
          <w:color w:val="auto"/>
          <w:kern w:val="0"/>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相关建议：</w:t>
      </w:r>
      <w:r>
        <w:rPr>
          <w:rFonts w:ascii="Times New Roman" w:hAnsi="Times New Roman" w:eastAsia="方正仿宋_GBK" w:cs="Times New Roman"/>
          <w:b/>
          <w:bCs/>
          <w:color w:val="auto"/>
          <w:kern w:val="0"/>
          <w:sz w:val="32"/>
          <w:szCs w:val="32"/>
          <w:lang w:val="en-US" w:eastAsia="zh-CN" w:bidi="ar-SA"/>
        </w:rPr>
        <w:t>第一，科学做好部门预算编制工作，提升预算安排的精准度和有效性。一是</w:t>
      </w:r>
      <w:r>
        <w:rPr>
          <w:rFonts w:ascii="Times New Roman" w:hAnsi="Times New Roman" w:eastAsia="方正仿宋_GBK" w:cs="Times New Roman"/>
          <w:color w:val="auto"/>
          <w:kern w:val="0"/>
          <w:sz w:val="32"/>
          <w:szCs w:val="32"/>
          <w:lang w:val="en-US" w:eastAsia="zh-CN" w:bidi="ar-SA"/>
        </w:rPr>
        <w:t>从部门履职需要出发，以部门核心指标体系为导向，市工信局可结合本年制定的部门核心绩效指标体系编制2025年部门预算。</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做实做细职能性专项支出预算，提高预算编制的精准性。首先，对于市本级专项资金，要严格落实《惠州市市级财政专项资金管理办法》（惠府〔2024〕30号）相关要求，提前一年组织入库；其次，对于市本级新增重大政策和项目，要严格落实政策和项目立项预算评估；再次，对于中央、省级财政专项资金等，可提前与上级业务部门对接，争取提前下达资金。</w:t>
      </w:r>
      <w:r>
        <w:rPr>
          <w:rFonts w:ascii="Times New Roman" w:hAnsi="Times New Roman" w:eastAsia="方正仿宋_GBK" w:cs="Times New Roman"/>
          <w:b/>
          <w:bCs/>
          <w:color w:val="auto"/>
          <w:kern w:val="0"/>
          <w:sz w:val="32"/>
          <w:szCs w:val="32"/>
          <w:lang w:val="en-US" w:eastAsia="zh-CN" w:bidi="ar-SA"/>
        </w:rPr>
        <w:t>第二，强化统筹协同管理，落实部门内控各项工作要求，提高部门预算管理、固定资产管理、政府采购管理效能。一是</w:t>
      </w:r>
      <w:r>
        <w:rPr>
          <w:rFonts w:ascii="Times New Roman" w:hAnsi="Times New Roman" w:eastAsia="方正仿宋_GBK" w:cs="Times New Roman"/>
          <w:color w:val="auto"/>
          <w:kern w:val="0"/>
          <w:sz w:val="32"/>
          <w:szCs w:val="32"/>
          <w:lang w:val="en-US" w:eastAsia="zh-CN" w:bidi="ar-SA"/>
        </w:rPr>
        <w:t>预算管理方面，建议市工信局建立健全同一领域不同渠道资金、不同年度间财政资金的统筹机制。其一，建议各业务科室加强对本科室项目预算统筹管理，可将同一项工作所需的经费尽量整合在一个项目内支出，便于项目和资金管理。其二，建议市工信局加强不同科室相关支出项目的预算统筹管理。</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政府采购方面，其一，可考虑由法规与财务科牵头，把相同类型的政府采购项目纳入一个预算项目。其二，做好政府采购项目服务质量监督，各相关业务科室协同对政府采购项目实施情况进行考核，提高服务质量。其三，法规与财务科应定期对政府采购项目实施情况、预算执行情况进行摸查和评估，根据预算执行情况及时调整预算，提高财政资金使用效率。</w:t>
      </w:r>
      <w:r>
        <w:rPr>
          <w:rFonts w:ascii="Times New Roman" w:hAnsi="Times New Roman" w:eastAsia="方正仿宋_GBK" w:cs="Times New Roman"/>
          <w:b/>
          <w:bCs/>
          <w:color w:val="auto"/>
          <w:kern w:val="0"/>
          <w:sz w:val="32"/>
          <w:szCs w:val="32"/>
          <w:lang w:val="en-US" w:eastAsia="zh-CN" w:bidi="ar-SA"/>
        </w:rPr>
        <w:t>第三，梳理部门核心职能，科学合理设置部门整体支出绩效目标与指标。一是</w:t>
      </w:r>
      <w:r>
        <w:rPr>
          <w:rFonts w:ascii="Times New Roman" w:hAnsi="Times New Roman" w:eastAsia="方正仿宋_GBK" w:cs="Times New Roman"/>
          <w:color w:val="auto"/>
          <w:kern w:val="0"/>
          <w:sz w:val="32"/>
          <w:szCs w:val="32"/>
          <w:lang w:val="en-US" w:eastAsia="zh-CN" w:bidi="ar-SA"/>
        </w:rPr>
        <w:t>梳理部门核心职能，提炼部门整体支出核心绩效目标与指标。建议按照核心职能-任务目标-任务指标-预算项目-项目指标的思路，梳理部门核心绩效指标。</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部门年度绩效指标应与部门年度重点工作相匹配，如工业增加值等效益指标受市场影响程度较大，在设置指标值时可参考上级及本级政府下达任务指标、近三年指标完成情况及同类地区指标完成情况等。</w:t>
      </w:r>
      <w:r>
        <w:rPr>
          <w:rFonts w:ascii="Times New Roman" w:hAnsi="Times New Roman" w:eastAsia="方正仿宋_GBK" w:cs="Times New Roman"/>
          <w:b/>
          <w:bCs/>
          <w:color w:val="auto"/>
          <w:kern w:val="0"/>
          <w:sz w:val="32"/>
          <w:szCs w:val="32"/>
          <w:lang w:val="en-US" w:eastAsia="zh-CN" w:bidi="ar-SA"/>
        </w:rPr>
        <w:t>三是</w:t>
      </w:r>
      <w:r>
        <w:rPr>
          <w:rFonts w:ascii="Times New Roman" w:hAnsi="Times New Roman" w:eastAsia="方正仿宋_GBK" w:cs="Times New Roman"/>
          <w:color w:val="auto"/>
          <w:kern w:val="0"/>
          <w:sz w:val="32"/>
          <w:szCs w:val="32"/>
          <w:lang w:val="en-US" w:eastAsia="zh-CN" w:bidi="ar-SA"/>
        </w:rPr>
        <w:t>注重各项绩效目标与指标的可衡量性，绩效指标要尽可能地细化、量化。</w:t>
      </w:r>
      <w:r>
        <w:rPr>
          <w:rFonts w:ascii="Times New Roman" w:hAnsi="Times New Roman" w:eastAsia="方正仿宋_GBK" w:cs="Times New Roman"/>
          <w:b/>
          <w:bCs/>
          <w:color w:val="auto"/>
          <w:kern w:val="0"/>
          <w:sz w:val="32"/>
          <w:szCs w:val="32"/>
          <w:lang w:val="en-US" w:eastAsia="zh-CN" w:bidi="ar-SA"/>
        </w:rPr>
        <w:t>第四，根据惠州市工业特点和各项目补助情况，进一步完善和优化相关管理政策。一是</w:t>
      </w:r>
      <w:r>
        <w:rPr>
          <w:rFonts w:ascii="Times New Roman" w:hAnsi="Times New Roman" w:eastAsia="方正仿宋_GBK" w:cs="Times New Roman"/>
          <w:color w:val="auto"/>
          <w:kern w:val="0"/>
          <w:sz w:val="32"/>
          <w:szCs w:val="32"/>
          <w:lang w:val="en-US" w:eastAsia="zh-CN" w:bidi="ar-SA"/>
        </w:rPr>
        <w:t>采用多元化的项目扶持方式，充分发挥财政定向精准调控作用和引导功能。可考虑进一步整合优化相关支持企业发展政策，优化财政支持方式，聚焦市委、市政府确定的产业发展方向，借鉴先进地区财政在产业升级转型的做法与经验，设立工业产业项目库并定期更新，引导企业申报项目，并优先扶持引领带动能力强的产业新建或产业升级项目。</w:t>
      </w:r>
      <w:r>
        <w:rPr>
          <w:rFonts w:ascii="Times New Roman" w:hAnsi="Times New Roman" w:eastAsia="方正仿宋_GBK" w:cs="Times New Roman"/>
          <w:b/>
          <w:bCs/>
          <w:color w:val="auto"/>
          <w:kern w:val="0"/>
          <w:sz w:val="32"/>
          <w:szCs w:val="32"/>
          <w:lang w:val="en-US" w:eastAsia="zh-CN" w:bidi="ar-SA"/>
        </w:rPr>
        <w:t>二是</w:t>
      </w:r>
      <w:r>
        <w:rPr>
          <w:rFonts w:ascii="Times New Roman" w:hAnsi="Times New Roman" w:eastAsia="方正仿宋_GBK" w:cs="Times New Roman"/>
          <w:color w:val="auto"/>
          <w:kern w:val="0"/>
          <w:sz w:val="32"/>
          <w:szCs w:val="32"/>
          <w:lang w:val="en-US" w:eastAsia="zh-CN" w:bidi="ar-SA"/>
        </w:rPr>
        <w:t>针对标准厂房，一方面可以参照“惠州市千亿级园区和主平台建设”管理经验，由市工信局统筹指导各县区、各标准厂房管理平台明确招商方向，靶向发力，形成错位竞争、协同发展的产业生态。另一方面，需明确各标准厂房入驻的最低门槛，包括业态、单位面积产值、税收等，对整体发展较好的平台，可在现有政策框架内给予一定的扶持，提高平台招商的积极性。</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七、</w:t>
      </w:r>
      <w:bookmarkEnd w:id="52"/>
      <w:bookmarkEnd w:id="53"/>
      <w:bookmarkEnd w:id="54"/>
      <w:r>
        <w:rPr>
          <w:rFonts w:ascii="Times New Roman" w:hAnsi="Times New Roman" w:eastAsia="方正黑体_GBK" w:cs="Times New Roman"/>
          <w:bCs/>
          <w:color w:val="auto"/>
          <w:kern w:val="2"/>
          <w:sz w:val="32"/>
          <w:szCs w:val="32"/>
          <w:lang w:val="en-US" w:eastAsia="zh-CN" w:bidi="ar-SA"/>
        </w:rPr>
        <w:t>惠州市生态环境局2023年度部门整体支出</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sz w:val="32"/>
          <w:szCs w:val="32"/>
          <w:lang w:val="en-US" w:eastAsia="zh-CN" w:bidi="ar-SA"/>
        </w:rPr>
      </w:pPr>
      <w:bookmarkStart w:id="55" w:name="_Toc30923"/>
      <w:bookmarkStart w:id="56" w:name="_Toc7106"/>
      <w:bookmarkStart w:id="57" w:name="_Toc9632"/>
      <w:r>
        <w:rPr>
          <w:rFonts w:ascii="Times New Roman" w:hAnsi="Times New Roman" w:eastAsia="方正仿宋_GBK" w:cs="Times New Roman"/>
          <w:color w:val="auto"/>
          <w:sz w:val="32"/>
          <w:szCs w:val="32"/>
          <w:lang w:val="en-US" w:eastAsia="zh-CN" w:bidi="ar-SA"/>
        </w:rPr>
        <w:t>为加强财政支出管理，提高财政资金的使用效益，惠州市财政局（以下简称“市财政局”）委托广东中大管理咨询集团股份有限公司（以下简称“中大咨询”）对惠州市生态环境局（以下简称“市生态环境局”）2023年度部门整体支出情况实施绩效评价。2023年市生态环境局部门整体收入决算数为109,470,326.98元，支出决算数为108,533,063.88元，支出率为99.14%。</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仿宋_GBK" w:cs="Times New Roman"/>
          <w:color w:val="auto"/>
          <w:sz w:val="32"/>
          <w:szCs w:val="32"/>
          <w:lang w:val="en-US" w:eastAsia="zh-CN" w:bidi="ar-SA"/>
        </w:rPr>
        <w:t>经资料收集、书面评审、现场评价等流程，经评定，市生态环境局2023年度部门整体支出绩效评价综合得分：</w:t>
      </w:r>
      <w:r>
        <w:rPr>
          <w:rFonts w:ascii="Times New Roman" w:hAnsi="Times New Roman" w:eastAsia="方正仿宋_GBK" w:cs="Times New Roman"/>
          <w:b/>
          <w:bCs/>
          <w:color w:val="auto"/>
          <w:sz w:val="32"/>
          <w:szCs w:val="32"/>
          <w:lang w:val="en-US" w:eastAsia="zh-CN" w:bidi="ar-SA"/>
        </w:rPr>
        <w:t>87.00分</w:t>
      </w:r>
      <w:r>
        <w:rPr>
          <w:rFonts w:ascii="Times New Roman" w:hAnsi="Times New Roman" w:eastAsia="方正仿宋_GBK" w:cs="Times New Roman"/>
          <w:color w:val="auto"/>
          <w:sz w:val="32"/>
          <w:szCs w:val="32"/>
          <w:lang w:val="en-US" w:eastAsia="zh-CN" w:bidi="ar-SA"/>
        </w:rPr>
        <w:t>，评价等级为</w:t>
      </w:r>
      <w:r>
        <w:rPr>
          <w:rFonts w:ascii="Times New Roman" w:hAnsi="Times New Roman" w:eastAsia="方正仿宋_GBK" w:cs="Times New Roman"/>
          <w:b/>
          <w:bCs/>
          <w:color w:val="auto"/>
          <w:sz w:val="32"/>
          <w:szCs w:val="32"/>
          <w:lang w:val="en-US" w:eastAsia="zh-CN" w:bidi="ar-SA"/>
        </w:rPr>
        <w:t>“良”</w:t>
      </w:r>
      <w:r>
        <w:rPr>
          <w:rFonts w:ascii="Times New Roman" w:hAnsi="Times New Roman" w:eastAsia="方正仿宋_GBK" w:cs="Times New Roman"/>
          <w:color w:val="auto"/>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color w:val="auto"/>
          <w:sz w:val="32"/>
          <w:szCs w:val="32"/>
          <w:lang w:val="en-US" w:eastAsia="zh-CN" w:bidi="ar-SA"/>
        </w:rPr>
        <w:t>第一，部门绩效考核结果优秀，年度重点工作任务全部按期完成。一是</w:t>
      </w:r>
      <w:r>
        <w:rPr>
          <w:rFonts w:ascii="Times New Roman" w:hAnsi="Times New Roman" w:eastAsia="方正仿宋_GBK" w:cs="Times New Roman"/>
          <w:color w:val="auto"/>
          <w:sz w:val="32"/>
          <w:szCs w:val="32"/>
          <w:lang w:val="en-US" w:eastAsia="zh-CN" w:bidi="ar-SA"/>
        </w:rPr>
        <w:t>根据广东省生态环境保护委员会办公室2023年12月30日发布的“广东省环境保护责任暨深入打好污染防治攻坚战成效考核结果的通报”所示，惠州市考核结果为优秀等次。</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市生态环境局在市委组织部组织的2023年度市直部门绩效考核评价中，取得了“优秀”等次。</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《市政府工作报告》明确由市生态环境局牵头的重点工作均如期完成。</w:t>
      </w:r>
      <w:r>
        <w:rPr>
          <w:rFonts w:ascii="Times New Roman" w:hAnsi="Times New Roman" w:eastAsia="方正仿宋_GBK" w:cs="Times New Roman"/>
          <w:b/>
          <w:bCs/>
          <w:color w:val="auto"/>
          <w:sz w:val="32"/>
          <w:szCs w:val="32"/>
          <w:lang w:val="en-US" w:eastAsia="zh-CN" w:bidi="ar-SA"/>
        </w:rPr>
        <w:t>第二，生态环境质量持续改善，整体水平达到珠三角地区前列。</w:t>
      </w:r>
      <w:r>
        <w:rPr>
          <w:rFonts w:ascii="Times New Roman" w:hAnsi="Times New Roman" w:eastAsia="方正仿宋_GBK" w:cs="Times New Roman"/>
          <w:color w:val="auto"/>
          <w:sz w:val="32"/>
          <w:szCs w:val="32"/>
          <w:lang w:val="en-US" w:eastAsia="zh-CN" w:bidi="ar-SA"/>
        </w:rPr>
        <w:t>环境空气质量方面，2023年惠州市城市和县区空气质量优良，城市AQI达标率为98.4%。水环境质量方面：8个县级以上集中式饮用水水源水质、九大江河水质、19个国省考断面水质、15个湖泊水库水质、16个近岸海域国控点位水质及3个地下水质考核均达到或优于考核目标。</w:t>
      </w:r>
      <w:r>
        <w:rPr>
          <w:rFonts w:ascii="Times New Roman" w:hAnsi="Times New Roman" w:eastAsia="方正仿宋_GBK" w:cs="Times New Roman"/>
          <w:b/>
          <w:bCs/>
          <w:color w:val="auto"/>
          <w:sz w:val="32"/>
          <w:szCs w:val="32"/>
          <w:lang w:val="en-US" w:eastAsia="zh-CN" w:bidi="ar-SA"/>
        </w:rPr>
        <w:t>第三，强化执法监管，着力解决群众关注的环境问题。一是</w:t>
      </w:r>
      <w:r>
        <w:rPr>
          <w:rFonts w:ascii="Times New Roman" w:hAnsi="Times New Roman" w:eastAsia="方正仿宋_GBK" w:cs="Times New Roman"/>
          <w:color w:val="auto"/>
          <w:sz w:val="32"/>
          <w:szCs w:val="32"/>
          <w:lang w:val="en-US" w:eastAsia="zh-CN" w:bidi="ar-SA"/>
        </w:rPr>
        <w:t>在省生态环境厅“苦干实干、争先创优”活动中被评为2023年第一、二季度典型案例。</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全力保障生态环境领域信访稳定，全市生态环境信访案件总体呈大幅下降的趋势，2023年全市实际受理生态环境信访投诉5156宗，同比下降31.5%。</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sz w:val="32"/>
          <w:szCs w:val="32"/>
          <w:lang w:val="en-US" w:eastAsia="zh-CN" w:bidi="ar-SA"/>
        </w:rPr>
        <w:t>第一，预算管理仍有提升空间。一是</w:t>
      </w:r>
      <w:r>
        <w:rPr>
          <w:rFonts w:ascii="Times New Roman" w:hAnsi="Times New Roman" w:eastAsia="方正仿宋_GBK" w:cs="Times New Roman"/>
          <w:color w:val="auto"/>
          <w:sz w:val="32"/>
          <w:szCs w:val="32"/>
          <w:lang w:val="en-US" w:eastAsia="zh-CN" w:bidi="ar-SA"/>
        </w:rPr>
        <w:t>年初预算编制业务要素不完整。如部门2023年预算公开内容中事业收入、其他收入未能编入到部门年初预算中。</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政府采购金额超年初预算。市生态环境局2023年度政府采购预算14,218,660元，实际支出28,759,145元，政府采购执行率为202.26%。</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专项资金调剂数量较多。如市生态环境局将“惠州市2023年度工业VOCs深度治理项目”从900万元调减至785万元。</w:t>
      </w:r>
      <w:r>
        <w:rPr>
          <w:rFonts w:ascii="Times New Roman" w:hAnsi="Times New Roman" w:eastAsia="方正仿宋_GBK" w:cs="Times New Roman"/>
          <w:b/>
          <w:bCs/>
          <w:color w:val="auto"/>
          <w:sz w:val="32"/>
          <w:szCs w:val="32"/>
          <w:lang w:val="en-US" w:eastAsia="zh-CN" w:bidi="ar-SA"/>
        </w:rPr>
        <w:t>第二，资金管理仍有改善空间。一是</w:t>
      </w:r>
      <w:r>
        <w:rPr>
          <w:rFonts w:ascii="Times New Roman" w:hAnsi="Times New Roman" w:eastAsia="方正仿宋_GBK" w:cs="Times New Roman"/>
          <w:color w:val="auto"/>
          <w:sz w:val="32"/>
          <w:szCs w:val="32"/>
          <w:lang w:val="en-US" w:eastAsia="zh-CN" w:bidi="ar-SA"/>
        </w:rPr>
        <w:t>存在公用经费挤占项目经费的现象。存在公用经费挤占项目经费的现象。如购置打印机2台、台式电脑1台以及办公室换锁维护所需资金从生态环境检查及工作经费列支。</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部分上级补助资金2023年度内支出进度偏慢，如“惠州市2023年度工业VOCs深度治理项目（第一批）”2023年度支出数为0。</w:t>
      </w:r>
      <w:r>
        <w:rPr>
          <w:rFonts w:ascii="Times New Roman" w:hAnsi="Times New Roman" w:eastAsia="方正仿宋_GBK" w:cs="Times New Roman"/>
          <w:b/>
          <w:bCs/>
          <w:color w:val="auto"/>
          <w:sz w:val="32"/>
          <w:szCs w:val="32"/>
          <w:lang w:val="en-US" w:eastAsia="zh-CN" w:bidi="ar-SA"/>
        </w:rPr>
        <w:t>第三，部门整体支出绩效目标与指标设置有</w:t>
      </w:r>
      <w:bookmarkStart w:id="73" w:name="_GoBack"/>
      <w:bookmarkEnd w:id="73"/>
      <w:r>
        <w:rPr>
          <w:rFonts w:ascii="Times New Roman" w:hAnsi="Times New Roman" w:eastAsia="方正仿宋_GBK" w:cs="Times New Roman"/>
          <w:b/>
          <w:bCs/>
          <w:color w:val="auto"/>
          <w:sz w:val="32"/>
          <w:szCs w:val="32"/>
          <w:lang w:val="en-US" w:eastAsia="zh-CN" w:bidi="ar-SA"/>
        </w:rPr>
        <w:t>待完善。一是</w:t>
      </w:r>
      <w:r>
        <w:rPr>
          <w:rFonts w:ascii="Times New Roman" w:hAnsi="Times New Roman" w:eastAsia="方正仿宋_GBK" w:cs="Times New Roman"/>
          <w:color w:val="auto"/>
          <w:sz w:val="32"/>
          <w:szCs w:val="32"/>
          <w:lang w:val="en-US" w:eastAsia="zh-CN" w:bidi="ar-SA"/>
        </w:rPr>
        <w:t>重点工作任务分类较为笼统。</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绩效指标未能按照核心职能-绩效目标-核心绩效指标的思路来梳理，部分核心职能（如固体废物重金属和化学品污染防治、生态环境监测）缺少关键绩效指标。</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部分绩效指标不可量化衡量。</w:t>
      </w:r>
      <w:r>
        <w:rPr>
          <w:rFonts w:ascii="Times New Roman" w:hAnsi="Times New Roman" w:eastAsia="方正仿宋_GBK" w:cs="Times New Roman"/>
          <w:b/>
          <w:bCs/>
          <w:color w:val="auto"/>
          <w:sz w:val="32"/>
          <w:szCs w:val="32"/>
          <w:lang w:val="en-US" w:eastAsia="zh-CN" w:bidi="ar-SA"/>
        </w:rPr>
        <w:t>四是</w:t>
      </w:r>
      <w:r>
        <w:rPr>
          <w:rFonts w:ascii="Times New Roman" w:hAnsi="Times New Roman" w:eastAsia="方正仿宋_GBK" w:cs="Times New Roman"/>
          <w:color w:val="auto"/>
          <w:sz w:val="32"/>
          <w:szCs w:val="32"/>
          <w:lang w:val="en-US" w:eastAsia="zh-CN" w:bidi="ar-SA"/>
        </w:rPr>
        <w:t>个别指标归类不准确。</w:t>
      </w:r>
      <w:r>
        <w:rPr>
          <w:rFonts w:ascii="Times New Roman" w:hAnsi="Times New Roman" w:eastAsia="方正仿宋_GBK" w:cs="Times New Roman"/>
          <w:b/>
          <w:bCs/>
          <w:color w:val="auto"/>
          <w:sz w:val="32"/>
          <w:szCs w:val="32"/>
          <w:lang w:val="en-US" w:eastAsia="zh-CN" w:bidi="ar-SA"/>
        </w:rPr>
        <w:t>第四，部分生态环境领域群众满意度不高。</w:t>
      </w:r>
      <w:r>
        <w:rPr>
          <w:rFonts w:ascii="Times New Roman" w:hAnsi="Times New Roman" w:eastAsia="方正仿宋_GBK" w:cs="Times New Roman"/>
          <w:color w:val="auto"/>
          <w:sz w:val="32"/>
          <w:szCs w:val="32"/>
          <w:lang w:val="en-US" w:eastAsia="zh-CN" w:bidi="ar-SA"/>
        </w:rPr>
        <w:t>惠州市公众生态环境总体满意度为85.74%，整体满意度保持在良好的水平，但是个别领域的群众满意度不高，如水体环境质量、声环境质量的群众满意度分别为79.54%，声环境质量满意度为78.84%。</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相关建议：</w:t>
      </w:r>
      <w:r>
        <w:rPr>
          <w:rFonts w:ascii="Times New Roman" w:hAnsi="Times New Roman" w:eastAsia="方正仿宋_GBK" w:cs="Times New Roman"/>
          <w:b/>
          <w:bCs/>
          <w:color w:val="auto"/>
          <w:sz w:val="32"/>
          <w:szCs w:val="32"/>
          <w:lang w:val="en-US" w:eastAsia="zh-CN" w:bidi="ar-SA"/>
        </w:rPr>
        <w:t>第一，加强预算编制的前期研究与论证，提高部门预算编制准确性。一是</w:t>
      </w:r>
      <w:r>
        <w:rPr>
          <w:rFonts w:ascii="Times New Roman" w:hAnsi="Times New Roman" w:eastAsia="方正仿宋_GBK" w:cs="Times New Roman"/>
          <w:color w:val="auto"/>
          <w:sz w:val="32"/>
          <w:szCs w:val="32"/>
          <w:lang w:val="en-US" w:eastAsia="zh-CN" w:bidi="ar-SA"/>
        </w:rPr>
        <w:t>对近三年的预算支出情况进行梳理、分析，在充分参考往年支出规模、支出进度及上年资金结转结余的情况下编制当年度项目预算。</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做好结转结余资金管理。对于条件不成熟、有变化导致确实不能安排使用的资金，以及项目已经完成而结余的资金等，及时提请市财政局收回。</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预算编制的内容要全面。需要将经营收入、行政事业性收费收入、转移性收入和其他收入编入到部门预算。</w:t>
      </w:r>
      <w:r>
        <w:rPr>
          <w:rFonts w:ascii="Times New Roman" w:hAnsi="Times New Roman" w:eastAsia="方正仿宋_GBK" w:cs="Times New Roman"/>
          <w:b/>
          <w:bCs/>
          <w:color w:val="auto"/>
          <w:sz w:val="32"/>
          <w:szCs w:val="32"/>
          <w:lang w:val="en-US" w:eastAsia="zh-CN" w:bidi="ar-SA"/>
        </w:rPr>
        <w:t>第二，规范资金使用，确保会计工作规范化，同时落实资产盘点工作，规范资产账目处理。</w:t>
      </w:r>
      <w:r>
        <w:rPr>
          <w:rFonts w:ascii="Times New Roman" w:hAnsi="Times New Roman" w:eastAsia="方正仿宋_GBK" w:cs="Times New Roman"/>
          <w:color w:val="auto"/>
          <w:sz w:val="32"/>
          <w:szCs w:val="32"/>
          <w:lang w:val="en-US" w:eastAsia="zh-CN" w:bidi="ar-SA"/>
        </w:rPr>
        <w:t>资金管理方面：建议市生态环境局将原本分散在各预算科目的各类财政资金进行合理整合。固定资产管理方面：一是加强固定资产管理，做好固定资产判断工作。二是进一步落实处室定期申报、部门常规检查、定期清查等动态跟踪管理机制。</w:t>
      </w:r>
      <w:r>
        <w:rPr>
          <w:rFonts w:ascii="Times New Roman" w:hAnsi="Times New Roman" w:eastAsia="方正仿宋_GBK" w:cs="Times New Roman"/>
          <w:b/>
          <w:bCs/>
          <w:color w:val="auto"/>
          <w:sz w:val="32"/>
          <w:szCs w:val="32"/>
          <w:lang w:val="en-US" w:eastAsia="zh-CN" w:bidi="ar-SA"/>
        </w:rPr>
        <w:t>第三，完善资金监管体系，形成“横向到边，纵向到底”的全方位监管机制。一是</w:t>
      </w:r>
      <w:r>
        <w:rPr>
          <w:rFonts w:ascii="Times New Roman" w:hAnsi="Times New Roman" w:eastAsia="方正仿宋_GBK" w:cs="Times New Roman"/>
          <w:color w:val="auto"/>
          <w:sz w:val="32"/>
          <w:szCs w:val="32"/>
          <w:lang w:val="en-US" w:eastAsia="zh-CN" w:bidi="ar-SA"/>
        </w:rPr>
        <w:t>建议构建以市生态环境局、县区生态环境分局二级部门为主体的市级预算安排对下转移支付资金和项目监管体系。</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加强对转移支付资金支出的监管力度，跟踪转移支付资金的使用情况。</w:t>
      </w:r>
      <w:r>
        <w:rPr>
          <w:rFonts w:ascii="Times New Roman" w:hAnsi="Times New Roman" w:eastAsia="方正仿宋_GBK" w:cs="Times New Roman"/>
          <w:b/>
          <w:bCs/>
          <w:color w:val="auto"/>
          <w:sz w:val="32"/>
          <w:szCs w:val="32"/>
          <w:lang w:val="en-US" w:eastAsia="zh-CN" w:bidi="ar-SA"/>
        </w:rPr>
        <w:t>第四，梳理部门核心职能，科学合理设置部门整体支出绩效目标与指标。一是</w:t>
      </w:r>
      <w:r>
        <w:rPr>
          <w:rFonts w:ascii="Times New Roman" w:hAnsi="Times New Roman" w:eastAsia="方正仿宋_GBK" w:cs="Times New Roman"/>
          <w:color w:val="auto"/>
          <w:sz w:val="32"/>
          <w:szCs w:val="32"/>
          <w:lang w:val="en-US" w:eastAsia="zh-CN" w:bidi="ar-SA"/>
        </w:rPr>
        <w:t>梳理部门核心职能，照核心职能-任务目标-任务指标-预算项目-项目指标的思路，提炼部门整体支出核心绩效指标。</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注重各项绩效目标与指标的可衡量性。</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textAlignment w:val="auto"/>
        <w:outlineLvl w:val="0"/>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八、</w:t>
      </w:r>
      <w:bookmarkEnd w:id="55"/>
      <w:bookmarkEnd w:id="56"/>
      <w:bookmarkEnd w:id="57"/>
      <w:r>
        <w:rPr>
          <w:rFonts w:ascii="Times New Roman" w:hAnsi="Times New Roman" w:eastAsia="方正黑体_GBK" w:cs="Times New Roman"/>
          <w:bCs/>
          <w:color w:val="auto"/>
          <w:kern w:val="2"/>
          <w:sz w:val="32"/>
          <w:szCs w:val="32"/>
          <w:lang w:val="en-US" w:eastAsia="zh-CN" w:bidi="ar-SA"/>
        </w:rPr>
        <w:t>2023年度惠州市公路治超非现场执法监测点项目支出</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22"/>
          <w:lang w:bidi="ar-SA"/>
        </w:rPr>
      </w:pPr>
      <w:r>
        <w:rPr>
          <w:rFonts w:ascii="Times New Roman" w:hAnsi="Times New Roman" w:eastAsia="方正仿宋_GBK" w:cs="Times New Roman"/>
          <w:sz w:val="32"/>
          <w:szCs w:val="22"/>
          <w:lang w:bidi="ar-SA"/>
        </w:rPr>
        <w:t>为加强财政支出管理，提高财政资金的使用效益，惠州市财政局（以下简称“市财政局”）委托上海元方智库公共管理咨询有限公司（以下简称“上海元方”），对惠州市交通运输局（以下简称“市交通局”）2023年度惠州市公路治超非现场执法监测点项目支出情况实施绩效评价。2023年财政拨款收入1</w:t>
      </w:r>
      <w:r>
        <w:rPr>
          <w:rFonts w:ascii="Times New Roman" w:hAnsi="Times New Roman" w:eastAsia="方正仿宋_GBK" w:cs="Times New Roman"/>
          <w:sz w:val="32"/>
          <w:szCs w:val="22"/>
          <w:lang w:val="en-US" w:eastAsia="zh-CN" w:bidi="ar-SA"/>
        </w:rPr>
        <w:t>,</w:t>
      </w:r>
      <w:r>
        <w:rPr>
          <w:rFonts w:ascii="Times New Roman" w:hAnsi="Times New Roman" w:eastAsia="方正仿宋_GBK" w:cs="Times New Roman"/>
          <w:sz w:val="32"/>
          <w:szCs w:val="22"/>
          <w:lang w:bidi="ar-SA"/>
        </w:rPr>
        <w:t>057.89</w:t>
      </w:r>
      <w:r>
        <w:rPr>
          <w:rFonts w:ascii="Times New Roman" w:hAnsi="Times New Roman" w:eastAsia="方正仿宋_GBK" w:cs="Times New Roman"/>
          <w:sz w:val="32"/>
          <w:szCs w:val="22"/>
          <w:lang w:eastAsia="zh-CN" w:bidi="ar-SA"/>
        </w:rPr>
        <w:t>万</w:t>
      </w:r>
      <w:r>
        <w:rPr>
          <w:rFonts w:ascii="Times New Roman" w:hAnsi="Times New Roman" w:eastAsia="方正仿宋_GBK" w:cs="Times New Roman"/>
          <w:sz w:val="32"/>
          <w:szCs w:val="22"/>
          <w:lang w:bidi="ar-SA"/>
        </w:rPr>
        <w:t>元，财政拨款支出为1</w:t>
      </w:r>
      <w:r>
        <w:rPr>
          <w:rFonts w:ascii="Times New Roman" w:hAnsi="Times New Roman" w:eastAsia="方正仿宋_GBK" w:cs="Times New Roman"/>
          <w:sz w:val="32"/>
          <w:szCs w:val="22"/>
          <w:lang w:val="en-US" w:eastAsia="zh-CN" w:bidi="ar-SA"/>
        </w:rPr>
        <w:t>,</w:t>
      </w:r>
      <w:r>
        <w:rPr>
          <w:rFonts w:ascii="Times New Roman" w:hAnsi="Times New Roman" w:eastAsia="方正仿宋_GBK" w:cs="Times New Roman"/>
          <w:sz w:val="32"/>
          <w:szCs w:val="22"/>
          <w:lang w:bidi="ar-SA"/>
        </w:rPr>
        <w:t>057.06</w:t>
      </w:r>
      <w:r>
        <w:rPr>
          <w:rFonts w:ascii="Times New Roman" w:hAnsi="Times New Roman" w:eastAsia="方正仿宋_GBK" w:cs="Times New Roman"/>
          <w:sz w:val="32"/>
          <w:szCs w:val="22"/>
          <w:lang w:eastAsia="zh-CN" w:bidi="ar-SA"/>
        </w:rPr>
        <w:t>万</w:t>
      </w:r>
      <w:r>
        <w:rPr>
          <w:rFonts w:ascii="Times New Roman" w:hAnsi="Times New Roman" w:eastAsia="方正仿宋_GBK" w:cs="Times New Roman"/>
          <w:sz w:val="32"/>
          <w:szCs w:val="22"/>
          <w:lang w:bidi="ar-SA"/>
        </w:rPr>
        <w:t>元，支出率为99.92%。</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22"/>
          <w:lang w:bidi="ar-SA"/>
        </w:rPr>
      </w:pPr>
      <w:r>
        <w:rPr>
          <w:rFonts w:ascii="Times New Roman" w:hAnsi="Times New Roman" w:eastAsia="方正仿宋_GBK" w:cs="Times New Roman"/>
          <w:sz w:val="32"/>
          <w:szCs w:val="22"/>
          <w:lang w:bidi="ar-SA"/>
        </w:rPr>
        <w:t>经过资料收集报送、书面评审、现场评价等流程，经评定，2023年度惠州市公路治超非现场执法监测点项目支出绩效评价得分：</w:t>
      </w:r>
      <w:r>
        <w:rPr>
          <w:rFonts w:ascii="Times New Roman" w:hAnsi="Times New Roman" w:eastAsia="方正仿宋_GBK" w:cs="Times New Roman"/>
          <w:b/>
          <w:bCs/>
          <w:sz w:val="32"/>
          <w:szCs w:val="22"/>
          <w:lang w:val="en-US" w:eastAsia="zh-CN" w:bidi="ar-SA"/>
        </w:rPr>
        <w:t>80.</w:t>
      </w:r>
      <w:r>
        <w:rPr>
          <w:rFonts w:ascii="Times New Roman" w:hAnsi="Times New Roman" w:eastAsia="方正仿宋_GBK" w:cs="Times New Roman"/>
          <w:b/>
          <w:bCs/>
          <w:sz w:val="32"/>
          <w:szCs w:val="22"/>
          <w:lang w:val="en-GB" w:eastAsia="zh-CN" w:bidi="ar-SA"/>
        </w:rPr>
        <w:t>15</w:t>
      </w:r>
      <w:r>
        <w:rPr>
          <w:rFonts w:ascii="Times New Roman" w:hAnsi="Times New Roman" w:eastAsia="方正仿宋_GBK" w:cs="Times New Roman"/>
          <w:b/>
          <w:bCs/>
          <w:sz w:val="32"/>
          <w:szCs w:val="22"/>
          <w:lang w:bidi="ar-SA"/>
        </w:rPr>
        <w:t>分</w:t>
      </w:r>
      <w:r>
        <w:rPr>
          <w:rFonts w:ascii="Times New Roman" w:hAnsi="Times New Roman" w:eastAsia="方正仿宋_GBK" w:cs="Times New Roman"/>
          <w:sz w:val="32"/>
          <w:szCs w:val="22"/>
          <w:lang w:bidi="ar-SA"/>
        </w:rPr>
        <w:t>，评定等级为</w:t>
      </w:r>
      <w:r>
        <w:rPr>
          <w:rFonts w:ascii="Times New Roman" w:hAnsi="Times New Roman" w:eastAsia="方正仿宋_GBK" w:cs="Times New Roman"/>
          <w:b/>
          <w:bCs/>
          <w:sz w:val="32"/>
          <w:szCs w:val="22"/>
          <w:lang w:bidi="ar-SA"/>
        </w:rPr>
        <w:t>“</w:t>
      </w:r>
      <w:r>
        <w:rPr>
          <w:rFonts w:ascii="Times New Roman" w:hAnsi="Times New Roman" w:eastAsia="方正仿宋_GBK" w:cs="Times New Roman"/>
          <w:b/>
          <w:bCs/>
          <w:sz w:val="32"/>
          <w:szCs w:val="22"/>
          <w:lang w:val="en-US" w:eastAsia="zh-CN" w:bidi="ar-SA"/>
        </w:rPr>
        <w:t>良</w:t>
      </w:r>
      <w:r>
        <w:rPr>
          <w:rFonts w:ascii="Times New Roman" w:hAnsi="Times New Roman" w:eastAsia="方正仿宋_GBK" w:cs="Times New Roman"/>
          <w:b/>
          <w:bCs/>
          <w:sz w:val="32"/>
          <w:szCs w:val="22"/>
          <w:lang w:bidi="ar-SA"/>
        </w:rPr>
        <w:t>”</w:t>
      </w:r>
      <w:r>
        <w:rPr>
          <w:rFonts w:ascii="Times New Roman" w:hAnsi="Times New Roman" w:eastAsia="方正仿宋_GBK" w:cs="Times New Roman"/>
          <w:sz w:val="32"/>
          <w:szCs w:val="22"/>
          <w:lang w:bidi="ar-SA"/>
        </w:rPr>
        <w:t>。</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22"/>
          <w:lang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sz w:val="32"/>
          <w:szCs w:val="22"/>
          <w:lang w:val="en-US" w:eastAsia="zh-CN" w:bidi="ar-SA"/>
        </w:rPr>
        <w:t>第一，</w:t>
      </w:r>
      <w:r>
        <w:rPr>
          <w:rFonts w:ascii="Times New Roman" w:hAnsi="Times New Roman" w:eastAsia="方正仿宋_GBK" w:cs="Times New Roman"/>
          <w:sz w:val="32"/>
          <w:szCs w:val="22"/>
          <w:lang w:bidi="ar-SA"/>
        </w:rPr>
        <w:t>监测统计超限数据，推动治超执法方式转型</w:t>
      </w:r>
      <w:r>
        <w:rPr>
          <w:rFonts w:ascii="Times New Roman" w:hAnsi="Times New Roman" w:eastAsia="方正仿宋_GBK" w:cs="Times New Roman"/>
          <w:sz w:val="32"/>
          <w:szCs w:val="22"/>
          <w:lang w:eastAsia="zh-CN" w:bidi="ar-SA"/>
        </w:rPr>
        <w:t>。</w:t>
      </w:r>
      <w:r>
        <w:rPr>
          <w:rFonts w:ascii="Times New Roman" w:hAnsi="Times New Roman" w:eastAsia="方正仿宋_GBK" w:cs="Times New Roman"/>
          <w:b/>
          <w:bCs/>
          <w:sz w:val="32"/>
          <w:szCs w:val="22"/>
          <w:lang w:val="en-US" w:eastAsia="zh-CN" w:bidi="ar-SA"/>
        </w:rPr>
        <w:t>第二，</w:t>
      </w:r>
      <w:r>
        <w:rPr>
          <w:rFonts w:ascii="Times New Roman" w:hAnsi="Times New Roman" w:eastAsia="方正仿宋_GBK" w:cs="Times New Roman"/>
          <w:sz w:val="32"/>
          <w:szCs w:val="22"/>
          <w:lang w:bidi="ar-SA"/>
        </w:rPr>
        <w:t>完善治超网络布局，健全预警监控体系</w:t>
      </w:r>
    </w:p>
    <w:p>
      <w:pPr>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ascii="Times New Roman" w:hAnsi="Times New Roman" w:eastAsia="方正仿宋_GBK" w:cs="Times New Roman"/>
          <w:sz w:val="32"/>
          <w:szCs w:val="2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sz w:val="32"/>
          <w:szCs w:val="22"/>
          <w:lang w:val="en-US" w:eastAsia="zh-CN" w:bidi="ar-SA"/>
        </w:rPr>
        <w:t>第一，项目实施程序不规范，进度滞后。</w:t>
      </w:r>
      <w:r>
        <w:rPr>
          <w:rFonts w:ascii="Times New Roman" w:hAnsi="Times New Roman" w:eastAsia="方正仿宋_GBK" w:cs="Times New Roman"/>
          <w:b/>
          <w:bCs/>
          <w:sz w:val="32"/>
          <w:szCs w:val="22"/>
          <w:lang w:bidi="ar-SA"/>
        </w:rPr>
        <w:t>一是</w:t>
      </w:r>
      <w:r>
        <w:rPr>
          <w:rFonts w:ascii="Times New Roman" w:hAnsi="Times New Roman" w:eastAsia="方正仿宋_GBK" w:cs="Times New Roman"/>
          <w:sz w:val="32"/>
          <w:szCs w:val="22"/>
          <w:lang w:eastAsia="zh-CN" w:bidi="ar-SA"/>
        </w:rPr>
        <w:t>项目</w:t>
      </w:r>
      <w:r>
        <w:rPr>
          <w:rFonts w:ascii="Times New Roman" w:hAnsi="Times New Roman" w:eastAsia="方正仿宋_GBK" w:cs="Times New Roman"/>
          <w:sz w:val="32"/>
          <w:szCs w:val="22"/>
          <w:lang w:bidi="ar-SA"/>
        </w:rPr>
        <w:t>部分实施程序</w:t>
      </w:r>
      <w:r>
        <w:rPr>
          <w:rFonts w:ascii="Times New Roman" w:hAnsi="Times New Roman" w:eastAsia="方正仿宋_GBK" w:cs="Times New Roman"/>
          <w:sz w:val="32"/>
          <w:szCs w:val="22"/>
          <w:lang w:eastAsia="zh-CN" w:bidi="ar-SA"/>
        </w:rPr>
        <w:t>不规范</w:t>
      </w:r>
      <w:r>
        <w:rPr>
          <w:rFonts w:ascii="Times New Roman" w:hAnsi="Times New Roman" w:eastAsia="方正仿宋_GBK" w:cs="Times New Roman"/>
          <w:sz w:val="32"/>
          <w:szCs w:val="22"/>
          <w:lang w:bidi="ar-SA"/>
        </w:rPr>
        <w:t>，施工许可申请、可行性研究报告评估均于施工开工后完成，未能按照有关制度规定执行。该项目于2022年3月13日开始施工建设，于2022年4月提交《惠州市公路治超非现场执法监测点建设施工许可申请书》，即在施工开工前尚未取得施工许可已开始施工</w:t>
      </w:r>
      <w:r>
        <w:rPr>
          <w:rFonts w:ascii="Times New Roman" w:hAnsi="Times New Roman" w:eastAsia="方正仿宋_GBK" w:cs="Times New Roman"/>
          <w:sz w:val="32"/>
          <w:szCs w:val="22"/>
          <w:lang w:eastAsia="zh-CN" w:bidi="ar-SA"/>
        </w:rPr>
        <w:t>；</w:t>
      </w:r>
      <w:r>
        <w:rPr>
          <w:rFonts w:ascii="Times New Roman" w:hAnsi="Times New Roman" w:eastAsia="方正仿宋_GBK" w:cs="Times New Roman"/>
          <w:sz w:val="32"/>
          <w:szCs w:val="22"/>
          <w:lang w:bidi="ar-SA"/>
        </w:rPr>
        <w:t>可行性研究报告评估工作</w:t>
      </w:r>
      <w:r>
        <w:rPr>
          <w:rFonts w:ascii="Times New Roman" w:hAnsi="Times New Roman" w:eastAsia="方正仿宋_GBK" w:cs="Times New Roman"/>
          <w:sz w:val="32"/>
          <w:szCs w:val="22"/>
          <w:lang w:val="en-US" w:eastAsia="zh-CN" w:bidi="ar-SA"/>
        </w:rPr>
        <w:t>于</w:t>
      </w:r>
      <w:r>
        <w:rPr>
          <w:rFonts w:ascii="Times New Roman" w:hAnsi="Times New Roman" w:eastAsia="方正仿宋_GBK" w:cs="Times New Roman"/>
          <w:sz w:val="32"/>
          <w:szCs w:val="22"/>
          <w:lang w:bidi="ar-SA"/>
        </w:rPr>
        <w:t>2022年8月开展，相较施工开工时间已逾数月。</w:t>
      </w:r>
      <w:r>
        <w:rPr>
          <w:rFonts w:ascii="Times New Roman" w:hAnsi="Times New Roman" w:eastAsia="方正仿宋_GBK" w:cs="Times New Roman"/>
          <w:b/>
          <w:bCs/>
          <w:sz w:val="32"/>
          <w:szCs w:val="22"/>
          <w:lang w:bidi="ar-SA"/>
        </w:rPr>
        <w:t>二是</w:t>
      </w:r>
      <w:r>
        <w:rPr>
          <w:rFonts w:ascii="Times New Roman" w:hAnsi="Times New Roman" w:eastAsia="方正仿宋_GBK" w:cs="Times New Roman"/>
          <w:sz w:val="32"/>
          <w:szCs w:val="22"/>
          <w:lang w:bidi="ar-SA"/>
        </w:rPr>
        <w:t>项目实施进度滞后，但未</w:t>
      </w:r>
      <w:r>
        <w:rPr>
          <w:rFonts w:ascii="Times New Roman" w:hAnsi="Times New Roman" w:eastAsia="方正仿宋_GBK" w:cs="Times New Roman"/>
          <w:sz w:val="32"/>
          <w:szCs w:val="22"/>
          <w:lang w:val="en-US" w:eastAsia="zh-CN" w:bidi="ar-SA"/>
        </w:rPr>
        <w:t>及时</w:t>
      </w:r>
      <w:r>
        <w:rPr>
          <w:rFonts w:ascii="Times New Roman" w:hAnsi="Times New Roman" w:eastAsia="方正仿宋_GBK" w:cs="Times New Roman"/>
          <w:sz w:val="32"/>
          <w:szCs w:val="22"/>
          <w:lang w:bidi="ar-SA"/>
        </w:rPr>
        <w:t>办理延期审批手续。该项目</w:t>
      </w:r>
      <w:r>
        <w:rPr>
          <w:rFonts w:ascii="Times New Roman" w:hAnsi="Times New Roman" w:eastAsia="方正仿宋_GBK" w:cs="Times New Roman"/>
          <w:sz w:val="32"/>
          <w:szCs w:val="22"/>
          <w:lang w:val="en-US" w:eastAsia="zh-CN" w:bidi="ar-SA"/>
        </w:rPr>
        <w:t>预计</w:t>
      </w:r>
      <w:r>
        <w:rPr>
          <w:rFonts w:ascii="Times New Roman" w:hAnsi="Times New Roman" w:eastAsia="方正仿宋_GBK" w:cs="Times New Roman"/>
          <w:sz w:val="32"/>
          <w:szCs w:val="22"/>
          <w:lang w:bidi="ar-SA"/>
        </w:rPr>
        <w:t>2022年建设监测点20个、2023年建设监测点11个，合同工期为24个月；而该项目实际于2022年3月13日开工建设，分别于2023年4月、2024年4月完成21个监测点、10个监测点的建设及竣工验收，且截至2024年8月项目尚未完成总体竣工验收工作，整体进度相较合同约定工期已延期5个月，但未</w:t>
      </w:r>
      <w:r>
        <w:rPr>
          <w:rFonts w:ascii="Times New Roman" w:hAnsi="Times New Roman" w:eastAsia="方正仿宋_GBK" w:cs="Times New Roman"/>
          <w:sz w:val="32"/>
          <w:szCs w:val="22"/>
          <w:highlight w:val="none"/>
          <w:lang w:val="en-US" w:eastAsia="zh-CN" w:bidi="ar-SA"/>
        </w:rPr>
        <w:t>及时</w:t>
      </w:r>
      <w:r>
        <w:rPr>
          <w:rFonts w:ascii="Times New Roman" w:hAnsi="Times New Roman" w:eastAsia="方正仿宋_GBK" w:cs="Times New Roman"/>
          <w:sz w:val="32"/>
          <w:szCs w:val="22"/>
          <w:lang w:bidi="ar-SA"/>
        </w:rPr>
        <w:t>办理工程时间变更及延期审批手续。</w:t>
      </w:r>
      <w:r>
        <w:rPr>
          <w:rFonts w:ascii="Times New Roman" w:hAnsi="Times New Roman" w:eastAsia="方正仿宋_GBK" w:cs="Times New Roman"/>
          <w:b/>
          <w:bCs/>
          <w:sz w:val="32"/>
          <w:szCs w:val="22"/>
          <w:lang w:val="en-US" w:eastAsia="zh-CN" w:bidi="ar-SA"/>
        </w:rPr>
        <w:t>第二，承建单位未有效履约，项目单位监管不到位。一</w:t>
      </w:r>
      <w:r>
        <w:rPr>
          <w:rFonts w:ascii="Times New Roman" w:hAnsi="Times New Roman" w:eastAsia="方正仿宋_GBK" w:cs="Times New Roman"/>
          <w:b/>
          <w:bCs/>
          <w:sz w:val="32"/>
          <w:szCs w:val="22"/>
          <w:lang w:bidi="ar-SA"/>
        </w:rPr>
        <w:t>是</w:t>
      </w:r>
      <w:r>
        <w:rPr>
          <w:rFonts w:ascii="Times New Roman" w:hAnsi="Times New Roman" w:eastAsia="方正仿宋_GBK" w:cs="Times New Roman"/>
          <w:sz w:val="32"/>
          <w:szCs w:val="22"/>
          <w:lang w:bidi="ar-SA"/>
        </w:rPr>
        <w:t>项目单位监管不到位，对承建单位项目经理和项目总工驻守现场时间的监管举措不够有效。据2022年3月至2024年4月间的项目经理和项目总工打卡记录台账，存在多个月份项目经理和项目总工驻守现场时间（以外勤时间为统计数）均不足22天的情况，与合同要求不符，未见项目单位</w:t>
      </w:r>
      <w:r>
        <w:rPr>
          <w:rFonts w:ascii="Times New Roman" w:hAnsi="Times New Roman" w:eastAsia="方正仿宋_GBK" w:cs="Times New Roman"/>
          <w:sz w:val="32"/>
          <w:szCs w:val="22"/>
          <w:lang w:val="en-US" w:eastAsia="zh-CN" w:bidi="ar-SA"/>
        </w:rPr>
        <w:t>进行相关违约处理</w:t>
      </w:r>
      <w:r>
        <w:rPr>
          <w:rFonts w:ascii="Times New Roman" w:hAnsi="Times New Roman" w:eastAsia="方正仿宋_GBK" w:cs="Times New Roman"/>
          <w:sz w:val="32"/>
          <w:szCs w:val="22"/>
          <w:lang w:bidi="ar-SA"/>
        </w:rPr>
        <w:t>。</w:t>
      </w:r>
      <w:r>
        <w:rPr>
          <w:rFonts w:ascii="Times New Roman" w:hAnsi="Times New Roman" w:eastAsia="方正仿宋_GBK" w:cs="Times New Roman"/>
          <w:b/>
          <w:bCs/>
          <w:sz w:val="32"/>
          <w:szCs w:val="22"/>
          <w:lang w:val="en-US" w:eastAsia="zh-CN" w:bidi="ar-SA"/>
        </w:rPr>
        <w:t>二</w:t>
      </w:r>
      <w:r>
        <w:rPr>
          <w:rFonts w:ascii="Times New Roman" w:hAnsi="Times New Roman" w:eastAsia="方正仿宋_GBK" w:cs="Times New Roman"/>
          <w:b/>
          <w:bCs/>
          <w:sz w:val="32"/>
          <w:szCs w:val="22"/>
          <w:lang w:bidi="ar-SA"/>
        </w:rPr>
        <w:t>是</w:t>
      </w:r>
      <w:r>
        <w:rPr>
          <w:rFonts w:ascii="Times New Roman" w:hAnsi="Times New Roman" w:eastAsia="方正仿宋_GBK" w:cs="Times New Roman"/>
          <w:sz w:val="32"/>
          <w:szCs w:val="22"/>
          <w:lang w:val="en-US" w:eastAsia="zh-CN" w:bidi="ar-SA"/>
        </w:rPr>
        <w:t>承建</w:t>
      </w:r>
      <w:r>
        <w:rPr>
          <w:rFonts w:ascii="Times New Roman" w:hAnsi="Times New Roman" w:eastAsia="方正仿宋_GBK" w:cs="Times New Roman"/>
          <w:sz w:val="32"/>
          <w:szCs w:val="22"/>
          <w:lang w:bidi="ar-SA"/>
        </w:rPr>
        <w:t>单位未设立农民工工资保证金，工资保证金制度未能有效执行，项目单位对此监管不到位。该项目实施期间，</w:t>
      </w:r>
      <w:r>
        <w:rPr>
          <w:rFonts w:ascii="Times New Roman" w:hAnsi="Times New Roman" w:eastAsia="方正仿宋_GBK" w:cs="Times New Roman"/>
          <w:sz w:val="32"/>
          <w:szCs w:val="22"/>
          <w:lang w:val="en-US" w:eastAsia="zh-CN" w:bidi="ar-SA"/>
        </w:rPr>
        <w:t>承建</w:t>
      </w:r>
      <w:r>
        <w:rPr>
          <w:rFonts w:ascii="Times New Roman" w:hAnsi="Times New Roman" w:eastAsia="方正仿宋_GBK" w:cs="Times New Roman"/>
          <w:sz w:val="32"/>
          <w:szCs w:val="22"/>
          <w:lang w:bidi="ar-SA"/>
        </w:rPr>
        <w:t>单位未与银行签订《农民工工资保证金存款协议书》或申请开立银行保函，有违《工程建设领域农民工工资保证金规定》（人社部发〔2021〕65号）、《保障农民工工资支付条例》等相关要求。</w:t>
      </w:r>
      <w:r>
        <w:rPr>
          <w:rFonts w:ascii="Times New Roman" w:hAnsi="Times New Roman" w:eastAsia="方正仿宋_GBK" w:cs="Times New Roman"/>
          <w:b/>
          <w:bCs/>
          <w:sz w:val="32"/>
          <w:szCs w:val="22"/>
          <w:lang w:val="en-US" w:eastAsia="zh-CN" w:bidi="ar-SA"/>
        </w:rPr>
        <w:t>第三，合同内容调整不符规范，文书编制不够严谨。</w:t>
      </w:r>
      <w:r>
        <w:rPr>
          <w:rFonts w:ascii="Times New Roman" w:hAnsi="Times New Roman" w:eastAsia="方正仿宋_GBK" w:cs="Times New Roman"/>
          <w:b/>
          <w:bCs/>
          <w:sz w:val="32"/>
          <w:szCs w:val="22"/>
          <w:lang w:bidi="ar-SA"/>
        </w:rPr>
        <w:t>一是</w:t>
      </w:r>
      <w:r>
        <w:rPr>
          <w:rFonts w:ascii="Times New Roman" w:hAnsi="Times New Roman" w:eastAsia="方正仿宋_GBK" w:cs="Times New Roman"/>
          <w:sz w:val="32"/>
          <w:szCs w:val="22"/>
          <w:lang w:bidi="ar-SA"/>
        </w:rPr>
        <w:t>设计合同、施工合同关键性条款</w:t>
      </w:r>
      <w:r>
        <w:rPr>
          <w:rFonts w:ascii="Times New Roman" w:hAnsi="Times New Roman" w:eastAsia="方正仿宋_GBK" w:cs="Times New Roman"/>
          <w:sz w:val="32"/>
          <w:szCs w:val="22"/>
          <w:lang w:val="en-US" w:eastAsia="zh-CN" w:bidi="ar-SA"/>
        </w:rPr>
        <w:t>发生变更</w:t>
      </w:r>
      <w:r>
        <w:rPr>
          <w:rFonts w:ascii="Times New Roman" w:hAnsi="Times New Roman" w:eastAsia="方正仿宋_GBK" w:cs="Times New Roman"/>
          <w:sz w:val="32"/>
          <w:szCs w:val="22"/>
          <w:lang w:bidi="ar-SA"/>
        </w:rPr>
        <w:t>，与采购需求公示及招标文件存在实质性差异</w:t>
      </w:r>
      <w:r>
        <w:rPr>
          <w:rFonts w:ascii="Times New Roman" w:hAnsi="Times New Roman" w:eastAsia="方正仿宋_GBK" w:cs="Times New Roman"/>
          <w:sz w:val="32"/>
          <w:szCs w:val="22"/>
          <w:lang w:eastAsia="zh-CN" w:bidi="ar-SA"/>
        </w:rPr>
        <w:t>，</w:t>
      </w:r>
      <w:r>
        <w:rPr>
          <w:rFonts w:ascii="Times New Roman" w:hAnsi="Times New Roman" w:eastAsia="方正仿宋_GBK" w:cs="Times New Roman"/>
          <w:sz w:val="32"/>
          <w:szCs w:val="22"/>
          <w:lang w:val="en-US" w:eastAsia="zh-CN" w:bidi="ar-SA"/>
        </w:rPr>
        <w:t>但变更调整方式不符规范</w:t>
      </w:r>
      <w:r>
        <w:rPr>
          <w:rFonts w:ascii="Times New Roman" w:hAnsi="Times New Roman" w:eastAsia="方正仿宋_GBK" w:cs="Times New Roman"/>
          <w:sz w:val="32"/>
          <w:szCs w:val="22"/>
          <w:lang w:bidi="ar-SA"/>
        </w:rPr>
        <w:t>。</w:t>
      </w:r>
      <w:r>
        <w:rPr>
          <w:rFonts w:ascii="Times New Roman" w:hAnsi="Times New Roman" w:eastAsia="方正仿宋_GBK" w:cs="Times New Roman"/>
          <w:b/>
          <w:bCs/>
          <w:sz w:val="32"/>
          <w:szCs w:val="22"/>
          <w:lang w:bidi="ar-SA"/>
        </w:rPr>
        <w:t>二是</w:t>
      </w:r>
      <w:r>
        <w:rPr>
          <w:rFonts w:ascii="Times New Roman" w:hAnsi="Times New Roman" w:eastAsia="方正仿宋_GBK" w:cs="Times New Roman"/>
          <w:sz w:val="32"/>
          <w:szCs w:val="22"/>
          <w:lang w:bidi="ar-SA"/>
        </w:rPr>
        <w:t>监理服务时限要求在多份文书不一致。《公开选取需求书》《中选中介服务机构通知书》《建设工程监理合同》三者关于监理服务期限的要求未能保持统一，且《中选中介服务机构通知书》</w:t>
      </w:r>
      <w:r>
        <w:rPr>
          <w:rFonts w:ascii="Times New Roman" w:hAnsi="Times New Roman" w:eastAsia="方正仿宋_GBK" w:cs="Times New Roman"/>
          <w:sz w:val="32"/>
          <w:szCs w:val="22"/>
          <w:lang w:val="en-US" w:eastAsia="zh-CN" w:bidi="ar-SA"/>
        </w:rPr>
        <w:t>中监理服务期限</w:t>
      </w:r>
      <w:r>
        <w:rPr>
          <w:rFonts w:ascii="Times New Roman" w:hAnsi="Times New Roman" w:eastAsia="方正仿宋_GBK" w:cs="Times New Roman"/>
          <w:sz w:val="32"/>
          <w:szCs w:val="22"/>
          <w:lang w:bidi="ar-SA"/>
        </w:rPr>
        <w:t>与项目施工合同工期24个月不相符。</w:t>
      </w:r>
      <w:r>
        <w:rPr>
          <w:rFonts w:ascii="Times New Roman" w:hAnsi="Times New Roman" w:eastAsia="方正仿宋_GBK" w:cs="Times New Roman"/>
          <w:b/>
          <w:bCs/>
          <w:sz w:val="32"/>
          <w:szCs w:val="22"/>
          <w:lang w:val="en-US" w:eastAsia="zh-CN" w:bidi="ar-SA"/>
        </w:rPr>
        <w:t>第四，数据应用过程存在局限，影响项目效益最大化。</w:t>
      </w:r>
      <w:r>
        <w:rPr>
          <w:rFonts w:ascii="Times New Roman" w:hAnsi="Times New Roman" w:eastAsia="方正仿宋_GBK" w:cs="Times New Roman"/>
          <w:b/>
          <w:bCs/>
          <w:sz w:val="32"/>
          <w:szCs w:val="22"/>
          <w:lang w:bidi="ar-SA"/>
        </w:rPr>
        <w:t>一是</w:t>
      </w:r>
      <w:r>
        <w:rPr>
          <w:rFonts w:ascii="Times New Roman" w:hAnsi="Times New Roman" w:eastAsia="方正仿宋_GBK" w:cs="Times New Roman"/>
          <w:sz w:val="32"/>
          <w:szCs w:val="22"/>
          <w:lang w:bidi="ar-SA"/>
        </w:rPr>
        <w:t>省级平台存在技术功能短板。因省级平台无法识别</w:t>
      </w:r>
      <w:r>
        <w:rPr>
          <w:rFonts w:ascii="Times New Roman" w:hAnsi="Times New Roman" w:eastAsia="方正仿宋_GBK" w:cs="Times New Roman"/>
          <w:sz w:val="32"/>
          <w:szCs w:val="22"/>
          <w:lang w:val="en-US" w:eastAsia="zh-CN" w:bidi="ar-SA"/>
        </w:rPr>
        <w:t>特种设备</w:t>
      </w:r>
      <w:r>
        <w:rPr>
          <w:rFonts w:ascii="Times New Roman" w:hAnsi="Times New Roman" w:eastAsia="方正仿宋_GBK" w:cs="Times New Roman"/>
          <w:sz w:val="32"/>
          <w:szCs w:val="22"/>
          <w:lang w:bidi="ar-SA"/>
        </w:rPr>
        <w:t>车辆并</w:t>
      </w:r>
      <w:r>
        <w:rPr>
          <w:rFonts w:ascii="Times New Roman" w:hAnsi="Times New Roman" w:eastAsia="方正仿宋_GBK" w:cs="Times New Roman"/>
          <w:sz w:val="32"/>
          <w:szCs w:val="22"/>
          <w:lang w:val="en-US" w:eastAsia="zh-CN" w:bidi="ar-SA"/>
        </w:rPr>
        <w:t>完全</w:t>
      </w:r>
      <w:r>
        <w:rPr>
          <w:rFonts w:ascii="Times New Roman" w:hAnsi="Times New Roman" w:eastAsia="方正仿宋_GBK" w:cs="Times New Roman"/>
          <w:sz w:val="32"/>
          <w:szCs w:val="22"/>
          <w:lang w:bidi="ar-SA"/>
        </w:rPr>
        <w:t>过滤相关数据，其推送的案件线索中包含</w:t>
      </w:r>
      <w:r>
        <w:rPr>
          <w:rFonts w:ascii="Times New Roman" w:hAnsi="Times New Roman" w:eastAsia="方正仿宋_GBK" w:cs="Times New Roman"/>
          <w:sz w:val="32"/>
          <w:szCs w:val="22"/>
          <w:lang w:val="en-US" w:eastAsia="zh-CN" w:bidi="ar-SA"/>
        </w:rPr>
        <w:t>诸</w:t>
      </w:r>
      <w:r>
        <w:rPr>
          <w:rFonts w:ascii="Times New Roman" w:hAnsi="Times New Roman" w:eastAsia="方正仿宋_GBK" w:cs="Times New Roman"/>
          <w:sz w:val="32"/>
          <w:szCs w:val="22"/>
          <w:lang w:bidi="ar-SA"/>
        </w:rPr>
        <w:t>如消防车、吊车等可豁免超限处罚的</w:t>
      </w:r>
      <w:r>
        <w:rPr>
          <w:rFonts w:ascii="Times New Roman" w:hAnsi="Times New Roman" w:eastAsia="方正仿宋_GBK" w:cs="Times New Roman"/>
          <w:sz w:val="32"/>
          <w:szCs w:val="22"/>
          <w:lang w:val="en-US" w:eastAsia="zh-CN" w:bidi="ar-SA"/>
        </w:rPr>
        <w:t>特种设备车辆</w:t>
      </w:r>
      <w:r>
        <w:rPr>
          <w:rFonts w:ascii="Times New Roman" w:hAnsi="Times New Roman" w:eastAsia="方正仿宋_GBK" w:cs="Times New Roman"/>
          <w:sz w:val="32"/>
          <w:szCs w:val="22"/>
          <w:lang w:bidi="ar-SA"/>
        </w:rPr>
        <w:t>数据，导致前端采集的原始数据无法直接应用于执法工作中。</w:t>
      </w:r>
      <w:r>
        <w:rPr>
          <w:rFonts w:ascii="Times New Roman" w:hAnsi="Times New Roman" w:eastAsia="方正仿宋_GBK" w:cs="Times New Roman"/>
          <w:b/>
          <w:bCs/>
          <w:sz w:val="32"/>
          <w:szCs w:val="22"/>
          <w:lang w:bidi="ar-SA"/>
        </w:rPr>
        <w:t>二是</w:t>
      </w:r>
      <w:r>
        <w:rPr>
          <w:rFonts w:ascii="Times New Roman" w:hAnsi="Times New Roman" w:eastAsia="方正仿宋_GBK" w:cs="Times New Roman"/>
          <w:sz w:val="32"/>
          <w:szCs w:val="22"/>
          <w:lang w:bidi="ar-SA"/>
        </w:rPr>
        <w:t>部门间数据互通共享机制尚未完全建立。因特种设备车辆信息由交警部门掌握，且因信息涉密、敏感，无法与交通部门互通共享。</w:t>
      </w:r>
      <w:r>
        <w:rPr>
          <w:rFonts w:ascii="Times New Roman" w:hAnsi="Times New Roman" w:eastAsia="方正仿宋_GBK" w:cs="Times New Roman"/>
          <w:sz w:val="32"/>
          <w:szCs w:val="22"/>
          <w:lang w:val="en-US" w:eastAsia="zh-CN" w:bidi="ar-SA"/>
        </w:rPr>
        <w:t>现场评价</w:t>
      </w:r>
      <w:r>
        <w:rPr>
          <w:rFonts w:ascii="Times New Roman" w:hAnsi="Times New Roman" w:eastAsia="方正仿宋_GBK" w:cs="Times New Roman"/>
          <w:sz w:val="32"/>
          <w:szCs w:val="22"/>
          <w:lang w:bidi="ar-SA"/>
        </w:rPr>
        <w:t>了解到，</w:t>
      </w:r>
      <w:r>
        <w:rPr>
          <w:rFonts w:ascii="Times New Roman" w:hAnsi="Times New Roman" w:eastAsia="方正仿宋_GBK" w:cs="Times New Roman"/>
          <w:sz w:val="32"/>
          <w:szCs w:val="22"/>
          <w:lang w:val="en-US" w:eastAsia="zh-CN" w:bidi="ar-SA"/>
        </w:rPr>
        <w:t>通行的超限车辆</w:t>
      </w:r>
      <w:r>
        <w:rPr>
          <w:rFonts w:ascii="Times New Roman" w:hAnsi="Times New Roman" w:eastAsia="方正仿宋_GBK" w:cs="Times New Roman"/>
          <w:sz w:val="32"/>
          <w:szCs w:val="22"/>
          <w:lang w:bidi="ar-SA"/>
        </w:rPr>
        <w:t>中</w:t>
      </w:r>
      <w:r>
        <w:rPr>
          <w:rFonts w:ascii="Times New Roman" w:hAnsi="Times New Roman" w:eastAsia="方正仿宋_GBK" w:cs="Times New Roman"/>
          <w:sz w:val="32"/>
          <w:szCs w:val="22"/>
          <w:lang w:val="en-US" w:eastAsia="zh-CN" w:bidi="ar-SA"/>
        </w:rPr>
        <w:t>特种设备车辆</w:t>
      </w:r>
      <w:r>
        <w:rPr>
          <w:rFonts w:ascii="Times New Roman" w:hAnsi="Times New Roman" w:eastAsia="方正仿宋_GBK" w:cs="Times New Roman"/>
          <w:sz w:val="32"/>
          <w:szCs w:val="22"/>
          <w:lang w:bidi="ar-SA"/>
        </w:rPr>
        <w:t>所占比例较大，因此后续需花费一定人力完成数据审核和筛查。</w:t>
      </w:r>
      <w:r>
        <w:rPr>
          <w:rFonts w:ascii="Times New Roman" w:hAnsi="Times New Roman" w:eastAsia="方正仿宋_GBK" w:cs="Times New Roman"/>
          <w:b/>
          <w:bCs/>
          <w:sz w:val="32"/>
          <w:szCs w:val="22"/>
          <w:lang w:val="en-US" w:eastAsia="zh-CN" w:bidi="ar-SA"/>
        </w:rPr>
        <w:t>三是</w:t>
      </w:r>
      <w:r>
        <w:rPr>
          <w:rFonts w:ascii="Times New Roman" w:hAnsi="Times New Roman" w:eastAsia="方正仿宋_GBK" w:cs="Times New Roman"/>
          <w:sz w:val="32"/>
          <w:szCs w:val="22"/>
          <w:lang w:val="en-US" w:eastAsia="zh-CN" w:bidi="ar-SA"/>
        </w:rPr>
        <w:t>省级平台数据查询结果具有不稳定性，影响数据统计分析等工作开展。</w:t>
      </w:r>
    </w:p>
    <w:p>
      <w:pPr>
        <w:keepNext w:val="0"/>
        <w:keepLines w:val="0"/>
        <w:pageBreakBefore w:val="0"/>
        <w:widowControl w:val="0"/>
        <w:kinsoku/>
        <w:wordWrap/>
        <w:overflowPunct/>
        <w:topLinePunct w:val="0"/>
        <w:bidi w:val="0"/>
        <w:snapToGrid w:val="0"/>
        <w:spacing w:before="0" w:beforeLines="0" w:after="0" w:afterLines="0" w:line="600" w:lineRule="exact"/>
        <w:ind w:firstLine="640" w:firstLineChars="200"/>
        <w:textAlignment w:val="auto"/>
        <w:outlineLvl w:val="1"/>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sz w:val="32"/>
          <w:szCs w:val="22"/>
          <w:lang w:val="en-US" w:eastAsia="zh-CN" w:bidi="ar-SA"/>
        </w:rPr>
        <w:t>第一，严格履行项目程序，强化项目监管力度。</w:t>
      </w:r>
      <w:r>
        <w:rPr>
          <w:rFonts w:ascii="Times New Roman" w:hAnsi="Times New Roman" w:eastAsia="方正仿宋_GBK" w:cs="Times New Roman"/>
          <w:b/>
          <w:bCs/>
          <w:sz w:val="32"/>
          <w:szCs w:val="22"/>
          <w:lang w:bidi="ar-SA"/>
        </w:rPr>
        <w:t>一是</w:t>
      </w:r>
      <w:r>
        <w:rPr>
          <w:rFonts w:ascii="Times New Roman" w:hAnsi="Times New Roman" w:eastAsia="方正仿宋_GBK" w:cs="Times New Roman"/>
          <w:sz w:val="32"/>
          <w:szCs w:val="22"/>
          <w:lang w:bidi="ar-SA"/>
        </w:rPr>
        <w:t>建议复盘项目在实施流程上的不足，梳理总结项目执行的规范程序，将相关经验应用于往后年度的项目实施中。二是积极推进项目实施进度，并按照相关规定补充延期审批手续，确保程序合规。</w:t>
      </w:r>
      <w:r>
        <w:rPr>
          <w:rFonts w:ascii="Times New Roman" w:hAnsi="Times New Roman" w:eastAsia="方正仿宋_GBK" w:cs="Times New Roman"/>
          <w:b/>
          <w:bCs/>
          <w:sz w:val="32"/>
          <w:szCs w:val="22"/>
          <w:lang w:val="en-US" w:eastAsia="zh-CN" w:bidi="ar-SA"/>
        </w:rPr>
        <w:t>第二，强化项目监管力度，优化落实监管举措。</w:t>
      </w:r>
      <w:r>
        <w:rPr>
          <w:rFonts w:ascii="Times New Roman" w:hAnsi="Times New Roman" w:eastAsia="方正仿宋_GBK" w:cs="Times New Roman"/>
          <w:sz w:val="32"/>
          <w:szCs w:val="22"/>
          <w:lang w:bidi="ar-SA"/>
        </w:rPr>
        <w:t>加强对承包单位的监管，优化监督管理机制并落实相应举措。在机制建设层面上，应健全完善对承包单位的监督管理机制；在实际执行层面上，严格执行合同条款约定，贯彻落实《保障农民工工资支付条例》《工程建设领域农民工工资保证金规定》等各项工程建设相关规定，并督促其落实整改，以优化过程管理强化工程质量管控。</w:t>
      </w:r>
      <w:r>
        <w:rPr>
          <w:rFonts w:ascii="Times New Roman" w:hAnsi="Times New Roman" w:eastAsia="方正仿宋_GBK" w:cs="Times New Roman"/>
          <w:b/>
          <w:bCs/>
          <w:sz w:val="32"/>
          <w:szCs w:val="22"/>
          <w:lang w:val="en-US" w:eastAsia="zh-CN" w:bidi="ar-SA"/>
        </w:rPr>
        <w:t>第三，规范调整合同条款，确保关键内容保持一致。</w:t>
      </w:r>
      <w:r>
        <w:rPr>
          <w:rFonts w:ascii="Times New Roman" w:hAnsi="Times New Roman" w:eastAsia="方正仿宋_GBK" w:cs="Times New Roman"/>
          <w:sz w:val="32"/>
          <w:szCs w:val="22"/>
          <w:lang w:bidi="ar-SA"/>
        </w:rPr>
        <w:t>建议</w:t>
      </w:r>
      <w:r>
        <w:rPr>
          <w:rFonts w:ascii="Times New Roman" w:hAnsi="Times New Roman" w:eastAsia="方正仿宋_GBK" w:cs="Times New Roman"/>
          <w:sz w:val="32"/>
          <w:szCs w:val="22"/>
          <w:lang w:eastAsia="zh-CN" w:bidi="ar-SA"/>
        </w:rPr>
        <w:t>按</w:t>
      </w:r>
      <w:r>
        <w:rPr>
          <w:rFonts w:ascii="Times New Roman" w:hAnsi="Times New Roman" w:eastAsia="方正仿宋_GBK" w:cs="Times New Roman"/>
          <w:sz w:val="32"/>
          <w:szCs w:val="22"/>
          <w:lang w:val="en-US" w:eastAsia="zh-CN" w:bidi="ar-SA"/>
        </w:rPr>
        <w:t>照</w:t>
      </w:r>
      <w:r>
        <w:rPr>
          <w:rFonts w:ascii="Times New Roman" w:hAnsi="Times New Roman" w:eastAsia="方正仿宋_GBK" w:cs="Times New Roman"/>
          <w:sz w:val="32"/>
          <w:szCs w:val="22"/>
          <w:lang w:bidi="ar-SA"/>
        </w:rPr>
        <w:t>《中华人民共和国合同法》及相关法规，在合同中响应招标文件的关键性条款，</w:t>
      </w:r>
      <w:r>
        <w:rPr>
          <w:rFonts w:ascii="Times New Roman" w:hAnsi="Times New Roman" w:eastAsia="方正仿宋_GBK" w:cs="Times New Roman"/>
          <w:sz w:val="32"/>
          <w:szCs w:val="22"/>
          <w:lang w:val="en-US" w:eastAsia="zh-CN" w:bidi="ar-SA"/>
        </w:rPr>
        <w:t>确保</w:t>
      </w:r>
      <w:r>
        <w:rPr>
          <w:rFonts w:ascii="Times New Roman" w:hAnsi="Times New Roman" w:eastAsia="方正仿宋_GBK" w:cs="Times New Roman"/>
          <w:sz w:val="32"/>
          <w:szCs w:val="22"/>
          <w:lang w:bidi="ar-SA"/>
        </w:rPr>
        <w:t>合同实质性内容</w:t>
      </w:r>
      <w:r>
        <w:rPr>
          <w:rFonts w:ascii="Times New Roman" w:hAnsi="Times New Roman" w:eastAsia="方正仿宋_GBK" w:cs="Times New Roman"/>
          <w:sz w:val="32"/>
          <w:szCs w:val="22"/>
          <w:lang w:val="en-US" w:eastAsia="zh-CN" w:bidi="ar-SA"/>
        </w:rPr>
        <w:t>与招标文件一致</w:t>
      </w:r>
      <w:r>
        <w:rPr>
          <w:rFonts w:ascii="Times New Roman" w:hAnsi="Times New Roman" w:eastAsia="方正仿宋_GBK" w:cs="Times New Roman"/>
          <w:sz w:val="32"/>
          <w:szCs w:val="22"/>
          <w:lang w:bidi="ar-SA"/>
        </w:rPr>
        <w:t>；如确需对合同</w:t>
      </w:r>
      <w:r>
        <w:rPr>
          <w:rFonts w:ascii="Times New Roman" w:hAnsi="Times New Roman" w:eastAsia="方正仿宋_GBK" w:cs="Times New Roman"/>
          <w:sz w:val="32"/>
          <w:szCs w:val="22"/>
          <w:lang w:val="en-US" w:eastAsia="zh-CN" w:bidi="ar-SA"/>
        </w:rPr>
        <w:t>条款</w:t>
      </w:r>
      <w:r>
        <w:rPr>
          <w:rFonts w:ascii="Times New Roman" w:hAnsi="Times New Roman" w:eastAsia="方正仿宋_GBK" w:cs="Times New Roman"/>
          <w:sz w:val="32"/>
          <w:szCs w:val="22"/>
          <w:lang w:bidi="ar-SA"/>
        </w:rPr>
        <w:t>进行调整，应</w:t>
      </w:r>
      <w:r>
        <w:rPr>
          <w:rFonts w:ascii="Times New Roman" w:hAnsi="Times New Roman" w:eastAsia="方正仿宋_GBK" w:cs="Times New Roman"/>
          <w:sz w:val="32"/>
          <w:szCs w:val="22"/>
          <w:lang w:val="en-US" w:eastAsia="zh-CN" w:bidi="ar-SA"/>
        </w:rPr>
        <w:t>遵循</w:t>
      </w:r>
      <w:r>
        <w:rPr>
          <w:rFonts w:ascii="Times New Roman" w:hAnsi="Times New Roman" w:eastAsia="方正仿宋_GBK" w:cs="Times New Roman"/>
          <w:sz w:val="32"/>
          <w:szCs w:val="22"/>
          <w:lang w:bidi="ar-SA"/>
        </w:rPr>
        <w:t>合同文书编制及调整所需程序及要件。就具体方式而言，可通过签订补充协议的方式对合同条款进行修订调整，避免其与前期招标文件、中标通知书等材料所述不符，影响合同效力及公信力。</w:t>
      </w:r>
      <w:r>
        <w:rPr>
          <w:rFonts w:ascii="Times New Roman" w:hAnsi="Times New Roman" w:eastAsia="方正仿宋_GBK" w:cs="Times New Roman"/>
          <w:b/>
          <w:bCs/>
          <w:sz w:val="32"/>
          <w:szCs w:val="22"/>
          <w:lang w:val="en-US" w:eastAsia="zh-CN" w:bidi="ar-SA"/>
        </w:rPr>
        <w:t>第四，积极推进系统改善，探索建立数据共享机制。一是</w:t>
      </w:r>
      <w:r>
        <w:rPr>
          <w:rFonts w:ascii="Times New Roman" w:hAnsi="Times New Roman" w:eastAsia="方正仿宋_GBK" w:cs="Times New Roman"/>
          <w:sz w:val="32"/>
          <w:szCs w:val="22"/>
          <w:lang w:bidi="ar-SA"/>
        </w:rPr>
        <w:t>建议</w:t>
      </w:r>
      <w:r>
        <w:rPr>
          <w:rFonts w:ascii="Times New Roman" w:hAnsi="Times New Roman" w:eastAsia="方正仿宋_GBK" w:cs="Times New Roman"/>
          <w:sz w:val="32"/>
          <w:szCs w:val="22"/>
          <w:lang w:val="en-US" w:eastAsia="zh-CN" w:bidi="ar-SA"/>
        </w:rPr>
        <w:t>市交通局向</w:t>
      </w:r>
      <w:r>
        <w:rPr>
          <w:rFonts w:ascii="Times New Roman" w:hAnsi="Times New Roman" w:eastAsia="方正仿宋_GBK" w:cs="Times New Roman"/>
          <w:sz w:val="32"/>
          <w:szCs w:val="22"/>
          <w:lang w:bidi="ar-SA"/>
        </w:rPr>
        <w:t>省交通运输厅</w:t>
      </w:r>
      <w:r>
        <w:rPr>
          <w:rFonts w:ascii="Times New Roman" w:hAnsi="Times New Roman" w:eastAsia="方正仿宋_GBK" w:cs="Times New Roman"/>
          <w:sz w:val="32"/>
          <w:szCs w:val="22"/>
          <w:lang w:val="en-US" w:eastAsia="zh-CN" w:bidi="ar-SA"/>
        </w:rPr>
        <w:t>反馈相关情况，</w:t>
      </w:r>
      <w:r>
        <w:rPr>
          <w:rFonts w:ascii="Times New Roman" w:hAnsi="Times New Roman" w:eastAsia="方正仿宋_GBK" w:cs="Times New Roman"/>
          <w:sz w:val="32"/>
          <w:szCs w:val="22"/>
          <w:lang w:bidi="ar-SA"/>
        </w:rPr>
        <w:t>及时弥补技术缺陷，</w:t>
      </w:r>
      <w:r>
        <w:rPr>
          <w:rFonts w:ascii="Times New Roman" w:hAnsi="Times New Roman" w:eastAsia="方正仿宋_GBK" w:cs="Times New Roman"/>
          <w:sz w:val="32"/>
          <w:szCs w:val="22"/>
          <w:lang w:val="en-US" w:eastAsia="zh-CN" w:bidi="ar-SA"/>
        </w:rPr>
        <w:t>提高</w:t>
      </w:r>
      <w:r>
        <w:rPr>
          <w:rFonts w:ascii="Times New Roman" w:hAnsi="Times New Roman" w:eastAsia="方正仿宋_GBK" w:cs="Times New Roman"/>
          <w:sz w:val="32"/>
          <w:szCs w:val="22"/>
          <w:lang w:bidi="ar-SA"/>
        </w:rPr>
        <w:t>治超联网管理信息系统</w:t>
      </w:r>
      <w:r>
        <w:rPr>
          <w:rFonts w:ascii="Times New Roman" w:hAnsi="Times New Roman" w:eastAsia="方正仿宋_GBK" w:cs="Times New Roman"/>
          <w:sz w:val="32"/>
          <w:szCs w:val="22"/>
          <w:lang w:val="en-US" w:eastAsia="zh-CN" w:bidi="ar-SA"/>
        </w:rPr>
        <w:t>数据精准度</w:t>
      </w:r>
      <w:r>
        <w:rPr>
          <w:rFonts w:ascii="Times New Roman" w:hAnsi="Times New Roman" w:eastAsia="方正仿宋_GBK" w:cs="Times New Roman"/>
          <w:sz w:val="32"/>
          <w:szCs w:val="22"/>
          <w:lang w:bidi="ar-SA"/>
        </w:rPr>
        <w:t>，从而提升公路治超非现场执法监测点的后续利用效率。</w:t>
      </w:r>
      <w:r>
        <w:rPr>
          <w:rFonts w:ascii="Times New Roman" w:hAnsi="Times New Roman" w:eastAsia="方正仿宋_GBK" w:cs="Times New Roman"/>
          <w:b/>
          <w:bCs/>
          <w:sz w:val="32"/>
          <w:szCs w:val="22"/>
          <w:lang w:val="en-US" w:eastAsia="zh-CN" w:bidi="ar-SA"/>
        </w:rPr>
        <w:t>二是</w:t>
      </w:r>
      <w:r>
        <w:rPr>
          <w:rFonts w:ascii="Times New Roman" w:hAnsi="Times New Roman" w:eastAsia="方正仿宋_GBK" w:cs="Times New Roman"/>
          <w:sz w:val="32"/>
          <w:szCs w:val="22"/>
          <w:lang w:bidi="ar-SA"/>
        </w:rPr>
        <w:t>建议</w:t>
      </w:r>
      <w:r>
        <w:rPr>
          <w:rFonts w:ascii="Times New Roman" w:hAnsi="Times New Roman" w:eastAsia="方正仿宋_GBK" w:cs="Times New Roman"/>
          <w:sz w:val="32"/>
          <w:szCs w:val="22"/>
          <w:lang w:val="en-US" w:eastAsia="zh-CN" w:bidi="ar-SA"/>
        </w:rPr>
        <w:t>市、县（区）</w:t>
      </w:r>
      <w:r>
        <w:rPr>
          <w:rFonts w:ascii="Times New Roman" w:hAnsi="Times New Roman" w:eastAsia="方正仿宋_GBK" w:cs="Times New Roman"/>
          <w:sz w:val="32"/>
          <w:szCs w:val="22"/>
          <w:lang w:bidi="ar-SA"/>
        </w:rPr>
        <w:t>各级交通部门积极探索与公安交警等有关部门</w:t>
      </w:r>
      <w:r>
        <w:rPr>
          <w:rFonts w:ascii="Times New Roman" w:hAnsi="Times New Roman" w:eastAsia="方正仿宋_GBK" w:cs="Times New Roman"/>
          <w:sz w:val="32"/>
          <w:szCs w:val="22"/>
          <w:lang w:val="en-US" w:eastAsia="zh-CN" w:bidi="ar-SA"/>
        </w:rPr>
        <w:t>建立</w:t>
      </w:r>
      <w:r>
        <w:rPr>
          <w:rFonts w:ascii="Times New Roman" w:hAnsi="Times New Roman" w:eastAsia="方正仿宋_GBK" w:cs="Times New Roman"/>
          <w:sz w:val="32"/>
          <w:szCs w:val="22"/>
          <w:lang w:bidi="ar-SA"/>
        </w:rPr>
        <w:t>跨部门治超信息资源交换共享的机制，</w:t>
      </w:r>
      <w:r>
        <w:rPr>
          <w:rFonts w:ascii="Times New Roman" w:hAnsi="Times New Roman" w:eastAsia="方正仿宋_GBK" w:cs="Times New Roman"/>
          <w:sz w:val="32"/>
          <w:szCs w:val="22"/>
          <w:lang w:val="en-US" w:eastAsia="zh-CN" w:bidi="ar-SA"/>
        </w:rPr>
        <w:t>实现信息共享与数据互通，</w:t>
      </w:r>
      <w:r>
        <w:rPr>
          <w:rFonts w:ascii="Times New Roman" w:hAnsi="Times New Roman" w:eastAsia="方正仿宋_GBK" w:cs="Times New Roman"/>
          <w:sz w:val="32"/>
          <w:szCs w:val="22"/>
          <w:lang w:bidi="ar-SA"/>
        </w:rPr>
        <w:t>提升</w:t>
      </w:r>
      <w:r>
        <w:rPr>
          <w:rFonts w:ascii="Times New Roman" w:hAnsi="Times New Roman" w:eastAsia="方正仿宋_GBK" w:cs="Times New Roman"/>
          <w:sz w:val="32"/>
          <w:szCs w:val="22"/>
          <w:lang w:val="en-US" w:eastAsia="zh-CN" w:bidi="ar-SA"/>
        </w:rPr>
        <w:t>公路治超执法工作的整体效率</w:t>
      </w:r>
      <w:r>
        <w:rPr>
          <w:rFonts w:ascii="Times New Roman" w:hAnsi="Times New Roman" w:eastAsia="方正仿宋_GBK" w:cs="Times New Roman"/>
          <w:sz w:val="32"/>
          <w:szCs w:val="22"/>
          <w:lang w:bidi="ar-SA"/>
        </w:rPr>
        <w:t>。</w:t>
      </w:r>
    </w:p>
    <w:p>
      <w:pPr>
        <w:keepNext w:val="0"/>
        <w:keepLines w:val="0"/>
        <w:pageBreakBefore w:val="0"/>
        <w:widowControl w:val="0"/>
        <w:kinsoku/>
        <w:wordWrap/>
        <w:overflowPunct/>
        <w:topLinePunct w:val="0"/>
        <w:bidi w:val="0"/>
        <w:snapToGrid w:val="0"/>
        <w:spacing w:before="0" w:beforeLines="0" w:after="0" w:afterLines="0" w:line="600" w:lineRule="exact"/>
        <w:ind w:firstLine="640" w:firstLineChars="200"/>
        <w:textAlignment w:val="auto"/>
        <w:outlineLvl w:val="0"/>
        <w:rPr>
          <w:rFonts w:ascii="Times New Roman" w:hAnsi="Times New Roman" w:eastAsia="黑体" w:cs="Times New Roman"/>
          <w:bCs/>
          <w:color w:val="auto"/>
          <w:kern w:val="2"/>
          <w:sz w:val="32"/>
          <w:szCs w:val="32"/>
          <w:lang w:val="en-US" w:eastAsia="zh-CN" w:bidi="ar-SA"/>
        </w:rPr>
      </w:pPr>
      <w:bookmarkStart w:id="58" w:name="_Toc20704"/>
      <w:bookmarkStart w:id="59" w:name="_Toc25405"/>
      <w:bookmarkStart w:id="60" w:name="_Toc12310"/>
      <w:r>
        <w:rPr>
          <w:rFonts w:ascii="Times New Roman" w:hAnsi="Times New Roman" w:eastAsia="方正黑体_GBK" w:cs="Times New Roman"/>
          <w:bCs/>
          <w:color w:val="auto"/>
          <w:kern w:val="2"/>
          <w:sz w:val="32"/>
          <w:szCs w:val="32"/>
          <w:lang w:val="en-US" w:eastAsia="zh-CN" w:bidi="ar-SA"/>
        </w:rPr>
        <w:t>九、</w:t>
      </w:r>
      <w:bookmarkEnd w:id="58"/>
      <w:bookmarkEnd w:id="59"/>
      <w:bookmarkEnd w:id="60"/>
      <w:r>
        <w:rPr>
          <w:rFonts w:ascii="Times New Roman" w:hAnsi="Times New Roman" w:eastAsia="方正黑体_GBK" w:cs="Times New Roman"/>
          <w:bCs/>
          <w:color w:val="auto"/>
          <w:kern w:val="2"/>
          <w:sz w:val="32"/>
          <w:szCs w:val="32"/>
          <w:lang w:val="en-US" w:eastAsia="zh-CN" w:bidi="ar-SA"/>
        </w:rPr>
        <w:t>水库除险加固工程资金（2023年一般债券）</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640" w:firstLineChars="200"/>
        <w:textAlignment w:val="auto"/>
        <w:rPr>
          <w:rFonts w:ascii="Times New Roman" w:hAnsi="Times New Roman" w:eastAsia="方正仿宋_GBK" w:cs="Times New Roman"/>
          <w:sz w:val="32"/>
          <w:szCs w:val="32"/>
          <w:lang w:val="en-US" w:eastAsia="zh-CN" w:bidi="ar-SA"/>
        </w:rPr>
      </w:pPr>
      <w:bookmarkStart w:id="61" w:name="_Toc5933"/>
      <w:bookmarkStart w:id="62" w:name="_Toc26794"/>
      <w:bookmarkStart w:id="63" w:name="_Toc9732"/>
      <w:r>
        <w:rPr>
          <w:rFonts w:ascii="Times New Roman" w:hAnsi="Times New Roman" w:eastAsia="方正仿宋_GBK" w:cs="Times New Roman"/>
          <w:sz w:val="32"/>
          <w:szCs w:val="32"/>
          <w:lang w:bidi="ar-SA"/>
        </w:rPr>
        <w:t>为加强财政支出管理，提高财政资金使用效益，惠州市财政局（以下简称“市财政局”）委托广东惠正资产评估与房地产土地估价有限公司（以下简称“惠正评估公司”）对</w:t>
      </w:r>
      <w:r>
        <w:rPr>
          <w:rFonts w:ascii="Times New Roman" w:hAnsi="Times New Roman" w:eastAsia="方正仿宋_GBK" w:cs="Times New Roman"/>
          <w:sz w:val="32"/>
          <w:szCs w:val="32"/>
          <w:lang w:eastAsia="zh-CN" w:bidi="ar-SA"/>
        </w:rPr>
        <w:t>惠州市水利局（以下简称“市水利局”）的</w:t>
      </w:r>
      <w:r>
        <w:rPr>
          <w:rFonts w:ascii="Times New Roman" w:hAnsi="Times New Roman" w:eastAsia="方正仿宋_GBK" w:cs="Times New Roman"/>
          <w:sz w:val="32"/>
          <w:szCs w:val="32"/>
          <w:lang w:val="en-US" w:eastAsia="zh-CN" w:bidi="ar-SA"/>
        </w:rPr>
        <w:t>水库除险加固工程资金（2023年一般债券）开展</w:t>
      </w:r>
      <w:r>
        <w:rPr>
          <w:rFonts w:ascii="Times New Roman" w:hAnsi="Times New Roman" w:eastAsia="方正仿宋_GBK" w:cs="Times New Roman"/>
          <w:sz w:val="32"/>
          <w:szCs w:val="32"/>
          <w:lang w:bidi="ar-SA"/>
        </w:rPr>
        <w:t>绩效评价</w:t>
      </w:r>
      <w:r>
        <w:rPr>
          <w:rFonts w:ascii="Times New Roman" w:hAnsi="Times New Roman" w:eastAsia="方正仿宋_GBK" w:cs="Times New Roman"/>
          <w:sz w:val="32"/>
          <w:szCs w:val="32"/>
          <w:lang w:val="en-US" w:eastAsia="zh-CN" w:bidi="ar-SA"/>
        </w:rPr>
        <w:t>工作</w:t>
      </w:r>
      <w:r>
        <w:rPr>
          <w:rFonts w:ascii="Times New Roman" w:hAnsi="Times New Roman" w:eastAsia="方正仿宋_GBK" w:cs="Times New Roman"/>
          <w:sz w:val="32"/>
          <w:szCs w:val="32"/>
          <w:lang w:bidi="ar-SA"/>
        </w:rPr>
        <w:t>。</w:t>
      </w:r>
      <w:r>
        <w:rPr>
          <w:rFonts w:ascii="Times New Roman" w:hAnsi="Times New Roman" w:eastAsia="方正仿宋_GBK" w:cs="Times New Roman"/>
          <w:sz w:val="32"/>
          <w:szCs w:val="32"/>
          <w:lang w:val="en-US" w:eastAsia="zh-CN" w:bidi="ar-SA"/>
        </w:rPr>
        <w:t>评价范围为水库除险加固工程资金（2023年一般债券）31,000.00万元，评价基准日为2023年12月31日。</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640" w:firstLineChars="200"/>
        <w:textAlignment w:val="auto"/>
        <w:rPr>
          <w:rFonts w:ascii="Times New Roman" w:hAnsi="Times New Roman" w:eastAsia="方正仿宋_GBK" w:cs="Times New Roman"/>
          <w:sz w:val="32"/>
          <w:szCs w:val="32"/>
          <w:lang w:bidi="ar-SA"/>
        </w:rPr>
      </w:pPr>
      <w:r>
        <w:rPr>
          <w:rFonts w:ascii="Times New Roman" w:hAnsi="Times New Roman" w:eastAsia="方正仿宋_GBK" w:cs="Times New Roman"/>
          <w:sz w:val="32"/>
          <w:szCs w:val="32"/>
          <w:lang w:bidi="ar-SA"/>
        </w:rPr>
        <w:t>经过资料收集与分析、开展座谈会、现场勘察核实和问卷调查等环节，依据评价指标体系对项目决策、项目管理、项目产出和项目效益等四个方面进行综合评价。</w:t>
      </w:r>
      <w:r>
        <w:rPr>
          <w:rFonts w:ascii="Times New Roman" w:hAnsi="Times New Roman" w:eastAsia="方正仿宋_GBK" w:cs="Times New Roman"/>
          <w:sz w:val="32"/>
          <w:szCs w:val="32"/>
          <w:lang w:eastAsia="zh-CN" w:bidi="ar-SA"/>
        </w:rPr>
        <w:t>该</w:t>
      </w:r>
      <w:r>
        <w:rPr>
          <w:rFonts w:ascii="Times New Roman" w:hAnsi="Times New Roman" w:eastAsia="方正仿宋_GBK" w:cs="Times New Roman"/>
          <w:sz w:val="32"/>
          <w:szCs w:val="32"/>
          <w:lang w:bidi="ar-SA"/>
        </w:rPr>
        <w:t>项目</w:t>
      </w:r>
      <w:r>
        <w:rPr>
          <w:rFonts w:ascii="Times New Roman" w:hAnsi="Times New Roman" w:eastAsia="方正仿宋_GBK" w:cs="Times New Roman"/>
          <w:sz w:val="32"/>
          <w:szCs w:val="32"/>
          <w:lang w:val="en-US" w:eastAsia="zh-CN" w:bidi="ar-SA"/>
        </w:rPr>
        <w:t>综合评价</w:t>
      </w:r>
      <w:r>
        <w:rPr>
          <w:rFonts w:ascii="Times New Roman" w:hAnsi="Times New Roman" w:eastAsia="方正仿宋_GBK" w:cs="Times New Roman"/>
          <w:sz w:val="32"/>
          <w:szCs w:val="32"/>
          <w:lang w:bidi="ar-SA"/>
        </w:rPr>
        <w:t>得</w:t>
      </w:r>
      <w:r>
        <w:rPr>
          <w:rFonts w:ascii="Times New Roman" w:hAnsi="Times New Roman" w:eastAsia="方正仿宋_GBK" w:cs="Times New Roman"/>
          <w:sz w:val="32"/>
          <w:szCs w:val="32"/>
          <w:highlight w:val="none"/>
          <w:lang w:bidi="ar-SA"/>
        </w:rPr>
        <w:t>分</w:t>
      </w:r>
      <w:r>
        <w:rPr>
          <w:rFonts w:ascii="Times New Roman" w:hAnsi="Times New Roman" w:eastAsia="方正仿宋_GBK" w:cs="Times New Roman"/>
          <w:b/>
          <w:bCs/>
          <w:color w:val="000000"/>
          <w:sz w:val="32"/>
          <w:szCs w:val="32"/>
          <w:highlight w:val="none"/>
          <w:lang w:val="en-US" w:eastAsia="zh-CN" w:bidi="ar-SA"/>
        </w:rPr>
        <w:t>85.54</w:t>
      </w:r>
      <w:r>
        <w:rPr>
          <w:rFonts w:ascii="Times New Roman" w:hAnsi="Times New Roman" w:eastAsia="方正仿宋_GBK" w:cs="Times New Roman"/>
          <w:sz w:val="32"/>
          <w:szCs w:val="32"/>
          <w:highlight w:val="none"/>
          <w:lang w:bidi="ar-SA"/>
        </w:rPr>
        <w:t>分，绩效评价等级为</w:t>
      </w:r>
      <w:r>
        <w:rPr>
          <w:rFonts w:ascii="Times New Roman" w:hAnsi="Times New Roman" w:eastAsia="方正仿宋_GBK" w:cs="Times New Roman"/>
          <w:sz w:val="32"/>
          <w:szCs w:val="32"/>
          <w:highlight w:val="none"/>
          <w:lang w:eastAsia="zh-CN" w:bidi="ar-SA"/>
        </w:rPr>
        <w:t>“</w:t>
      </w:r>
      <w:r>
        <w:rPr>
          <w:rFonts w:ascii="Times New Roman" w:hAnsi="Times New Roman" w:eastAsia="方正仿宋_GBK" w:cs="Times New Roman"/>
          <w:b/>
          <w:bCs/>
          <w:sz w:val="32"/>
          <w:szCs w:val="32"/>
          <w:highlight w:val="none"/>
          <w:lang w:val="en-US" w:eastAsia="zh-CN" w:bidi="ar-SA"/>
        </w:rPr>
        <w:t>良”</w:t>
      </w:r>
      <w:r>
        <w:rPr>
          <w:rFonts w:ascii="Times New Roman" w:hAnsi="Times New Roman" w:eastAsia="方正仿宋_GBK" w:cs="Times New Roman"/>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640" w:firstLineChars="200"/>
        <w:textAlignment w:val="auto"/>
        <w:rPr>
          <w:rFonts w:ascii="Times New Roman" w:hAnsi="Times New Roman" w:eastAsia="方正仿宋_GBK" w:cs="Times New Roman"/>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sz w:val="32"/>
          <w:szCs w:val="32"/>
          <w:lang w:val="en-US" w:eastAsia="zh-CN" w:bidi="ar-SA"/>
        </w:rPr>
        <w:t>第一，</w:t>
      </w:r>
      <w:r>
        <w:rPr>
          <w:rFonts w:ascii="Times New Roman" w:hAnsi="Times New Roman" w:eastAsia="方正仿宋_GBK" w:cs="Times New Roman"/>
          <w:sz w:val="32"/>
          <w:szCs w:val="32"/>
          <w:lang w:val="en-US" w:eastAsia="zh-CN" w:bidi="ar-SA"/>
        </w:rPr>
        <w:t>消除病险水库安全隐患，保障下游群众生产生活安全。</w:t>
      </w:r>
      <w:r>
        <w:rPr>
          <w:rFonts w:ascii="Times New Roman" w:hAnsi="Times New Roman" w:eastAsia="方正仿宋_GBK" w:cs="Times New Roman"/>
          <w:b/>
          <w:bCs/>
          <w:sz w:val="32"/>
          <w:szCs w:val="32"/>
          <w:lang w:val="en-US" w:eastAsia="zh-CN" w:bidi="ar-SA"/>
        </w:rPr>
        <w:t>第二，</w:t>
      </w:r>
      <w:r>
        <w:rPr>
          <w:rFonts w:ascii="Times New Roman" w:hAnsi="Times New Roman" w:eastAsia="方正仿宋_GBK" w:cs="Times New Roman"/>
          <w:sz w:val="32"/>
          <w:szCs w:val="32"/>
          <w:lang w:val="en-US" w:eastAsia="zh-CN" w:bidi="ar-SA"/>
        </w:rPr>
        <w:t>增强农业灌溉和农村供水能力，促进粮食、饮水水源安全。</w:t>
      </w:r>
      <w:r>
        <w:rPr>
          <w:rFonts w:ascii="Times New Roman" w:hAnsi="Times New Roman" w:eastAsia="方正仿宋_GBK" w:cs="Times New Roman"/>
          <w:b/>
          <w:bCs/>
          <w:sz w:val="32"/>
          <w:szCs w:val="32"/>
          <w:lang w:val="en-US" w:eastAsia="zh-CN" w:bidi="ar-SA"/>
        </w:rPr>
        <w:t>第三，</w:t>
      </w:r>
      <w:r>
        <w:rPr>
          <w:rFonts w:ascii="Times New Roman" w:hAnsi="Times New Roman" w:eastAsia="方正仿宋_GBK" w:cs="Times New Roman"/>
          <w:sz w:val="32"/>
          <w:szCs w:val="32"/>
          <w:lang w:val="en-US" w:eastAsia="zh-CN" w:bidi="ar-SA"/>
        </w:rPr>
        <w:t>改善库区农村的村容村貌，助力美丽乡村建设。</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firstLine="640" w:firstLineChars="200"/>
        <w:jc w:val="both"/>
        <w:textAlignment w:val="auto"/>
        <w:rPr>
          <w:rFonts w:ascii="Times New Roman" w:hAnsi="Times New Roman" w:eastAsia="方正仿宋_GBK" w:cs="Times New Roman"/>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sz w:val="32"/>
          <w:szCs w:val="32"/>
          <w:lang w:val="en-US" w:eastAsia="zh-CN" w:bidi="ar-SA"/>
        </w:rPr>
        <w:t>第一，管理机制未完善，项目管理水平有待提高。一是</w:t>
      </w:r>
      <w:r>
        <w:rPr>
          <w:rFonts w:ascii="Times New Roman" w:hAnsi="Times New Roman" w:eastAsia="方正仿宋_GBK" w:cs="Times New Roman"/>
          <w:sz w:val="32"/>
          <w:szCs w:val="32"/>
          <w:lang w:val="en-US" w:eastAsia="zh-CN" w:bidi="ar-SA"/>
        </w:rPr>
        <w:t>市水利局及各县（区）水利部门未依据本次一般债券资金的使用范围及惠州市小型水库的现有情况制定有针对性的项目管理及过程监督机制。</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sz w:val="32"/>
          <w:szCs w:val="32"/>
          <w:lang w:val="en-US" w:eastAsia="zh-CN" w:bidi="ar-SA"/>
        </w:rPr>
        <w:t>评价小组未发现市水利局及各县（区）水利部门有制定债务风险应急预案，未能保障本次地方政府一般债券债务风险能得到有效解决。</w:t>
      </w:r>
      <w:r>
        <w:rPr>
          <w:rFonts w:ascii="Times New Roman" w:hAnsi="Times New Roman" w:eastAsia="方正仿宋_GBK" w:cs="Times New Roman"/>
          <w:b/>
          <w:bCs/>
          <w:sz w:val="32"/>
          <w:szCs w:val="32"/>
          <w:lang w:val="en-US" w:eastAsia="zh-CN" w:bidi="ar-SA"/>
        </w:rPr>
        <w:t>第二，预算编制依据不足，资金支付存在滞后。</w:t>
      </w:r>
      <w:r>
        <w:rPr>
          <w:rFonts w:ascii="Times New Roman" w:hAnsi="Times New Roman" w:eastAsia="方正仿宋_GBK" w:cs="Times New Roman"/>
          <w:sz w:val="32"/>
          <w:szCs w:val="32"/>
          <w:lang w:val="en-US" w:eastAsia="zh-CN" w:bidi="ar-SA"/>
        </w:rPr>
        <w:t>在债券资金申报过程中，各县（区）未根据实际工程计划对预算资金进行精细化编制，导致截至2023年12月31日，个别县（区）支出率不足90%，资金支付存在滞后。</w:t>
      </w:r>
      <w:r>
        <w:rPr>
          <w:rFonts w:ascii="Times New Roman" w:hAnsi="Times New Roman" w:eastAsia="方正仿宋_GBK" w:cs="Times New Roman"/>
          <w:b/>
          <w:bCs/>
          <w:sz w:val="32"/>
          <w:szCs w:val="32"/>
          <w:lang w:val="en-US" w:eastAsia="zh-CN" w:bidi="ar-SA"/>
        </w:rPr>
        <w:t>第三，核心指标达成情况未明晰，项目效益缺乏数据支撑。</w:t>
      </w:r>
      <w:r>
        <w:rPr>
          <w:rFonts w:ascii="Times New Roman" w:hAnsi="Times New Roman" w:eastAsia="方正仿宋_GBK" w:cs="Times New Roman"/>
          <w:kern w:val="2"/>
          <w:sz w:val="32"/>
          <w:szCs w:val="32"/>
          <w:lang w:val="en-US" w:eastAsia="zh-CN" w:bidi="ar-SA"/>
        </w:rPr>
        <w:t>防洪保护耕地面积、灌溉能力、供水能力等是反映小型水库除险加固成效的核心指标，市水利局和各县（区）水利部门未对此类核心指标达成情况做出统计，导致本项目效益难以佐证，缺乏详实数据支撑。</w:t>
      </w:r>
      <w:r>
        <w:rPr>
          <w:rFonts w:ascii="Times New Roman" w:hAnsi="Times New Roman" w:eastAsia="方正仿宋_GBK" w:cs="Times New Roman"/>
          <w:b/>
          <w:bCs/>
          <w:sz w:val="32"/>
          <w:szCs w:val="32"/>
          <w:lang w:val="en-US" w:eastAsia="zh-CN" w:bidi="ar-SA"/>
        </w:rPr>
        <w:t>第四，预算绩效管理意识较弱，绩效管理工作有待加强。</w:t>
      </w:r>
      <w:r>
        <w:rPr>
          <w:rFonts w:ascii="Times New Roman" w:hAnsi="Times New Roman" w:eastAsia="方正仿宋_GBK" w:cs="Times New Roman"/>
          <w:sz w:val="32"/>
          <w:szCs w:val="32"/>
          <w:lang w:val="en-US" w:eastAsia="zh-CN" w:bidi="ar-SA"/>
        </w:rPr>
        <w:t>各县（区）在申报本次地方政府一般债务资金及转贷收入时，未充分发挥绩效管理主体责任，</w:t>
      </w:r>
      <w:r>
        <w:rPr>
          <w:rFonts w:ascii="Times New Roman" w:hAnsi="Times New Roman" w:eastAsia="方正仿宋_GBK" w:cs="Times New Roman"/>
          <w:sz w:val="32"/>
          <w:szCs w:val="32"/>
          <w:highlight w:val="none"/>
          <w:lang w:val="en-US" w:eastAsia="zh-CN" w:bidi="ar-SA"/>
        </w:rPr>
        <w:t>未依据本项目预算使用计划设定相关绩效目标，预算资金使用缺乏目标约束。</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640" w:firstLineChars="200"/>
        <w:textAlignment w:val="auto"/>
        <w:rPr>
          <w:rFonts w:ascii="Times New Roman" w:hAnsi="Times New Roman" w:eastAsia="方正仿宋_GBK" w:cs="Times New Roman"/>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sz w:val="32"/>
          <w:szCs w:val="32"/>
          <w:lang w:val="en-US" w:eastAsia="zh-CN" w:bidi="ar-SA"/>
        </w:rPr>
        <w:t>第一，建立健全监督管理机制，提高项目管理水平。一是</w:t>
      </w:r>
      <w:r>
        <w:rPr>
          <w:rFonts w:ascii="Times New Roman" w:hAnsi="Times New Roman" w:eastAsia="方正仿宋_GBK" w:cs="Times New Roman"/>
          <w:sz w:val="32"/>
          <w:szCs w:val="32"/>
          <w:lang w:val="en-US" w:eastAsia="zh-CN" w:bidi="ar-SA"/>
        </w:rPr>
        <w:t>市水利局要建立健全资金管理和项目过程监督管理机制，加强对资金全过程全链条监管；重视项目过程监督管理，建立项目建设过程检查通报机制。</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sz w:val="32"/>
          <w:szCs w:val="32"/>
          <w:lang w:val="en-US" w:eastAsia="zh-CN" w:bidi="ar-SA"/>
        </w:rPr>
        <w:t>市水利局在落实资金支出进度及项目完成进度“双监控”的同时，对未按工程进度及时支付进度款及未按预期完成绩效目标的县（区）进行提醒，以确保小型水库除险加固工作高效、有序进行。</w:t>
      </w:r>
      <w:r>
        <w:rPr>
          <w:rFonts w:ascii="Times New Roman" w:hAnsi="Times New Roman" w:eastAsia="方正仿宋_GBK" w:cs="Times New Roman"/>
          <w:b/>
          <w:bCs/>
          <w:color w:val="000000"/>
          <w:kern w:val="0"/>
          <w:sz w:val="32"/>
          <w:szCs w:val="32"/>
          <w:lang w:val="en-US" w:eastAsia="zh-CN" w:bidi="ar-SA"/>
        </w:rPr>
        <w:t>第二，精细化管理预算，提高预算编制合理性。一是</w:t>
      </w:r>
      <w:r>
        <w:rPr>
          <w:rFonts w:ascii="Times New Roman" w:hAnsi="Times New Roman" w:eastAsia="方正仿宋_GBK" w:cs="Times New Roman"/>
          <w:color w:val="000000"/>
          <w:kern w:val="0"/>
          <w:sz w:val="32"/>
          <w:szCs w:val="32"/>
          <w:lang w:val="en-US" w:eastAsia="zh-CN" w:bidi="ar-SA"/>
        </w:rPr>
        <w:t>各县（区）水利部门要细化小型水库除险加固预算，在债券申报过程完善成本测算依据，细化各项工程预算，科学、合理编制预算。</w:t>
      </w:r>
      <w:r>
        <w:rPr>
          <w:rFonts w:ascii="Times New Roman" w:hAnsi="Times New Roman" w:eastAsia="方正仿宋_GBK" w:cs="Times New Roman"/>
          <w:b/>
          <w:bCs/>
          <w:color w:val="000000"/>
          <w:kern w:val="0"/>
          <w:sz w:val="32"/>
          <w:szCs w:val="32"/>
          <w:lang w:val="en-US" w:eastAsia="zh-CN" w:bidi="ar-SA"/>
        </w:rPr>
        <w:t>二是</w:t>
      </w:r>
      <w:r>
        <w:rPr>
          <w:rFonts w:ascii="Times New Roman" w:hAnsi="Times New Roman" w:eastAsia="方正仿宋_GBK" w:cs="Times New Roman"/>
          <w:color w:val="000000"/>
          <w:kern w:val="0"/>
          <w:sz w:val="32"/>
          <w:szCs w:val="32"/>
          <w:lang w:val="en-US" w:eastAsia="zh-CN" w:bidi="ar-SA"/>
        </w:rPr>
        <w:t>市水利局要结合水库除险加固工程实际及债券资金申报流程编制预算申报指南，依据行业特性及市场情况制定支出定额标准，加强成本管控。</w:t>
      </w:r>
      <w:r>
        <w:rPr>
          <w:rFonts w:ascii="Times New Roman" w:hAnsi="Times New Roman" w:eastAsia="方正仿宋_GBK" w:cs="Times New Roman"/>
          <w:b/>
          <w:bCs/>
          <w:color w:val="000000"/>
          <w:kern w:val="0"/>
          <w:sz w:val="32"/>
          <w:szCs w:val="32"/>
          <w:lang w:val="en-US" w:eastAsia="zh-CN" w:bidi="ar-SA"/>
        </w:rPr>
        <w:t>第三，完善数据统计，重视核心指标完成情况。</w:t>
      </w:r>
      <w:r>
        <w:rPr>
          <w:rFonts w:ascii="Times New Roman" w:hAnsi="Times New Roman" w:eastAsia="方正仿宋_GBK" w:cs="Times New Roman"/>
          <w:color w:val="000000"/>
          <w:kern w:val="0"/>
          <w:sz w:val="32"/>
          <w:szCs w:val="32"/>
          <w:lang w:val="en-US" w:eastAsia="zh-CN" w:bidi="ar-SA"/>
        </w:rPr>
        <w:t>市水利局及各县（区）水利部门要完善数据统计，对惠州市小型水库就保护耕地面积、灌溉能力、供水能力等核心指标数据情况进行全面测算统计，以便佐证本次除险加固工程资金达成效益情况，为以后年度水库除险加固及维护管养提供效益指标依据。</w:t>
      </w:r>
      <w:r>
        <w:rPr>
          <w:rFonts w:ascii="Times New Roman" w:hAnsi="Times New Roman" w:eastAsia="方正仿宋_GBK" w:cs="Times New Roman"/>
          <w:b/>
          <w:bCs/>
          <w:sz w:val="32"/>
          <w:szCs w:val="32"/>
          <w:lang w:val="en-US" w:eastAsia="zh-CN" w:bidi="ar-SA"/>
        </w:rPr>
        <w:t>第四，提高预算绩效管理意识，构建全方位预算绩效管理格局。一是</w:t>
      </w:r>
      <w:r>
        <w:rPr>
          <w:rFonts w:ascii="Times New Roman" w:hAnsi="Times New Roman" w:eastAsia="方正仿宋_GBK" w:cs="Times New Roman"/>
          <w:sz w:val="32"/>
          <w:szCs w:val="32"/>
          <w:lang w:val="en-US" w:eastAsia="zh-CN" w:bidi="ar-SA"/>
        </w:rPr>
        <w:t>参照《转发〈广东省省级财政预算绩效目标编制审核指南〉的通知》（惠财绩函〔2021〕55号）设立绩效目标，并对绩效目标进行细化分解，提炼出关键性绩效指标，以便后续的考核工作的实施。</w:t>
      </w:r>
      <w:r>
        <w:rPr>
          <w:rFonts w:ascii="Times New Roman" w:hAnsi="Times New Roman" w:eastAsia="方正仿宋_GBK" w:cs="Times New Roman"/>
          <w:b/>
          <w:bCs/>
          <w:sz w:val="32"/>
          <w:szCs w:val="32"/>
          <w:lang w:val="en-US" w:eastAsia="zh-CN" w:bidi="ar-SA"/>
        </w:rPr>
        <w:t>二是</w:t>
      </w:r>
      <w:r>
        <w:rPr>
          <w:rFonts w:ascii="Times New Roman" w:hAnsi="Times New Roman" w:eastAsia="方正仿宋_GBK" w:cs="Times New Roman"/>
          <w:sz w:val="32"/>
          <w:szCs w:val="32"/>
          <w:lang w:val="en-US" w:eastAsia="zh-CN" w:bidi="ar-SA"/>
        </w:rPr>
        <w:t>要建立全过程绩效管理机制，各部门协调配合，将绩效目标、预算管理、任务管理、绩效监控、绩效考核及结果应用全过程贯通。</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640" w:firstLineChars="200"/>
        <w:textAlignment w:val="auto"/>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十、</w:t>
      </w:r>
      <w:bookmarkEnd w:id="61"/>
      <w:bookmarkEnd w:id="62"/>
      <w:bookmarkEnd w:id="63"/>
      <w:r>
        <w:rPr>
          <w:rFonts w:ascii="Times New Roman" w:hAnsi="Times New Roman" w:eastAsia="方正黑体_GBK" w:cs="Times New Roman"/>
          <w:bCs/>
          <w:color w:val="auto"/>
          <w:kern w:val="2"/>
          <w:sz w:val="32"/>
          <w:szCs w:val="32"/>
          <w:lang w:val="en-US" w:eastAsia="zh-CN" w:bidi="ar-SA"/>
        </w:rPr>
        <w:t>广汕铁路惠城南站综合交通枢纽配套项目（一期）2023年政府专项债券支出</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bookmarkStart w:id="64" w:name="_Toc23315"/>
      <w:bookmarkStart w:id="65" w:name="_Toc2312"/>
      <w:bookmarkStart w:id="66" w:name="_Toc1527"/>
      <w:r>
        <w:rPr>
          <w:rFonts w:ascii="Times New Roman" w:hAnsi="Times New Roman" w:eastAsia="方正仿宋_GBK" w:cs="Times New Roman"/>
          <w:color w:val="auto"/>
          <w:sz w:val="32"/>
          <w:szCs w:val="32"/>
          <w:lang w:val="en-US" w:eastAsia="zh-CN" w:bidi="ar-SA"/>
        </w:rPr>
        <w:t>为加强财政支出管理，提高财政资金的使用效益，惠州市财政局（以下简称“市财政局”）委托广东中大管理咨询集团股份有限公司（以下简称“中大咨询”），对广汕铁路惠城南站综合交通枢纽配套项目（一期）2023年政府专项债券实施绩效评价。广汕铁路惠城南站综合交通枢纽配套项目（一期）2023年政府专项债券资金拨款收入为14,000万元，专项债券资金支出为14,000万元，支出率为100%。</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仿宋_GBK" w:cs="Times New Roman"/>
          <w:color w:val="auto"/>
          <w:sz w:val="32"/>
          <w:szCs w:val="32"/>
          <w:lang w:val="en-US" w:eastAsia="zh-CN" w:bidi="ar-SA"/>
        </w:rPr>
        <w:t>经过资料收集报送、书面评审、现场评价等流程，经评定，2023年广汕铁路惠城南站综合交通枢纽配套项目（一期）绩效评价得分为</w:t>
      </w:r>
      <w:r>
        <w:rPr>
          <w:rFonts w:ascii="Times New Roman" w:hAnsi="Times New Roman" w:eastAsia="方正仿宋_GBK" w:cs="Times New Roman"/>
          <w:b/>
          <w:bCs/>
          <w:color w:val="auto"/>
          <w:sz w:val="32"/>
          <w:szCs w:val="32"/>
          <w:lang w:val="en-US" w:eastAsia="zh-CN" w:bidi="ar-SA"/>
        </w:rPr>
        <w:t>77.00分</w:t>
      </w:r>
      <w:r>
        <w:rPr>
          <w:rFonts w:ascii="Times New Roman" w:hAnsi="Times New Roman" w:eastAsia="方正仿宋_GBK" w:cs="Times New Roman"/>
          <w:color w:val="auto"/>
          <w:sz w:val="32"/>
          <w:szCs w:val="32"/>
          <w:lang w:val="en-US" w:eastAsia="zh-CN" w:bidi="ar-SA"/>
        </w:rPr>
        <w:t>，评定等级为</w:t>
      </w:r>
      <w:r>
        <w:rPr>
          <w:rFonts w:ascii="Times New Roman" w:hAnsi="Times New Roman" w:eastAsia="方正仿宋_GBK" w:cs="Times New Roman"/>
          <w:b/>
          <w:bCs/>
          <w:color w:val="auto"/>
          <w:sz w:val="32"/>
          <w:szCs w:val="32"/>
          <w:lang w:val="en-US" w:eastAsia="zh-CN" w:bidi="ar-SA"/>
        </w:rPr>
        <w:t>“中”</w:t>
      </w:r>
      <w:r>
        <w:rPr>
          <w:rFonts w:ascii="Times New Roman" w:hAnsi="Times New Roman" w:eastAsia="方正仿宋_GBK" w:cs="Times New Roman"/>
          <w:color w:val="auto"/>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color w:val="auto"/>
          <w:sz w:val="32"/>
          <w:szCs w:val="32"/>
          <w:lang w:val="en-US" w:eastAsia="zh-CN" w:bidi="ar-SA"/>
        </w:rPr>
        <w:t>第一，提升了交通枢纽服务能力，增强出行体验。</w:t>
      </w:r>
      <w:r>
        <w:rPr>
          <w:rFonts w:ascii="Times New Roman" w:hAnsi="Times New Roman" w:eastAsia="方正仿宋_GBK" w:cs="Times New Roman"/>
          <w:color w:val="auto"/>
          <w:sz w:val="32"/>
          <w:szCs w:val="32"/>
          <w:lang w:val="en-US" w:eastAsia="zh-CN" w:bidi="ar-SA"/>
        </w:rPr>
        <w:t>作为惠州南站的配套项目，项目建设内容包括西侧地面社会联系通廊、高架落客平台下方空间和下穿铁路市政道路，这有效地提升了惠州南站综合交通枢纽的服务能力。</w:t>
      </w:r>
      <w:r>
        <w:rPr>
          <w:rFonts w:ascii="Times New Roman" w:hAnsi="Times New Roman" w:eastAsia="方正仿宋_GBK" w:cs="Times New Roman"/>
          <w:b/>
          <w:bCs/>
          <w:color w:val="auto"/>
          <w:sz w:val="32"/>
          <w:szCs w:val="32"/>
          <w:lang w:val="en-US" w:eastAsia="zh-CN" w:bidi="ar-SA"/>
        </w:rPr>
        <w:t>第二，推动了区域一体化发展，带动经济增长。</w:t>
      </w:r>
      <w:r>
        <w:rPr>
          <w:rFonts w:ascii="Times New Roman" w:hAnsi="Times New Roman" w:eastAsia="方正仿宋_GBK" w:cs="Times New Roman"/>
          <w:color w:val="auto"/>
          <w:sz w:val="32"/>
          <w:szCs w:val="32"/>
          <w:lang w:val="en-US" w:eastAsia="zh-CN" w:bidi="ar-SA"/>
        </w:rPr>
        <w:t>本项目加强了惠州南站与周边地区的交通联系，促进了人流、物流、信息流的快速流通，为区域内的经济活动提供了强有力的支撑。</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sz w:val="32"/>
          <w:szCs w:val="32"/>
          <w:lang w:val="en-US" w:eastAsia="zh-CN" w:bidi="ar-SA"/>
        </w:rPr>
        <w:t>第一，资金规范方面，资金筹措比例失衡，利息未上缴财政且调整预付款以加快支出。</w:t>
      </w:r>
      <w:r>
        <w:rPr>
          <w:rFonts w:ascii="Times New Roman" w:hAnsi="Times New Roman" w:eastAsia="方正仿宋_GBK" w:cs="Times New Roman"/>
          <w:color w:val="auto"/>
          <w:sz w:val="32"/>
          <w:szCs w:val="32"/>
          <w:lang w:val="en-US" w:eastAsia="zh-CN" w:bidi="ar-SA"/>
        </w:rPr>
        <w:t>具体体现在：</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根据现场调研，项目现处于结算阶段，初步估算项目总投资46,000万元，专项债支付39,000万元，目前自有资金支付19.526万元。专项债占项目总投资比例为84.78%，比重过高，此外，专项债券发行年度同步安排的自有资金占比仅为0.05%，比重过低；</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2022至2023年本项目专项债券两个账户利息合计1,761,550.79元未作为非税收入上缴财政；</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经2022年6月29日召开的广汕铁路惠城南站综合交通枢纽配套项目（一期）专项债资金使用推进工作会，为加快资金支出进度，预付款比例由15%提升至30%，存在调整预付款以提高支出进度的情况。</w:t>
      </w:r>
      <w:r>
        <w:rPr>
          <w:rFonts w:ascii="Times New Roman" w:hAnsi="Times New Roman" w:eastAsia="方正仿宋_GBK" w:cs="Times New Roman"/>
          <w:b/>
          <w:bCs/>
          <w:color w:val="auto"/>
          <w:sz w:val="32"/>
          <w:szCs w:val="32"/>
          <w:lang w:val="en-US" w:eastAsia="zh-CN" w:bidi="ar-SA"/>
        </w:rPr>
        <w:t>第二，招标成本方面，招标代理服务费偏高，财政资金成本节约管理有待加强。</w:t>
      </w:r>
      <w:r>
        <w:rPr>
          <w:rFonts w:ascii="Times New Roman" w:hAnsi="Times New Roman" w:eastAsia="方正仿宋_GBK" w:cs="Times New Roman"/>
          <w:color w:val="auto"/>
          <w:sz w:val="32"/>
          <w:szCs w:val="32"/>
          <w:lang w:val="en-US" w:eastAsia="zh-CN" w:bidi="ar-SA"/>
        </w:rPr>
        <w:t>福建省广厦工程咨询有限公司受委托承担本项目工程的设计施工总承包（EPC）招标代理工作，服务代理费为37.75万元，金额已下浮26%，实际支付33.98万元。但2016年国家发改委发布《中华人民共和国国家发展和改革委员会令》（第31号）废止了多项规章和规范性文件，其中包括合同所涉的两份计费依据文件。目前，项目招标代理服务费采用市场调价的方式进行定价，部分地区甚至已实行招标代理服务费10万元封顶制度，而本项目实付招标代理服务费33.98万元，费用偏高。</w:t>
      </w:r>
      <w:r>
        <w:rPr>
          <w:rFonts w:ascii="Times New Roman" w:hAnsi="Times New Roman" w:eastAsia="方正仿宋_GBK" w:cs="Times New Roman"/>
          <w:b/>
          <w:bCs/>
          <w:color w:val="auto"/>
          <w:sz w:val="32"/>
          <w:szCs w:val="32"/>
          <w:lang w:val="en-US" w:eastAsia="zh-CN" w:bidi="ar-SA"/>
        </w:rPr>
        <w:t>第三，施工规范方面，部分项目建设手续不完善，施工流程倒置且保函失效未续。</w:t>
      </w:r>
      <w:r>
        <w:rPr>
          <w:rFonts w:ascii="Times New Roman" w:hAnsi="Times New Roman" w:eastAsia="方正仿宋_GBK" w:cs="Times New Roman"/>
          <w:color w:val="auto"/>
          <w:sz w:val="32"/>
          <w:szCs w:val="32"/>
          <w:lang w:val="en-US" w:eastAsia="zh-CN" w:bidi="ar-SA"/>
        </w:rPr>
        <w:t>具体体现在：</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项目建设已完工，由于片区规划、土地规划等客观因素影响，下穿铁路市政道路建设部分至今未完善工程规划许可证和施工许可证办理；</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高架落客平台下方空间地下四层中的两层社会车辆停车层未完善施工报建手续；</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高架落客平台下方空间存在未获开工令而先行施工建设的情况。本项目工程开工令确认开工日期为2022年11月29日，而根据监理日志，高架落客平台下方空间房建已于2022年3月3日开工，项目存在近9个月的无证施工期；</w:t>
      </w:r>
      <w:r>
        <w:rPr>
          <w:rFonts w:ascii="Times New Roman" w:hAnsi="Times New Roman" w:eastAsia="方正仿宋_GBK" w:cs="Times New Roman"/>
          <w:b/>
          <w:bCs/>
          <w:color w:val="auto"/>
          <w:sz w:val="32"/>
          <w:szCs w:val="32"/>
          <w:lang w:val="en-US" w:eastAsia="zh-CN" w:bidi="ar-SA"/>
        </w:rPr>
        <w:t>四是</w:t>
      </w:r>
      <w:r>
        <w:rPr>
          <w:rFonts w:ascii="Times New Roman" w:hAnsi="Times New Roman" w:eastAsia="方正仿宋_GBK" w:cs="Times New Roman"/>
          <w:color w:val="auto"/>
          <w:sz w:val="32"/>
          <w:szCs w:val="32"/>
          <w:lang w:val="en-US" w:eastAsia="zh-CN" w:bidi="ar-SA"/>
        </w:rPr>
        <w:t>存在未中标或未签订合同便开始项目施工和项目监理的项目流程倒置情况。根据监理日志，高架落客平台下方空间房建已于2022年3月3日开工，而本项目施工中标通知时间为2022年6月29日，即存在未中标已进场施工三个月的情况；五是3份履约保函有效期截止时间均为2023年7月，实际上，根据监理月报，项目在2023年9月仍在施工，项目验收报告时间为2024年1月9日，即在该时间段内履约保函处于失效状态，项目却仍在施工。</w:t>
      </w:r>
      <w:r>
        <w:rPr>
          <w:rFonts w:ascii="Times New Roman" w:hAnsi="Times New Roman" w:eastAsia="方正仿宋_GBK" w:cs="Times New Roman"/>
          <w:b/>
          <w:bCs/>
          <w:color w:val="auto"/>
          <w:sz w:val="32"/>
          <w:szCs w:val="32"/>
          <w:lang w:val="en-US" w:eastAsia="zh-CN" w:bidi="ar-SA"/>
        </w:rPr>
        <w:t>第四，收支平衡方面，项目收入预测偏乐观，实际收入难以达到收入预测。</w:t>
      </w:r>
      <w:r>
        <w:rPr>
          <w:rFonts w:ascii="Times New Roman" w:hAnsi="Times New Roman" w:eastAsia="方正仿宋_GBK" w:cs="Times New Roman"/>
          <w:color w:val="auto"/>
          <w:sz w:val="32"/>
          <w:szCs w:val="32"/>
          <w:lang w:val="en-US" w:eastAsia="zh-CN" w:bidi="ar-SA"/>
        </w:rPr>
        <w:t>具体体现在：</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包含停车场、广告及充电桩收入的专项收入难以达到收入预期；</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包含土地出让收益的政府性基金收入测算偏乐观，难以达到收入预期。</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color w:val="auto"/>
          <w:sz w:val="32"/>
          <w:szCs w:val="32"/>
          <w:lang w:val="en-US" w:eastAsia="zh-CN" w:bidi="ar-SA"/>
        </w:rPr>
        <w:t>第一，优化项目资金结构与管理，确保财政资金使用合法合规。</w:t>
      </w:r>
      <w:r>
        <w:rPr>
          <w:rFonts w:ascii="Times New Roman" w:hAnsi="Times New Roman" w:eastAsia="方正仿宋_GBK" w:cs="Times New Roman"/>
          <w:color w:val="auto"/>
          <w:sz w:val="32"/>
          <w:szCs w:val="32"/>
          <w:lang w:val="en-US" w:eastAsia="zh-CN" w:bidi="ar-SA"/>
        </w:rPr>
        <w:t>具体包括：</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对于专项债券账户产生的利息，应严格按照相关政策要求，将利息收入作为非税收入及时上缴国库，确保财政资金管理的规范性和合法性；</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加强对专项债券资金使用的监管，确保资金支出与项目进度和实际需求相匹配，不得通过签订补充协议等方式，变相加快资金支出进度。</w:t>
      </w:r>
      <w:r>
        <w:rPr>
          <w:rFonts w:ascii="Times New Roman" w:hAnsi="Times New Roman" w:eastAsia="方正仿宋_GBK" w:cs="Times New Roman"/>
          <w:b/>
          <w:bCs/>
          <w:color w:val="auto"/>
          <w:sz w:val="32"/>
          <w:szCs w:val="32"/>
          <w:lang w:val="en-US" w:eastAsia="zh-CN" w:bidi="ar-SA"/>
        </w:rPr>
        <w:t>第二，强化财政资金成本节约管理，确保财政资金使用节约高效。</w:t>
      </w:r>
      <w:r>
        <w:rPr>
          <w:rFonts w:ascii="Times New Roman" w:hAnsi="Times New Roman" w:eastAsia="方正仿宋_GBK" w:cs="Times New Roman"/>
          <w:color w:val="auto"/>
          <w:sz w:val="32"/>
          <w:szCs w:val="32"/>
          <w:lang w:val="en-US" w:eastAsia="zh-CN" w:bidi="ar-SA"/>
        </w:rPr>
        <w:t>具体包括：首先，依据市场调价机制和地区收费标准，科学合理评估招标代理服务费；其次，建议由中标方支付招标代理服务费，从而节约财政资金；再次，可实行阶梯式下浮制度，标价越高则下浮比例越高，以进一步强化财政资金的成本节约管理。</w:t>
      </w:r>
      <w:r>
        <w:rPr>
          <w:rFonts w:ascii="Times New Roman" w:hAnsi="Times New Roman" w:eastAsia="方正仿宋_GBK" w:cs="Times New Roman"/>
          <w:b/>
          <w:bCs/>
          <w:color w:val="auto"/>
          <w:sz w:val="32"/>
          <w:szCs w:val="32"/>
          <w:lang w:val="en-US" w:eastAsia="zh-CN" w:bidi="ar-SA"/>
        </w:rPr>
        <w:t>第三，严格落实项目开工前期工作，确保项目施工建设合法合规。</w:t>
      </w:r>
      <w:r>
        <w:rPr>
          <w:rFonts w:ascii="Times New Roman" w:hAnsi="Times New Roman" w:eastAsia="方正仿宋_GBK" w:cs="Times New Roman"/>
          <w:color w:val="auto"/>
          <w:sz w:val="32"/>
          <w:szCs w:val="32"/>
          <w:lang w:val="en-US" w:eastAsia="zh-CN" w:bidi="ar-SA"/>
        </w:rPr>
        <w:t>为确保项目建设的合法性和合规性，必须在完成勘察、设计、用地、环评、开工许可等前期工作，并达到开工建设条件的情况下，项目方可启动施工，且项目施工严格遵循相关规定。</w:t>
      </w:r>
      <w:r>
        <w:rPr>
          <w:rFonts w:ascii="Times New Roman" w:hAnsi="Times New Roman" w:eastAsia="方正仿宋_GBK" w:cs="Times New Roman"/>
          <w:b/>
          <w:bCs/>
          <w:color w:val="auto"/>
          <w:sz w:val="32"/>
          <w:szCs w:val="32"/>
          <w:lang w:val="en-US" w:eastAsia="zh-CN" w:bidi="ar-SA"/>
        </w:rPr>
        <w:t>第四，优化项目收益测算与风险防控，确保项目资金平衡与可持续发展。</w:t>
      </w:r>
      <w:r>
        <w:rPr>
          <w:rFonts w:ascii="Times New Roman" w:hAnsi="Times New Roman" w:eastAsia="方正仿宋_GBK" w:cs="Times New Roman"/>
          <w:color w:val="auto"/>
          <w:sz w:val="32"/>
          <w:szCs w:val="32"/>
          <w:lang w:val="en-US" w:eastAsia="zh-CN" w:bidi="ar-SA"/>
        </w:rPr>
        <w:t>具体包括：提升项目预期收入和项目成本测算的科学性；同时，制定具体、科学且可执行的风险防控预案。</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十一、</w:t>
      </w:r>
      <w:bookmarkEnd w:id="64"/>
      <w:bookmarkEnd w:id="65"/>
      <w:bookmarkEnd w:id="66"/>
      <w:r>
        <w:rPr>
          <w:rFonts w:ascii="Times New Roman" w:hAnsi="Times New Roman" w:eastAsia="方正黑体_GBK" w:cs="Times New Roman"/>
          <w:bCs/>
          <w:color w:val="auto"/>
          <w:kern w:val="2"/>
          <w:sz w:val="32"/>
          <w:szCs w:val="32"/>
          <w:lang w:val="en-US" w:eastAsia="zh-CN" w:bidi="ar-SA"/>
        </w:rPr>
        <w:t>惠州市2023年市级涉农统筹整合资金项目</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bookmarkStart w:id="67" w:name="_Toc10399"/>
      <w:bookmarkStart w:id="68" w:name="_Toc5043"/>
      <w:bookmarkStart w:id="69" w:name="_Toc11423"/>
      <w:r>
        <w:rPr>
          <w:rFonts w:ascii="Times New Roman" w:hAnsi="Times New Roman" w:eastAsia="方正仿宋_GBK" w:cs="Times New Roman"/>
          <w:color w:val="auto"/>
          <w:sz w:val="32"/>
          <w:szCs w:val="32"/>
          <w:lang w:val="en-US" w:eastAsia="zh-CN" w:bidi="ar-SA"/>
        </w:rPr>
        <w:t>为加强财政支出管理，提高财政资金的使用效益，惠州市财政局（以下简称“市财政局”）委托广东中大管理咨询集团股份有限公司（以下简称“中大咨询”）开展惠州市2023年市级涉农统筹整合资金项目绩效评价。2023年市级涉农统筹整合资金预算为9,500万元，实际到位9,500万元。除惠阳区经过区涉农办相关程序进行统筹使用外，其他县（区）未进行统筹使用。经调整后，2023年市级涉农统筹整合资金用于市级安排的13个子项的资金共计9,270万元，实际支出6,799.86万元，资金支出率为73.35%。</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仿宋_GBK" w:cs="Times New Roman"/>
          <w:color w:val="auto"/>
          <w:sz w:val="32"/>
          <w:szCs w:val="32"/>
          <w:lang w:val="en-US" w:eastAsia="zh-CN" w:bidi="ar-SA"/>
        </w:rPr>
        <w:t>经过资料收集报送、书面评审、现场评价等流程，经评定，惠州市2023年市级涉农统筹整合资金项目绩效评价得分为</w:t>
      </w:r>
      <w:r>
        <w:rPr>
          <w:rFonts w:ascii="Times New Roman" w:hAnsi="Times New Roman" w:eastAsia="方正仿宋_GBK" w:cs="Times New Roman"/>
          <w:b/>
          <w:bCs/>
          <w:color w:val="auto"/>
          <w:sz w:val="32"/>
          <w:szCs w:val="32"/>
          <w:lang w:val="en-US" w:eastAsia="zh-CN" w:bidi="ar-SA"/>
        </w:rPr>
        <w:t>82.51分</w:t>
      </w:r>
      <w:r>
        <w:rPr>
          <w:rFonts w:ascii="Times New Roman" w:hAnsi="Times New Roman" w:eastAsia="方正仿宋_GBK" w:cs="Times New Roman"/>
          <w:color w:val="auto"/>
          <w:sz w:val="32"/>
          <w:szCs w:val="32"/>
          <w:lang w:val="en-US" w:eastAsia="zh-CN" w:bidi="ar-SA"/>
        </w:rPr>
        <w:t>，评价等级为</w:t>
      </w:r>
      <w:r>
        <w:rPr>
          <w:rFonts w:ascii="Times New Roman" w:hAnsi="Times New Roman" w:eastAsia="方正仿宋_GBK" w:cs="Times New Roman"/>
          <w:b/>
          <w:bCs/>
          <w:color w:val="auto"/>
          <w:sz w:val="32"/>
          <w:szCs w:val="32"/>
          <w:lang w:val="en-US" w:eastAsia="zh-CN" w:bidi="ar-SA"/>
        </w:rPr>
        <w:t>“良”</w:t>
      </w:r>
      <w:r>
        <w:rPr>
          <w:rFonts w:ascii="Times New Roman" w:hAnsi="Times New Roman" w:eastAsia="方正仿宋_GBK" w:cs="Times New Roman"/>
          <w:color w:val="auto"/>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color w:val="auto"/>
          <w:sz w:val="32"/>
          <w:szCs w:val="32"/>
          <w:lang w:val="en-US" w:eastAsia="zh-CN" w:bidi="ar-SA"/>
        </w:rPr>
        <w:t>惠州市涉农统筹整合资金在农田质量提升方面、农业企业发展方面、动物疫病防控方面完成效果不错，具体为：</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及时完成高标准农田建设任务；</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区域内农业龙头企业实现增长；三是及时对各县（区）出现的病死猪进行无害化处理。</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sz w:val="32"/>
          <w:szCs w:val="32"/>
          <w:lang w:val="en-US" w:eastAsia="zh-CN" w:bidi="ar-SA"/>
        </w:rPr>
        <w:t>第一，涉农资金统筹整合在任务清单设置和绩效目标设置以及资金支出内容方面未参照相关管理办法实行。</w:t>
      </w:r>
      <w:r>
        <w:rPr>
          <w:rFonts w:ascii="Times New Roman" w:hAnsi="Times New Roman" w:eastAsia="方正仿宋_GBK" w:cs="Times New Roman"/>
          <w:color w:val="auto"/>
          <w:sz w:val="32"/>
          <w:szCs w:val="32"/>
          <w:lang w:val="en-US" w:eastAsia="zh-CN" w:bidi="ar-SA"/>
        </w:rPr>
        <w:t>具体体现在：</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涉农资金统筹整合的任务清单未按照相关规定分类设置约束性任务和指导性任务；</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市农业农村局未编制2023年市级涉农统筹整合资金的整体绩效目标，仅汇总编制了每个项目的绩效目标；</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扶持村集体经济试点工作项目的资金部分用于以获取固定收益为目的的财务投资，村集体的投资没有改变所投项目的股权结构，实质为“明股实债”，不符合《关于坚持和加强农村基层党组织领导扶持壮大集体经济的意见》（粤改委发〔2019〕9号）中关于鼓励村集体通过入股或参股的形式发展集体经济的文件精神，也不符合《惠州市涉农资金管理工作指引》（惠涉农办〔2019〕9号）中涉农资金不得用于购买理财产品、发放借款、贷款贴息及平衡预算等的规定。</w:t>
      </w:r>
      <w:r>
        <w:rPr>
          <w:rFonts w:ascii="Times New Roman" w:hAnsi="Times New Roman" w:eastAsia="方正仿宋_GBK" w:cs="Times New Roman"/>
          <w:b/>
          <w:bCs/>
          <w:color w:val="auto"/>
          <w:sz w:val="32"/>
          <w:szCs w:val="32"/>
          <w:lang w:val="en-US" w:eastAsia="zh-CN" w:bidi="ar-SA"/>
        </w:rPr>
        <w:t>第二，部分县（区）的补助标准和市级规定的标准不一致。</w:t>
      </w:r>
      <w:r>
        <w:rPr>
          <w:rFonts w:ascii="Times New Roman" w:hAnsi="Times New Roman" w:eastAsia="方正仿宋_GBK" w:cs="Times New Roman"/>
          <w:color w:val="auto"/>
          <w:sz w:val="32"/>
          <w:szCs w:val="32"/>
          <w:lang w:val="en-US" w:eastAsia="zh-CN" w:bidi="ar-SA"/>
        </w:rPr>
        <w:t>部分县（区）为完成市级撂荒地复耕复种奖补资金的支出进度要求，提高撂荒地复耕复种的市级补助标准。</w:t>
      </w:r>
      <w:r>
        <w:rPr>
          <w:rFonts w:ascii="Times New Roman" w:hAnsi="Times New Roman" w:eastAsia="方正仿宋_GBK" w:cs="Times New Roman"/>
          <w:b/>
          <w:bCs/>
          <w:color w:val="auto"/>
          <w:sz w:val="32"/>
          <w:szCs w:val="32"/>
          <w:lang w:val="en-US" w:eastAsia="zh-CN" w:bidi="ar-SA"/>
        </w:rPr>
        <w:t>第三，示范性项目的实施过程与实施效果难以体现示范性作用。</w:t>
      </w:r>
      <w:r>
        <w:rPr>
          <w:rFonts w:ascii="Times New Roman" w:hAnsi="Times New Roman" w:eastAsia="方正仿宋_GBK" w:cs="Times New Roman"/>
          <w:color w:val="auto"/>
          <w:sz w:val="32"/>
          <w:szCs w:val="32"/>
          <w:lang w:val="en-US" w:eastAsia="zh-CN" w:bidi="ar-SA"/>
        </w:rPr>
        <w:t>具体体现在：</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建设春耕生产示范点”建设项目的实施效果未能起到示范作用。40个春耕示范点中，仅有8个种植水稻面积超过80%，有7个示范点未种植水稻，无法起到引导农户种植水稻的作用。同时，本项目在实施的过程中，没有结合地块特点分类做好优质粮种、高产粮种的选种，也未见各地块耕种后的产量示范对比，没有从效果端出发，体现本项目实施后的示范性作用；</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市级粮食绿色高产示范片”建设项目的建设目标与效果难以体现。本项目没有明确的市级政策文件规定或市级实施方案，无法明确项目的实施目的与阶段性实施目标。项目实施单位在项目实施后，仅做了测产，却未对测产结果进行对比分析，以形成可供推广示范的经验或选育高产粮食作物品种。</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color w:val="auto"/>
          <w:sz w:val="32"/>
          <w:szCs w:val="32"/>
          <w:lang w:val="en-US" w:eastAsia="zh-CN" w:bidi="ar-SA"/>
        </w:rPr>
        <w:t>第一，研究涉农资金的任务清单设置分类，明确下达相关绩效目标，并规范资金使用内容。一是</w:t>
      </w:r>
      <w:r>
        <w:rPr>
          <w:rFonts w:ascii="Times New Roman" w:hAnsi="Times New Roman" w:eastAsia="方正仿宋_GBK" w:cs="Times New Roman"/>
          <w:color w:val="auto"/>
          <w:sz w:val="32"/>
          <w:szCs w:val="32"/>
          <w:lang w:val="en-US" w:eastAsia="zh-CN" w:bidi="ar-SA"/>
        </w:rPr>
        <w:t>适时结合省级、市级涉农资金管理要求，对涉农资金的任务清单分类管理进行适当修订；</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重新梳理市级涉农统筹整合资金的任务清单要求，明确约束性任务的考核要求；</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每年结合市县上报的区域性绩效目标，分类设置并下达涉农资金的</w:t>
      </w:r>
      <w:r>
        <w:rPr>
          <w:rFonts w:hint="eastAsia" w:eastAsia="方正仿宋_GBK" w:cs="Times New Roman"/>
          <w:color w:val="auto"/>
          <w:sz w:val="32"/>
          <w:szCs w:val="32"/>
          <w:lang w:val="en-US" w:eastAsia="zh-CN" w:bidi="ar-SA"/>
        </w:rPr>
        <w:t>具体</w:t>
      </w:r>
      <w:r>
        <w:rPr>
          <w:rFonts w:ascii="Times New Roman" w:hAnsi="Times New Roman" w:eastAsia="方正仿宋_GBK" w:cs="Times New Roman"/>
          <w:color w:val="auto"/>
          <w:sz w:val="32"/>
          <w:szCs w:val="32"/>
          <w:lang w:val="en-US" w:eastAsia="zh-CN" w:bidi="ar-SA"/>
        </w:rPr>
        <w:t>绩效目标；</w:t>
      </w:r>
      <w:r>
        <w:rPr>
          <w:rFonts w:ascii="Times New Roman" w:hAnsi="Times New Roman" w:eastAsia="方正仿宋_GBK" w:cs="Times New Roman"/>
          <w:b/>
          <w:bCs/>
          <w:color w:val="auto"/>
          <w:sz w:val="32"/>
          <w:szCs w:val="32"/>
          <w:lang w:val="en-US" w:eastAsia="zh-CN" w:bidi="ar-SA"/>
        </w:rPr>
        <w:t>四是</w:t>
      </w:r>
      <w:r>
        <w:rPr>
          <w:rFonts w:ascii="Times New Roman" w:hAnsi="Times New Roman" w:eastAsia="方正仿宋_GBK" w:cs="Times New Roman"/>
          <w:color w:val="auto"/>
          <w:sz w:val="32"/>
          <w:szCs w:val="32"/>
          <w:lang w:val="en-US" w:eastAsia="zh-CN" w:bidi="ar-SA"/>
        </w:rPr>
        <w:t>结合涉农资金使用负面清单的要求，重新梳理相关涉农资金项目政策的资金使用内容。同时，围绕项目设置的核心目的，储备符合要求的优质项目，推动各县（区）、镇街建立各子项目的项目库，确保涉农资金使用的合规与高效。</w:t>
      </w:r>
      <w:r>
        <w:rPr>
          <w:rFonts w:ascii="Times New Roman" w:hAnsi="Times New Roman" w:eastAsia="方正仿宋_GBK" w:cs="Times New Roman"/>
          <w:b/>
          <w:bCs/>
          <w:color w:val="auto"/>
          <w:sz w:val="32"/>
          <w:szCs w:val="32"/>
          <w:lang w:val="en-US" w:eastAsia="zh-CN" w:bidi="ar-SA"/>
        </w:rPr>
        <w:t>第二，研究制定撂荒地复耕复种的补助机制，提高资金使用效率。一是</w:t>
      </w:r>
      <w:r>
        <w:rPr>
          <w:rFonts w:ascii="Times New Roman" w:hAnsi="Times New Roman" w:eastAsia="方正仿宋_GBK" w:cs="Times New Roman"/>
          <w:color w:val="auto"/>
          <w:sz w:val="32"/>
          <w:szCs w:val="32"/>
          <w:lang w:val="en-US" w:eastAsia="zh-CN" w:bidi="ar-SA"/>
        </w:rPr>
        <w:t>借鉴省农业农村厅对于撂荒地的分类标准，分类设置具备耕作条件的田块和基本具备耕作条件的田块的补助标准，以明确引导撂荒复耕主体对不同质量的田块进行复耕复种；</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可要求各县（区）适当配套县（区）级补助资金；</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为避免复耕主体在短期内将复耕复种地块再次撂荒，可要求县（区）探索对同一地块延续3年内复耕复种的分期补贴机制。</w:t>
      </w:r>
      <w:r>
        <w:rPr>
          <w:rFonts w:ascii="Times New Roman" w:hAnsi="Times New Roman" w:eastAsia="方正仿宋_GBK" w:cs="Times New Roman"/>
          <w:b/>
          <w:bCs/>
          <w:color w:val="auto"/>
          <w:sz w:val="32"/>
          <w:szCs w:val="32"/>
          <w:lang w:val="en-US" w:eastAsia="zh-CN" w:bidi="ar-SA"/>
        </w:rPr>
        <w:t>第三，明确示范性项目的示范目的与考核要求，保障示范性项目的实施效果。一是</w:t>
      </w:r>
      <w:r>
        <w:rPr>
          <w:rFonts w:ascii="Times New Roman" w:hAnsi="Times New Roman" w:eastAsia="方正仿宋_GBK" w:cs="Times New Roman"/>
          <w:color w:val="auto"/>
          <w:sz w:val="32"/>
          <w:szCs w:val="32"/>
          <w:lang w:val="en-US" w:eastAsia="zh-CN" w:bidi="ar-SA"/>
        </w:rPr>
        <w:t>结合惠州市各县（区）粮食作物耕作的实际情况，分区域分类明确示范性项目的示范目的以及希求达到的示范目标，并对“建设春耕生产示范点”建设项目、“市级粮食绿色高产示范片”建设项目进行重新整合，选取具备代表性的地块进行示范性建设；</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在示范性项目结束后，进一步对示范性项目进行归纳总结，从田间管理、绿色耕种、优良选种等方面，结合示范点的效果，在区域内进行示范推广。</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0"/>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十二、</w:t>
      </w:r>
      <w:bookmarkEnd w:id="67"/>
      <w:bookmarkEnd w:id="68"/>
      <w:bookmarkEnd w:id="69"/>
      <w:r>
        <w:rPr>
          <w:rFonts w:ascii="Times New Roman" w:hAnsi="Times New Roman" w:eastAsia="方正黑体_GBK" w:cs="Times New Roman"/>
          <w:bCs/>
          <w:color w:val="auto"/>
          <w:kern w:val="2"/>
          <w:sz w:val="32"/>
          <w:szCs w:val="32"/>
          <w:lang w:val="en-US" w:eastAsia="zh-CN" w:bidi="ar-SA"/>
        </w:rPr>
        <w:t>惠州市2023年度环卫一体化经费</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1"/>
        <w:rPr>
          <w:rFonts w:ascii="Times New Roman" w:hAnsi="Times New Roman" w:eastAsia="方正仿宋_GBK" w:cs="Times New Roman"/>
          <w:color w:val="auto"/>
          <w:sz w:val="32"/>
          <w:szCs w:val="32"/>
          <w:lang w:val="en-US" w:eastAsia="zh-CN" w:bidi="ar-SA"/>
        </w:rPr>
      </w:pPr>
      <w:bookmarkStart w:id="70" w:name="_Toc6975"/>
      <w:bookmarkStart w:id="71" w:name="_Toc517"/>
      <w:bookmarkStart w:id="72" w:name="_Toc30546"/>
      <w:r>
        <w:rPr>
          <w:rFonts w:ascii="Times New Roman" w:hAnsi="Times New Roman" w:eastAsia="方正仿宋_GBK" w:cs="Times New Roman"/>
          <w:color w:val="auto"/>
          <w:sz w:val="32"/>
          <w:szCs w:val="32"/>
          <w:lang w:val="en-US" w:eastAsia="zh-CN" w:bidi="ar-SA"/>
        </w:rPr>
        <w:t>为加强财政支出管理，提高财政资金的使用效益，惠州市财政局（以下简称“市财政局”）委托广东中大管理咨询集团股份有限公司（以下简称“中大咨询”）开展惠州市2023年度环卫一体化经费绩效评价。2023年度环卫一体化经费项目资金预算为7,070.46万元，实际到位7,070.46万元，实际支出7,070.46万元，支出率为100%。</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1"/>
        <w:rPr>
          <w:rFonts w:ascii="Times New Roman" w:hAnsi="Times New Roman" w:eastAsia="方正仿宋_GBK" w:cs="Times New Roman"/>
          <w:color w:val="auto"/>
          <w:sz w:val="32"/>
          <w:szCs w:val="32"/>
          <w:lang w:val="en-US" w:eastAsia="zh-CN" w:bidi="ar-SA"/>
        </w:rPr>
      </w:pPr>
      <w:r>
        <w:rPr>
          <w:rFonts w:ascii="Times New Roman" w:hAnsi="Times New Roman" w:eastAsia="方正仿宋_GBK" w:cs="Times New Roman"/>
          <w:color w:val="auto"/>
          <w:sz w:val="32"/>
          <w:szCs w:val="32"/>
          <w:lang w:val="en-US" w:eastAsia="zh-CN" w:bidi="ar-SA"/>
        </w:rPr>
        <w:t>经过资料收集报送、书面评审、现场评价等流程，经评定，惠州市2023年度环卫一体化经费绩效评价得分为</w:t>
      </w:r>
      <w:r>
        <w:rPr>
          <w:rFonts w:ascii="Times New Roman" w:hAnsi="Times New Roman" w:eastAsia="方正仿宋_GBK" w:cs="Times New Roman"/>
          <w:b/>
          <w:bCs/>
          <w:color w:val="auto"/>
          <w:sz w:val="32"/>
          <w:szCs w:val="32"/>
          <w:lang w:val="en-US" w:eastAsia="zh-CN" w:bidi="ar-SA"/>
        </w:rPr>
        <w:t>76.80分</w:t>
      </w:r>
      <w:r>
        <w:rPr>
          <w:rFonts w:ascii="Times New Roman" w:hAnsi="Times New Roman" w:eastAsia="方正仿宋_GBK" w:cs="Times New Roman"/>
          <w:color w:val="auto"/>
          <w:sz w:val="32"/>
          <w:szCs w:val="32"/>
          <w:lang w:val="en-US" w:eastAsia="zh-CN" w:bidi="ar-SA"/>
        </w:rPr>
        <w:t>，评价等级为</w:t>
      </w:r>
      <w:r>
        <w:rPr>
          <w:rFonts w:ascii="Times New Roman" w:hAnsi="Times New Roman" w:eastAsia="方正仿宋_GBK" w:cs="Times New Roman"/>
          <w:b/>
          <w:bCs/>
          <w:color w:val="auto"/>
          <w:sz w:val="32"/>
          <w:szCs w:val="32"/>
          <w:lang w:val="en-US" w:eastAsia="zh-CN" w:bidi="ar-SA"/>
        </w:rPr>
        <w:t>“中”</w:t>
      </w:r>
      <w:r>
        <w:rPr>
          <w:rFonts w:ascii="Times New Roman" w:hAnsi="Times New Roman" w:eastAsia="方正仿宋_GBK" w:cs="Times New Roman"/>
          <w:color w:val="auto"/>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1"/>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color w:val="auto"/>
          <w:sz w:val="32"/>
          <w:szCs w:val="32"/>
          <w:lang w:val="en-US" w:eastAsia="zh-CN" w:bidi="ar-SA"/>
        </w:rPr>
        <w:t>2023年环卫一体化经费项目不仅保障了城北片区卫生保洁，而且有效支持各类环境卫生重大活动。具体为：</w:t>
      </w:r>
      <w:r>
        <w:rPr>
          <w:rFonts w:ascii="Times New Roman" w:hAnsi="Times New Roman" w:eastAsia="方正仿宋_GBK" w:cs="Times New Roman"/>
          <w:b/>
          <w:bCs/>
          <w:color w:val="auto"/>
          <w:sz w:val="32"/>
          <w:szCs w:val="32"/>
          <w:lang w:val="en-US" w:eastAsia="zh-CN" w:bidi="ar-SA"/>
        </w:rPr>
        <w:t>一是</w:t>
      </w:r>
      <w:r>
        <w:rPr>
          <w:rFonts w:ascii="Times New Roman" w:hAnsi="Times New Roman" w:eastAsia="方正仿宋_GBK" w:cs="Times New Roman"/>
          <w:color w:val="auto"/>
          <w:sz w:val="32"/>
          <w:szCs w:val="32"/>
          <w:lang w:val="en-US" w:eastAsia="zh-CN" w:bidi="ar-SA"/>
        </w:rPr>
        <w:t>2023年环卫一体化经费项目的实施保障了惠州市惠城中心区城北片区（江北和小金）日常卫生保洁，该项目承担了该片区道路冲洗降尘污染防治、生活垃圾日产日清等工作，并对餐厨、园林绿化等垃圾进行分类并资源化再利用。项目完成质量基本达到《惠州市环境卫生质量标准》和项目合同的要求，区域环境卫生质量水平有明显提升。</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项目为2023年的全国卫生城市、文明城市复检和其他重大活动提供有力的环卫保障，为市民提供优质、干净、整洁的生活工作环境，促进惠州市全面、协调、可持续发展，为构建和谐惠州提供有力保障，取得了良好的社会环境效益。</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1"/>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sz w:val="32"/>
          <w:szCs w:val="32"/>
          <w:lang w:val="en-US" w:eastAsia="zh-CN" w:bidi="ar-SA"/>
        </w:rPr>
        <w:t>第一，</w:t>
      </w:r>
      <w:r>
        <w:rPr>
          <w:rFonts w:ascii="Times New Roman" w:hAnsi="Times New Roman" w:eastAsia="方正仿宋_GBK" w:cs="Times New Roman"/>
          <w:color w:val="auto"/>
          <w:sz w:val="32"/>
          <w:szCs w:val="32"/>
          <w:lang w:val="en-US" w:eastAsia="zh-CN" w:bidi="ar-SA"/>
        </w:rPr>
        <w:t>垃圾分类减量要求未在合同中明确，具体执行与项目方案存在偏差；</w:t>
      </w:r>
      <w:r>
        <w:rPr>
          <w:rFonts w:ascii="Times New Roman" w:hAnsi="Times New Roman" w:eastAsia="方正仿宋_GBK" w:cs="Times New Roman"/>
          <w:b/>
          <w:bCs/>
          <w:color w:val="auto"/>
          <w:sz w:val="32"/>
          <w:szCs w:val="32"/>
          <w:lang w:val="en-US" w:eastAsia="zh-CN" w:bidi="ar-SA"/>
        </w:rPr>
        <w:t>第二，</w:t>
      </w:r>
      <w:r>
        <w:rPr>
          <w:rFonts w:ascii="Times New Roman" w:hAnsi="Times New Roman" w:eastAsia="方正仿宋_GBK" w:cs="Times New Roman"/>
          <w:color w:val="auto"/>
          <w:sz w:val="32"/>
          <w:szCs w:val="32"/>
          <w:lang w:val="en-US" w:eastAsia="zh-CN" w:bidi="ar-SA"/>
        </w:rPr>
        <w:t>合同签订时间延误且合同期过长，补充合同未上传备案公开，合同规范性欠缺；</w:t>
      </w:r>
      <w:r>
        <w:rPr>
          <w:rFonts w:ascii="Times New Roman" w:hAnsi="Times New Roman" w:eastAsia="方正仿宋_GBK" w:cs="Times New Roman"/>
          <w:b/>
          <w:bCs/>
          <w:color w:val="auto"/>
          <w:sz w:val="32"/>
          <w:szCs w:val="32"/>
          <w:lang w:val="en-US" w:eastAsia="zh-CN" w:bidi="ar-SA"/>
        </w:rPr>
        <w:t>第三，</w:t>
      </w:r>
      <w:r>
        <w:rPr>
          <w:rFonts w:ascii="Times New Roman" w:hAnsi="Times New Roman" w:eastAsia="方正仿宋_GBK" w:cs="Times New Roman"/>
          <w:color w:val="auto"/>
          <w:sz w:val="32"/>
          <w:szCs w:val="32"/>
          <w:lang w:val="en-US" w:eastAsia="zh-CN" w:bidi="ar-SA"/>
        </w:rPr>
        <w:t>未针对试点工作制定考评办法，考评未能覆盖试点内容，试点管理针对性不足；</w:t>
      </w:r>
      <w:r>
        <w:rPr>
          <w:rFonts w:ascii="Times New Roman" w:hAnsi="Times New Roman" w:eastAsia="方正仿宋_GBK" w:cs="Times New Roman"/>
          <w:b/>
          <w:bCs/>
          <w:color w:val="auto"/>
          <w:sz w:val="32"/>
          <w:szCs w:val="32"/>
          <w:lang w:val="en-US" w:eastAsia="zh-CN" w:bidi="ar-SA"/>
        </w:rPr>
        <w:t>第四，</w:t>
      </w:r>
      <w:r>
        <w:rPr>
          <w:rFonts w:ascii="Times New Roman" w:hAnsi="Times New Roman" w:eastAsia="方正仿宋_GBK" w:cs="Times New Roman"/>
          <w:color w:val="auto"/>
          <w:sz w:val="32"/>
          <w:szCs w:val="32"/>
          <w:lang w:val="en-US" w:eastAsia="zh-CN" w:bidi="ar-SA"/>
        </w:rPr>
        <w:t>经验总结意识不足，未形成阶段性或总体试点工作经验总结，未能突显试点效益。</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1"/>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color w:val="auto"/>
          <w:sz w:val="32"/>
          <w:szCs w:val="32"/>
          <w:lang w:val="en-US" w:eastAsia="zh-CN" w:bidi="ar-SA"/>
        </w:rPr>
        <w:t>第一，严格遵循项目实施方案，保证试点工作有效开展。</w:t>
      </w:r>
      <w:r>
        <w:rPr>
          <w:rFonts w:ascii="Times New Roman" w:hAnsi="Times New Roman" w:eastAsia="方正仿宋_GBK" w:cs="Times New Roman"/>
          <w:color w:val="auto"/>
          <w:sz w:val="32"/>
          <w:szCs w:val="32"/>
          <w:lang w:val="en-US" w:eastAsia="zh-CN" w:bidi="ar-SA"/>
        </w:rPr>
        <w:t>项目实施方案经市政府常务会议通过并予以立项，在项目招标、合同签订、具体实施、监督管理等项目实施全流程需严格遵循，保证按照既定计划和要求招募专业化服务公司，并对其实行监管，保证试点工作的实施与项目实施方案保持一致，确保试点工作不偏离项目实施方案，从而保证试点工作有效开展。项目开展后，对于需要依据实际情况予以变更的工作内容，严格按规定履行报批手续，及时对项目实施方案和项目合同进行修订或补充。</w:t>
      </w:r>
      <w:r>
        <w:rPr>
          <w:rFonts w:ascii="Times New Roman" w:hAnsi="Times New Roman" w:eastAsia="方正仿宋_GBK" w:cs="Times New Roman"/>
          <w:b/>
          <w:bCs/>
          <w:color w:val="auto"/>
          <w:sz w:val="32"/>
          <w:szCs w:val="32"/>
          <w:lang w:val="en-US" w:eastAsia="zh-CN" w:bidi="ar-SA"/>
        </w:rPr>
        <w:t>第二，依据政府采购相关规定，强化规范项目合同管理。</w:t>
      </w:r>
      <w:r>
        <w:rPr>
          <w:rFonts w:ascii="Times New Roman" w:hAnsi="Times New Roman" w:eastAsia="方正仿宋_GBK" w:cs="Times New Roman"/>
          <w:color w:val="auto"/>
          <w:sz w:val="32"/>
          <w:szCs w:val="32"/>
          <w:lang w:val="en-US" w:eastAsia="zh-CN" w:bidi="ar-SA"/>
        </w:rPr>
        <w:t>根据《中华人民共和国招标投标法》《中华人民共和国政府采购法》《中华人民共和国合同法》等相关法律法规，加强对合同签订及执行的监管，确保合同签订时间符合政府采购相关规定。合理设置合同期限，遵循政府采购政策，提高项目管理的灵活性。对于补充合同，应及时上传备案并公开，接受社会监督。</w:t>
      </w:r>
      <w:r>
        <w:rPr>
          <w:rFonts w:ascii="Times New Roman" w:hAnsi="Times New Roman" w:eastAsia="方正仿宋_GBK" w:cs="Times New Roman"/>
          <w:b/>
          <w:bCs/>
          <w:color w:val="auto"/>
          <w:sz w:val="32"/>
          <w:szCs w:val="32"/>
          <w:lang w:val="en-US" w:eastAsia="zh-CN" w:bidi="ar-SA"/>
        </w:rPr>
        <w:t>第三，制定试点工作考评方法，强化试点工作监督约束。</w:t>
      </w:r>
      <w:r>
        <w:rPr>
          <w:rFonts w:ascii="Times New Roman" w:hAnsi="Times New Roman" w:eastAsia="方正仿宋_GBK" w:cs="Times New Roman"/>
          <w:color w:val="auto"/>
          <w:sz w:val="32"/>
          <w:szCs w:val="32"/>
          <w:lang w:val="en-US" w:eastAsia="zh-CN" w:bidi="ar-SA"/>
        </w:rPr>
        <w:t>针对环卫一体化试点项目的特点，制定专门的考评办法，将垃圾分类减量等关键环节纳入考评范围，确保考评内容覆盖试点工作全貌，提高市环卫中心对服务方的监管和约束力度。此外，建立考评办法动态优化机制，随着试点工作的逐步铺开，根据项目实际开展情况定期对考评办法进行评估和调整，以适应试点项目发展的需要。提升考评办法的针对性和科学性，保证试点工作高质量完成，同时为下一轮环卫市场化工作积累经验。</w:t>
      </w:r>
      <w:r>
        <w:rPr>
          <w:rFonts w:ascii="Times New Roman" w:hAnsi="Times New Roman" w:eastAsia="方正仿宋_GBK" w:cs="Times New Roman"/>
          <w:b/>
          <w:bCs/>
          <w:color w:val="auto"/>
          <w:sz w:val="32"/>
          <w:szCs w:val="32"/>
          <w:lang w:val="en-US" w:eastAsia="zh-CN" w:bidi="ar-SA"/>
        </w:rPr>
        <w:t>第四，转变项目管理思维模式，建立工作经验总结机制。</w:t>
      </w:r>
      <w:r>
        <w:rPr>
          <w:rFonts w:ascii="Times New Roman" w:hAnsi="Times New Roman" w:eastAsia="方正仿宋_GBK" w:cs="Times New Roman"/>
          <w:color w:val="auto"/>
          <w:sz w:val="32"/>
          <w:szCs w:val="32"/>
          <w:lang w:val="en-US" w:eastAsia="zh-CN" w:bidi="ar-SA"/>
        </w:rPr>
        <w:t>区别于一般的政府采购服务项目，在督促服务方完成委托的工作的基础上，试点项目重中之重的工作为形成并总结试点经验，为下一轮试点或工作的全面铺开积累可复制、可推广的经验。为此，市环卫中心需转变项目管理的思维模式，区分普通项目与试点项目，建立定期的经验总结机制，例如，与专业化服务公司会晤交流、市环卫中心进行内部总结等方式，对试点工作进行季度或年度总结，及时发现问题，对试点工作进行阶段性纠偏和优化。在试点工作结束后，从整体的角度，对试点工作进行分析和总结，为环卫一体化工作的市场化、产业化、专业化积累可复制、可推广的经验。</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40" w:firstLineChars="200"/>
        <w:jc w:val="both"/>
        <w:textAlignment w:val="auto"/>
        <w:outlineLvl w:val="1"/>
        <w:rPr>
          <w:rFonts w:ascii="Times New Roman" w:hAnsi="Times New Roman" w:eastAsia="方正黑体_GBK" w:cs="Times New Roman"/>
          <w:bCs/>
          <w:color w:val="auto"/>
          <w:kern w:val="2"/>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十三、</w:t>
      </w:r>
      <w:bookmarkEnd w:id="70"/>
      <w:bookmarkEnd w:id="71"/>
      <w:bookmarkEnd w:id="72"/>
      <w:r>
        <w:rPr>
          <w:rFonts w:ascii="Times New Roman" w:hAnsi="Times New Roman" w:eastAsia="方正黑体_GBK" w:cs="Times New Roman"/>
          <w:bCs/>
          <w:color w:val="auto"/>
          <w:kern w:val="2"/>
          <w:sz w:val="32"/>
          <w:szCs w:val="32"/>
          <w:lang w:val="en-US" w:eastAsia="zh-CN" w:bidi="ar-SA"/>
        </w:rPr>
        <w:t>惠州市2023年度妇幼健康补助经费支出政策</w:t>
      </w:r>
    </w:p>
    <w:p>
      <w:pPr>
        <w:keepNext w:val="0"/>
        <w:keepLines w:val="0"/>
        <w:pageBreakBefore w:val="0"/>
        <w:widowControl w:val="0"/>
        <w:kinsoku/>
        <w:wordWrap/>
        <w:overflowPunct/>
        <w:topLinePunct w:val="0"/>
        <w:bidi w:val="0"/>
        <w:spacing w:before="0" w:beforeLines="0" w:after="0" w:afterLines="0" w:line="600" w:lineRule="exact"/>
        <w:ind w:firstLine="640" w:firstLineChars="200"/>
        <w:jc w:val="both"/>
        <w:textAlignment w:val="auto"/>
        <w:rPr>
          <w:rFonts w:ascii="Times New Roman" w:hAnsi="Times New Roman" w:eastAsia="方正仿宋_GBK" w:cs="Times New Roman"/>
          <w:color w:val="auto"/>
          <w:sz w:val="32"/>
          <w:szCs w:val="32"/>
          <w:lang w:val="en-US" w:eastAsia="zh-CN" w:bidi="ar-SA"/>
        </w:rPr>
      </w:pPr>
      <w:r>
        <w:rPr>
          <w:rFonts w:ascii="Times New Roman" w:hAnsi="Times New Roman" w:eastAsia="方正仿宋_GBK" w:cs="Times New Roman"/>
          <w:color w:val="auto"/>
          <w:sz w:val="32"/>
          <w:szCs w:val="32"/>
          <w:lang w:val="en-US" w:eastAsia="zh-CN" w:bidi="ar-SA"/>
        </w:rPr>
        <w:t>为加强财政支出管理，提高财政资金的使用效益，惠州市财政局（以下简称“市财政局”）委托广东中大管理咨询集团股份有限公司（以下简称“中大咨询”）开展惠州市 2023 年度妇幼健康补助经费支出政策绩效评价。2023年度惠州市妇幼健康补助经费资金预算为1,988.12万元，实际支出1,045.60万元，支出率为52.29%。</w:t>
      </w:r>
    </w:p>
    <w:p>
      <w:pPr>
        <w:keepNext w:val="0"/>
        <w:keepLines w:val="0"/>
        <w:pageBreakBefore w:val="0"/>
        <w:widowControl w:val="0"/>
        <w:kinsoku/>
        <w:wordWrap/>
        <w:overflowPunct/>
        <w:topLinePunct w:val="0"/>
        <w:bidi w:val="0"/>
        <w:spacing w:before="0" w:beforeLines="0" w:after="0" w:afterLines="0" w:line="600" w:lineRule="exact"/>
        <w:ind w:firstLine="640" w:firstLineChars="200"/>
        <w:jc w:val="both"/>
        <w:textAlignment w:val="auto"/>
        <w:rPr>
          <w:rFonts w:ascii="Times New Roman" w:hAnsi="Times New Roman" w:eastAsia="方正仿宋_GBK" w:cs="Times New Roman"/>
          <w:color w:val="auto"/>
          <w:sz w:val="32"/>
          <w:szCs w:val="32"/>
          <w:lang w:val="en-US" w:eastAsia="zh-CN" w:bidi="ar-SA"/>
        </w:rPr>
      </w:pPr>
      <w:r>
        <w:rPr>
          <w:rFonts w:ascii="Times New Roman" w:hAnsi="Times New Roman" w:eastAsia="方正仿宋_GBK" w:cs="Times New Roman"/>
          <w:color w:val="auto"/>
          <w:sz w:val="32"/>
          <w:szCs w:val="32"/>
          <w:lang w:val="en-US" w:eastAsia="zh-CN" w:bidi="ar-SA"/>
        </w:rPr>
        <w:t>经过资料收集报送、书面评审、现场评价等流程，经评定，惠州市2023年度惠州市妇幼健康补助经费绩效评价得分为</w:t>
      </w:r>
      <w:r>
        <w:rPr>
          <w:rFonts w:ascii="Times New Roman" w:hAnsi="Times New Roman" w:eastAsia="方正仿宋_GBK" w:cs="Times New Roman"/>
          <w:b/>
          <w:bCs/>
          <w:color w:val="auto"/>
          <w:sz w:val="32"/>
          <w:szCs w:val="32"/>
          <w:lang w:val="en-US" w:eastAsia="zh-CN" w:bidi="ar-SA"/>
        </w:rPr>
        <w:t>81.90分</w:t>
      </w:r>
      <w:r>
        <w:rPr>
          <w:rFonts w:ascii="Times New Roman" w:hAnsi="Times New Roman" w:eastAsia="方正仿宋_GBK" w:cs="Times New Roman"/>
          <w:color w:val="auto"/>
          <w:sz w:val="32"/>
          <w:szCs w:val="32"/>
          <w:lang w:val="en-US" w:eastAsia="zh-CN" w:bidi="ar-SA"/>
        </w:rPr>
        <w:t>，评价等级为</w:t>
      </w:r>
      <w:r>
        <w:rPr>
          <w:rFonts w:ascii="Times New Roman" w:hAnsi="Times New Roman" w:eastAsia="方正仿宋_GBK" w:cs="Times New Roman"/>
          <w:b/>
          <w:bCs/>
          <w:color w:val="auto"/>
          <w:sz w:val="32"/>
          <w:szCs w:val="32"/>
          <w:lang w:val="en-US" w:eastAsia="zh-CN" w:bidi="ar-SA"/>
        </w:rPr>
        <w:t>“良”</w:t>
      </w:r>
      <w:r>
        <w:rPr>
          <w:rFonts w:ascii="Times New Roman" w:hAnsi="Times New Roman" w:eastAsia="方正仿宋_GBK" w:cs="Times New Roman"/>
          <w:color w:val="auto"/>
          <w:sz w:val="32"/>
          <w:szCs w:val="32"/>
          <w:lang w:val="en-US" w:eastAsia="zh-CN" w:bidi="ar-SA"/>
        </w:rPr>
        <w:t>。</w:t>
      </w:r>
    </w:p>
    <w:p>
      <w:pPr>
        <w:keepNext w:val="0"/>
        <w:keepLines w:val="0"/>
        <w:pageBreakBefore w:val="0"/>
        <w:widowControl w:val="0"/>
        <w:kinsoku/>
        <w:wordWrap/>
        <w:overflowPunct/>
        <w:topLinePunct w:val="0"/>
        <w:bidi w:val="0"/>
        <w:spacing w:before="0" w:beforeLines="0" w:after="0" w:afterLines="0" w:line="600" w:lineRule="exact"/>
        <w:ind w:firstLine="640" w:firstLineChars="200"/>
        <w:jc w:val="both"/>
        <w:textAlignment w:val="auto"/>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主要绩效：</w:t>
      </w:r>
      <w:r>
        <w:rPr>
          <w:rFonts w:ascii="Times New Roman" w:hAnsi="Times New Roman" w:eastAsia="方正仿宋_GBK" w:cs="Times New Roman"/>
          <w:b/>
          <w:bCs/>
          <w:color w:val="auto"/>
          <w:sz w:val="32"/>
          <w:szCs w:val="32"/>
          <w:lang w:val="en-US" w:eastAsia="zh-CN" w:bidi="ar-SA"/>
        </w:rPr>
        <w:t>第一，通过出生缺陷综合防控项目的实施减轻社会经济负担，投入与回报效益显著。</w:t>
      </w:r>
      <w:r>
        <w:rPr>
          <w:rFonts w:ascii="Times New Roman" w:hAnsi="Times New Roman" w:eastAsia="方正仿宋_GBK" w:cs="Times New Roman"/>
          <w:color w:val="auto"/>
          <w:sz w:val="32"/>
          <w:szCs w:val="32"/>
          <w:lang w:val="en-US" w:eastAsia="zh-CN" w:bidi="ar-SA"/>
        </w:rPr>
        <w:t>仅在干预妊娠量占比较大、社会负担较重的地中海贫血和唐氏综合征缺陷两个病种中，2023年所减免的经济损失达40,020万元。2023年省级下达资金1,523万元，市级下达资金为489.5772万元，区（县）配套市级相同资金，出生缺陷综合防控项目需方补助经费共计2,502.1522万元，费效比为1∶15.99。</w:t>
      </w:r>
      <w:r>
        <w:rPr>
          <w:rFonts w:ascii="Times New Roman" w:hAnsi="Times New Roman" w:eastAsia="方正仿宋_GBK" w:cs="Times New Roman"/>
          <w:b/>
          <w:bCs/>
          <w:color w:val="auto"/>
          <w:sz w:val="32"/>
          <w:szCs w:val="32"/>
          <w:lang w:val="en-US" w:eastAsia="zh-CN" w:bidi="ar-SA"/>
        </w:rPr>
        <w:t>第二，出生缺陷综合防控相关检测工作完成情况较好，有效提高出生人口素质。</w:t>
      </w:r>
      <w:r>
        <w:rPr>
          <w:rFonts w:ascii="Times New Roman" w:hAnsi="Times New Roman" w:eastAsia="方正仿宋_GBK" w:cs="Times New Roman"/>
          <w:color w:val="auto"/>
          <w:sz w:val="32"/>
          <w:szCs w:val="32"/>
          <w:lang w:val="en-US" w:eastAsia="zh-CN" w:bidi="ar-SA"/>
        </w:rPr>
        <w:t>总体上看，活产规模总量呈下降趋势，死亡数量也相对收缩，0-6天死亡列数有小幅波动，围产儿死亡率较上年度有所下降，总体控制情况较好。同时，惠州市2023年全区域新生儿无重型β地贫病例。</w:t>
      </w:r>
    </w:p>
    <w:p>
      <w:pPr>
        <w:keepNext w:val="0"/>
        <w:keepLines w:val="0"/>
        <w:pageBreakBefore w:val="0"/>
        <w:widowControl w:val="0"/>
        <w:kinsoku/>
        <w:wordWrap/>
        <w:overflowPunct/>
        <w:topLinePunct w:val="0"/>
        <w:bidi w:val="0"/>
        <w:spacing w:before="0" w:beforeLines="0" w:after="0" w:afterLines="0" w:line="600" w:lineRule="exact"/>
        <w:ind w:firstLine="640" w:firstLineChars="200"/>
        <w:jc w:val="both"/>
        <w:textAlignment w:val="auto"/>
        <w:rPr>
          <w:rFonts w:ascii="Times New Roman" w:hAnsi="Times New Roman" w:eastAsia="方正仿宋_GBK" w:cs="Times New Roman"/>
          <w:color w:val="auto"/>
          <w:sz w:val="32"/>
          <w:szCs w:val="32"/>
          <w:lang w:val="en-US" w:eastAsia="zh-CN" w:bidi="ar-SA"/>
        </w:rPr>
      </w:pPr>
      <w:r>
        <w:rPr>
          <w:rFonts w:ascii="Times New Roman" w:hAnsi="Times New Roman" w:eastAsia="方正黑体_GBK" w:cs="Times New Roman"/>
          <w:bCs/>
          <w:color w:val="auto"/>
          <w:kern w:val="2"/>
          <w:sz w:val="32"/>
          <w:szCs w:val="32"/>
          <w:lang w:val="en-US" w:eastAsia="zh-CN" w:bidi="ar-SA"/>
        </w:rPr>
        <w:t>存在问题：</w:t>
      </w:r>
      <w:r>
        <w:rPr>
          <w:rFonts w:ascii="Times New Roman" w:hAnsi="Times New Roman" w:eastAsia="方正仿宋_GBK" w:cs="Times New Roman"/>
          <w:b/>
          <w:bCs/>
          <w:color w:val="auto"/>
          <w:sz w:val="32"/>
          <w:szCs w:val="32"/>
          <w:lang w:val="en-US" w:eastAsia="zh-CN" w:bidi="ar-SA"/>
        </w:rPr>
        <w:t>第一，产前筛查与诊断管理机制、婚检机构实验室管理制度不完善，质控力度有待加强。一是</w:t>
      </w:r>
      <w:r>
        <w:rPr>
          <w:rFonts w:ascii="Times New Roman" w:hAnsi="Times New Roman" w:eastAsia="方正仿宋_GBK" w:cs="Times New Roman"/>
          <w:color w:val="auto"/>
          <w:sz w:val="32"/>
          <w:szCs w:val="32"/>
          <w:lang w:val="en-US" w:eastAsia="zh-CN" w:bidi="ar-SA"/>
        </w:rPr>
        <w:t>个别机构临床门诊、超声影像和遗传实验室之间沟通不足，缺乏有效的多学科会诊体系和制度，协作能力有待提高。</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对外送检测标本的管理缺失。</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个别机构对异常结果随访不足，缺少随访关键信息，未随访到妊娠结束等。四是部分医院实验室缺少相关规章制度，无质控、总结及失控分析，婚检机构实验室管理制度不完善。</w:t>
      </w:r>
      <w:r>
        <w:rPr>
          <w:rFonts w:ascii="Times New Roman" w:hAnsi="Times New Roman" w:eastAsia="方正仿宋_GBK" w:cs="Times New Roman"/>
          <w:b/>
          <w:bCs/>
          <w:color w:val="auto"/>
          <w:sz w:val="32"/>
          <w:szCs w:val="32"/>
          <w:lang w:val="en-US" w:eastAsia="zh-CN" w:bidi="ar-SA"/>
        </w:rPr>
        <w:t>第二，两癌筛查及婚前医学检查未达预期，服务质量、及时性与可持续性长效机制待完善。一是</w:t>
      </w:r>
      <w:r>
        <w:rPr>
          <w:rFonts w:ascii="Times New Roman" w:hAnsi="Times New Roman" w:eastAsia="方正仿宋_GBK" w:cs="Times New Roman"/>
          <w:color w:val="auto"/>
          <w:sz w:val="32"/>
          <w:szCs w:val="32"/>
          <w:lang w:val="en-US" w:eastAsia="zh-CN" w:bidi="ar-SA"/>
        </w:rPr>
        <w:t>产前筛查与产前诊断管理机制不健全。</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婚检机构实验室管理制度不完善。</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大部分县（区）未完全执行省卫健委要求的“出生缺陷综合防控”需方补助应每月30日前对上月补助进行据实结算的程序，存在按季结算的情况，难以全貌呈现项目实施完成情况，进而影响资金支出进度。</w:t>
      </w:r>
      <w:r>
        <w:rPr>
          <w:rFonts w:ascii="Times New Roman" w:hAnsi="Times New Roman" w:eastAsia="方正仿宋_GBK" w:cs="Times New Roman"/>
          <w:b/>
          <w:bCs/>
          <w:color w:val="auto"/>
          <w:sz w:val="32"/>
          <w:szCs w:val="32"/>
          <w:lang w:val="en-US" w:eastAsia="zh-CN" w:bidi="ar-SA"/>
        </w:rPr>
        <w:t>四是</w:t>
      </w:r>
      <w:r>
        <w:rPr>
          <w:rFonts w:ascii="Times New Roman" w:hAnsi="Times New Roman" w:eastAsia="方正仿宋_GBK" w:cs="Times New Roman"/>
          <w:color w:val="auto"/>
          <w:sz w:val="32"/>
          <w:szCs w:val="32"/>
          <w:lang w:val="en-US" w:eastAsia="zh-CN" w:bidi="ar-SA"/>
        </w:rPr>
        <w:t>出生缺陷防控项目相关数据信息质控力度不足，项目相关信息录入省平台不够及时。</w:t>
      </w:r>
      <w:r>
        <w:rPr>
          <w:rFonts w:ascii="Times New Roman" w:hAnsi="Times New Roman" w:eastAsia="方正仿宋_GBK" w:cs="Times New Roman"/>
          <w:b/>
          <w:bCs/>
          <w:color w:val="auto"/>
          <w:sz w:val="32"/>
          <w:szCs w:val="32"/>
          <w:lang w:val="en-US" w:eastAsia="zh-CN" w:bidi="ar-SA"/>
        </w:rPr>
        <w:t>五是</w:t>
      </w:r>
      <w:r>
        <w:rPr>
          <w:rFonts w:ascii="Times New Roman" w:hAnsi="Times New Roman" w:eastAsia="方正仿宋_GBK" w:cs="Times New Roman"/>
          <w:color w:val="auto"/>
          <w:sz w:val="32"/>
          <w:szCs w:val="32"/>
          <w:lang w:val="en-US" w:eastAsia="zh-CN" w:bidi="ar-SA"/>
        </w:rPr>
        <w:t>个别医疗机构对出生缺陷防控工作重视程度不够，对上年督导和省级产前筛查与产前诊断技术质控发现的问题整改不到位。</w:t>
      </w:r>
      <w:r>
        <w:rPr>
          <w:rFonts w:ascii="Times New Roman" w:hAnsi="Times New Roman" w:eastAsia="方正仿宋_GBK" w:cs="Times New Roman"/>
          <w:b/>
          <w:bCs/>
          <w:color w:val="auto"/>
          <w:sz w:val="32"/>
          <w:szCs w:val="32"/>
          <w:lang w:val="en-US" w:eastAsia="zh-CN" w:bidi="ar-SA"/>
        </w:rPr>
        <w:t>第三，资金管理与预算、成本控制存在不足，县（区）级财政及供方均带来成本资金压力。一是</w:t>
      </w:r>
      <w:r>
        <w:rPr>
          <w:rFonts w:ascii="Times New Roman" w:hAnsi="Times New Roman" w:eastAsia="方正仿宋_GBK" w:cs="Times New Roman"/>
          <w:color w:val="auto"/>
          <w:sz w:val="32"/>
          <w:szCs w:val="32"/>
          <w:lang w:val="en-US" w:eastAsia="zh-CN" w:bidi="ar-SA"/>
        </w:rPr>
        <w:t>项目经济性、成本控制力度需进一步加强。其一，部分县（区）存在预算执行进度与事项完成进度不匹配，下达资金的支出率低，但是服务完成进度较好的情况。其二，部分县（区）实际工作中完成的服务人群超过目标人群预测数，需方补助资金超出项目预算下达资金。其三，纸质母婴手册印制量偏大，存在一定量的积压，在省E手册使用普及程度已高于90%且对纸质母婴手册功能在一定程度上起到替代作用的情况下，需逐步减少纸质手册印制数量，减少不必要财政支出。</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需方补助经费支出滞后，财务数据与服务数据不一致。部分定点服务机构的经费结算采取先行垫付，再向主管部门及地方财政据实结算的方式。因经费结算周期长，项目实施机构资金垫付压力大，影响基层服务单位的工作积极性。</w:t>
      </w:r>
    </w:p>
    <w:p>
      <w:pPr>
        <w:keepNext w:val="0"/>
        <w:keepLines w:val="0"/>
        <w:pageBreakBefore w:val="0"/>
        <w:widowControl w:val="0"/>
        <w:kinsoku/>
        <w:wordWrap/>
        <w:overflowPunct/>
        <w:topLinePunct w:val="0"/>
        <w:bidi w:val="0"/>
        <w:spacing w:before="0" w:beforeLines="0" w:after="0" w:afterLines="0" w:line="600" w:lineRule="exact"/>
        <w:ind w:firstLine="640" w:firstLineChars="200"/>
        <w:jc w:val="both"/>
        <w:textAlignment w:val="auto"/>
        <w:rPr>
          <w:rFonts w:ascii="Times New Roman" w:hAnsi="Times New Roman" w:eastAsia="方正仿宋_GBK" w:cs="Times New Roman"/>
          <w:color w:val="auto"/>
          <w:kern w:val="2"/>
          <w:sz w:val="21"/>
          <w:szCs w:val="24"/>
          <w:lang w:val="en-US" w:eastAsia="zh-CN" w:bidi="ar-SA"/>
        </w:rPr>
      </w:pPr>
      <w:r>
        <w:rPr>
          <w:rFonts w:ascii="Times New Roman" w:hAnsi="Times New Roman" w:eastAsia="方正黑体_GBK" w:cs="Times New Roman"/>
          <w:bCs/>
          <w:color w:val="auto"/>
          <w:kern w:val="2"/>
          <w:sz w:val="32"/>
          <w:szCs w:val="32"/>
          <w:lang w:val="en-US" w:eastAsia="zh-CN" w:bidi="ar-SA"/>
        </w:rPr>
        <w:t>改进建议：</w:t>
      </w:r>
      <w:r>
        <w:rPr>
          <w:rFonts w:ascii="Times New Roman" w:hAnsi="Times New Roman" w:eastAsia="方正仿宋_GBK" w:cs="Times New Roman"/>
          <w:b/>
          <w:bCs/>
          <w:color w:val="auto"/>
          <w:sz w:val="32"/>
          <w:szCs w:val="32"/>
          <w:lang w:val="en-US" w:eastAsia="zh-CN" w:bidi="ar-SA"/>
        </w:rPr>
        <w:t>第一，加强内部质量控制，持续改进工作质量。一是</w:t>
      </w:r>
      <w:r>
        <w:rPr>
          <w:rFonts w:ascii="Times New Roman" w:hAnsi="Times New Roman" w:eastAsia="方正仿宋_GBK" w:cs="Times New Roman"/>
          <w:color w:val="auto"/>
          <w:sz w:val="32"/>
          <w:szCs w:val="32"/>
          <w:lang w:val="en-US" w:eastAsia="zh-CN" w:bidi="ar-SA"/>
        </w:rPr>
        <w:t>完善质控制度，每月及时对台账、异常个案、已结案个案、系统数据以及筛查技术等进行质控，定期开展全院季度质控会议，仔细核对基本及重要录入信息，杜绝关键信息遗漏。</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加强两癌工作的随访管理，提高群众复查的积极性和依从性。</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加强信息校对，及时、准确更新统计数据，做到医院内容信息系统数据与省妇幼平台信息数据保持一致。</w:t>
      </w:r>
      <w:r>
        <w:rPr>
          <w:rFonts w:ascii="Times New Roman" w:hAnsi="Times New Roman" w:eastAsia="方正仿宋_GBK" w:cs="Times New Roman"/>
          <w:b/>
          <w:bCs/>
          <w:color w:val="auto"/>
          <w:sz w:val="32"/>
          <w:szCs w:val="32"/>
          <w:lang w:val="en-US" w:eastAsia="zh-CN" w:bidi="ar-SA"/>
        </w:rPr>
        <w:t>第二，加大对两癌及婚前医学检查的宣传及筛查检测力度，保障适龄妇女健康与出生缺陷有效防治。一是</w:t>
      </w:r>
      <w:r>
        <w:rPr>
          <w:rFonts w:ascii="Times New Roman" w:hAnsi="Times New Roman" w:eastAsia="方正仿宋_GBK" w:cs="Times New Roman"/>
          <w:color w:val="auto"/>
          <w:sz w:val="32"/>
          <w:szCs w:val="32"/>
          <w:lang w:val="en-US" w:eastAsia="zh-CN" w:bidi="ar-SA"/>
        </w:rPr>
        <w:t>制作科普知识易拉宝、宣传折页、宣传视频、举行沙龙活动等方式，并进行筛查现场知识问卷和公众号两癌知识科普，加强适龄妇女对两癌筛查的认知，提高群众参与筛查的积极性。</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逐步解决产前筛查方面的专业技术人员缺乏及技术壁垒问题，增加有资质条件的定点产前筛查机构，实现孕妇在家门口就可以接受免费产前筛查服务的可及性。</w:t>
      </w:r>
      <w:r>
        <w:rPr>
          <w:rFonts w:ascii="Times New Roman" w:hAnsi="Times New Roman" w:eastAsia="方正仿宋_GBK" w:cs="Times New Roman"/>
          <w:b/>
          <w:bCs/>
          <w:color w:val="auto"/>
          <w:sz w:val="32"/>
          <w:szCs w:val="32"/>
          <w:lang w:val="en-US" w:eastAsia="zh-CN" w:bidi="ar-SA"/>
        </w:rPr>
        <w:t>第三，探索经费结算的优化方式，加大支出管理的督导力度，提高政策的执行效率与效果。一是</w:t>
      </w:r>
      <w:r>
        <w:rPr>
          <w:rFonts w:ascii="Times New Roman" w:hAnsi="Times New Roman" w:eastAsia="方正仿宋_GBK" w:cs="Times New Roman"/>
          <w:color w:val="auto"/>
          <w:sz w:val="32"/>
          <w:szCs w:val="32"/>
          <w:lang w:val="en-US" w:eastAsia="zh-CN" w:bidi="ar-SA"/>
        </w:rPr>
        <w:t>优化需方补助经费的结算模式，提高市内流动人口享受服务的可及性。</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形成需方补助结算周期的统一规定，缩短补助经费拨付至基层执行机构的时长。</w:t>
      </w:r>
      <w:r>
        <w:rPr>
          <w:rFonts w:ascii="Times New Roman" w:hAnsi="Times New Roman" w:eastAsia="方正仿宋_GBK" w:cs="Times New Roman"/>
          <w:b/>
          <w:bCs/>
          <w:color w:val="auto"/>
          <w:sz w:val="32"/>
          <w:szCs w:val="32"/>
          <w:lang w:val="en-US" w:eastAsia="zh-CN" w:bidi="ar-SA"/>
        </w:rPr>
        <w:t>三是</w:t>
      </w:r>
      <w:r>
        <w:rPr>
          <w:rFonts w:ascii="Times New Roman" w:hAnsi="Times New Roman" w:eastAsia="方正仿宋_GBK" w:cs="Times New Roman"/>
          <w:color w:val="auto"/>
          <w:sz w:val="32"/>
          <w:szCs w:val="32"/>
          <w:lang w:val="en-US" w:eastAsia="zh-CN" w:bidi="ar-SA"/>
        </w:rPr>
        <w:t>加大对地方配套资金到位情况的检查力度，联合县（区）财政部门对资金配套落实不到位、不及时的地区予以通报批评。</w:t>
      </w:r>
      <w:r>
        <w:rPr>
          <w:rFonts w:ascii="Times New Roman" w:hAnsi="Times New Roman" w:eastAsia="方正仿宋_GBK" w:cs="Times New Roman"/>
          <w:b/>
          <w:bCs/>
          <w:color w:val="auto"/>
          <w:sz w:val="32"/>
          <w:szCs w:val="32"/>
          <w:lang w:val="en-US" w:eastAsia="zh-CN" w:bidi="ar-SA"/>
        </w:rPr>
        <w:t>四是</w:t>
      </w:r>
      <w:r>
        <w:rPr>
          <w:rFonts w:ascii="Times New Roman" w:hAnsi="Times New Roman" w:eastAsia="方正仿宋_GBK" w:cs="Times New Roman"/>
          <w:color w:val="auto"/>
          <w:sz w:val="32"/>
          <w:szCs w:val="32"/>
          <w:lang w:val="en-US" w:eastAsia="zh-CN" w:bidi="ar-SA"/>
        </w:rPr>
        <w:t>加强对补助资金支出进度的把控和督导，持续做到每年清结算资金一次，同时督促各地区业务主管部门向当地财政部门申请拨付上年度的项目结转资金，以保障项目的顺利执行。</w:t>
      </w:r>
      <w:r>
        <w:rPr>
          <w:rFonts w:ascii="Times New Roman" w:hAnsi="Times New Roman" w:eastAsia="方正仿宋_GBK" w:cs="Times New Roman"/>
          <w:b/>
          <w:bCs/>
          <w:color w:val="auto"/>
          <w:sz w:val="32"/>
          <w:szCs w:val="32"/>
          <w:lang w:val="en-US" w:eastAsia="zh-CN" w:bidi="ar-SA"/>
        </w:rPr>
        <w:t>五是</w:t>
      </w:r>
      <w:r>
        <w:rPr>
          <w:rFonts w:ascii="Times New Roman" w:hAnsi="Times New Roman" w:eastAsia="方正仿宋_GBK" w:cs="Times New Roman"/>
          <w:color w:val="auto"/>
          <w:sz w:val="32"/>
          <w:szCs w:val="32"/>
          <w:lang w:val="en-US" w:eastAsia="zh-CN" w:bidi="ar-SA"/>
        </w:rPr>
        <w:t>制定项目资金管理实施细则，加强对项目费用安排方式与支出范围的指导。</w:t>
      </w:r>
      <w:r>
        <w:rPr>
          <w:rFonts w:ascii="Times New Roman" w:hAnsi="Times New Roman" w:eastAsia="方正仿宋_GBK" w:cs="Times New Roman"/>
          <w:b/>
          <w:bCs/>
          <w:color w:val="auto"/>
          <w:sz w:val="32"/>
          <w:szCs w:val="32"/>
          <w:lang w:val="en-US" w:eastAsia="zh-CN" w:bidi="ar-SA"/>
        </w:rPr>
        <w:t>第四，从政策意图出发，明确出生缺陷防控项目的目标人群，完善资金配置方式。一是</w:t>
      </w:r>
      <w:r>
        <w:rPr>
          <w:rFonts w:ascii="Times New Roman" w:hAnsi="Times New Roman" w:eastAsia="方正仿宋_GBK" w:cs="Times New Roman"/>
          <w:color w:val="auto"/>
          <w:sz w:val="32"/>
          <w:szCs w:val="32"/>
          <w:lang w:val="en-US" w:eastAsia="zh-CN" w:bidi="ar-SA"/>
        </w:rPr>
        <w:t>合理调整目标人群范围，完善服务与常住人口挂钩机制，推动公共资源按常住人口规模配置，建议扩大出生缺陷综合防控项目的项目人群，常住人口由持居住证享受减免，增加到近三个月内社保参保证明、持省内房产证、村居委证明等，使更多群众享受到出生缺陷项目惠民政策。</w:t>
      </w:r>
      <w:r>
        <w:rPr>
          <w:rFonts w:ascii="Times New Roman" w:hAnsi="Times New Roman" w:eastAsia="方正仿宋_GBK" w:cs="Times New Roman"/>
          <w:b/>
          <w:bCs/>
          <w:color w:val="auto"/>
          <w:sz w:val="32"/>
          <w:szCs w:val="32"/>
          <w:lang w:val="en-US" w:eastAsia="zh-CN" w:bidi="ar-SA"/>
        </w:rPr>
        <w:t>二是</w:t>
      </w:r>
      <w:r>
        <w:rPr>
          <w:rFonts w:ascii="Times New Roman" w:hAnsi="Times New Roman" w:eastAsia="方正仿宋_GBK" w:cs="Times New Roman"/>
          <w:color w:val="auto"/>
          <w:sz w:val="32"/>
          <w:szCs w:val="32"/>
          <w:lang w:val="en-US" w:eastAsia="zh-CN" w:bidi="ar-SA"/>
        </w:rPr>
        <w:t>优化预算资金分配中目标人群的测算依据。</w:t>
      </w: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11</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11</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jc w:val="center"/>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jc w:val="center"/>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A60BC"/>
    <w:multiLevelType w:val="singleLevel"/>
    <w:tmpl w:val="AA1A60BC"/>
    <w:lvl w:ilvl="0" w:tentative="0">
      <w:start w:val="6"/>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AF7220"/>
    <w:rsid w:val="00B87FE3"/>
    <w:rsid w:val="00D90A02"/>
    <w:rsid w:val="069A1525"/>
    <w:rsid w:val="1CB3456E"/>
    <w:rsid w:val="1FF37E26"/>
    <w:rsid w:val="2474558D"/>
    <w:rsid w:val="57DA5C5D"/>
    <w:rsid w:val="BEFB9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2011-02-25T17:06:00Z</dcterms:created>
  <dc:creator>科员01</dc:creator>
  <cp:lastModifiedBy>Li</cp:lastModifiedBy>
  <dcterms:modified xsi:type="dcterms:W3CDTF">2025-05-12T09:14:41Z</dcterms:modified>
  <dc:title>2024年市级财政支出绩效评价报告_x000B_摘要汇总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