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375</w:t>
      </w:r>
      <w:r>
        <w:rPr>
          <w:rFonts w:hint="eastAsia" w:ascii="Times New Roman" w:hAnsi="Times New Roman" w:eastAsia="方正仿宋_GBK" w:cs="方正仿宋_GBK"/>
          <w:sz w:val="32"/>
          <w:szCs w:val="32"/>
        </w:rPr>
        <w:t>号</w:t>
      </w:r>
    </w:p>
    <w:p>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spacing w:line="540" w:lineRule="exact"/>
        <w:jc w:val="center"/>
        <w:rPr>
          <w:rFonts w:hint="eastAsia" w:ascii="Times New Roman" w:hAnsi="Times New Roman" w:eastAsia="方正小标宋_GBK" w:cs="方正小标宋_GBK"/>
          <w:b/>
          <w:bCs/>
          <w:sz w:val="44"/>
          <w:szCs w:val="44"/>
          <w:lang w:eastAsia="zh-CN"/>
        </w:rPr>
      </w:pPr>
      <w:bookmarkStart w:id="3" w:name="OLE_LINK2"/>
      <w:r>
        <w:rPr>
          <w:rFonts w:hint="eastAsia" w:ascii="Times New Roman" w:hAnsi="Times New Roman" w:eastAsia="方正小标宋_GBK" w:cs="方正小标宋_GBK"/>
          <w:b/>
          <w:bCs/>
          <w:sz w:val="44"/>
          <w:szCs w:val="44"/>
        </w:rPr>
        <w:t>惠州市惠阳区2024年度</w:t>
      </w:r>
      <w:r>
        <w:rPr>
          <w:rFonts w:hint="eastAsia" w:ascii="Times New Roman" w:hAnsi="Times New Roman" w:eastAsia="方正小标宋_GBK" w:cs="方正小标宋_GBK"/>
          <w:b/>
          <w:bCs/>
          <w:sz w:val="44"/>
          <w:szCs w:val="44"/>
          <w:lang w:eastAsia="zh-CN"/>
        </w:rPr>
        <w:t>第四十批次</w:t>
      </w:r>
    </w:p>
    <w:p>
      <w:pPr>
        <w:spacing w:line="540" w:lineRule="exact"/>
        <w:jc w:val="center"/>
        <w:rPr>
          <w:rFonts w:hint="eastAsia" w:ascii="Times New Roman" w:hAnsi="Times New Roman" w:eastAsia="方正小标宋_GBK" w:cs="方正小标宋_GBK"/>
          <w:b/>
          <w:bCs/>
          <w:sz w:val="44"/>
          <w:szCs w:val="44"/>
        </w:rPr>
      </w:pPr>
      <w:bookmarkStart w:id="4" w:name="OLE_LINK3"/>
      <w:r>
        <w:rPr>
          <w:rFonts w:hint="eastAsia" w:ascii="Times New Roman" w:hAnsi="Times New Roman" w:eastAsia="方正小标宋_GBK" w:cs="方正小标宋_GBK"/>
          <w:b/>
          <w:bCs/>
          <w:sz w:val="44"/>
          <w:szCs w:val="44"/>
        </w:rPr>
        <w:t>城镇建设用地征地补偿安置方案</w:t>
      </w:r>
    </w:p>
    <w:bookmarkEnd w:id="3"/>
    <w:bookmarkEnd w:id="4"/>
    <w:p>
      <w:pPr>
        <w:spacing w:line="540" w:lineRule="exact"/>
        <w:jc w:val="center"/>
        <w:rPr>
          <w:rFonts w:ascii="Times New Roman" w:hAnsi="Times New Roman" w:eastAsia="方正仿宋_GBK" w:cs="方正仿宋_GBK"/>
          <w:b/>
          <w:bCs/>
          <w:sz w:val="36"/>
          <w:szCs w:val="36"/>
        </w:rPr>
      </w:pP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为了公共利益的需要，经惠阳区人民政府研究，拟征收属</w:t>
      </w:r>
      <w:r>
        <w:rPr>
          <w:rFonts w:hint="eastAsia" w:ascii="Times New Roman" w:hAnsi="Times New Roman" w:eastAsia="方正仿宋_GBK"/>
          <w:bCs/>
          <w:sz w:val="32"/>
          <w:szCs w:val="32"/>
          <w:lang w:eastAsia="zh-CN"/>
        </w:rPr>
        <w:t>惠州市惠阳区秋长街道白石股份经济合作联合社</w:t>
      </w:r>
      <w:r>
        <w:rPr>
          <w:rFonts w:hint="eastAsia" w:ascii="Times New Roman" w:hAnsi="Times New Roman" w:eastAsia="方正仿宋_GBK"/>
          <w:bCs/>
          <w:sz w:val="32"/>
          <w:szCs w:val="32"/>
        </w:rPr>
        <w:t>所有的</w:t>
      </w:r>
      <w:r>
        <w:rPr>
          <w:rFonts w:hint="eastAsia" w:ascii="Times New Roman" w:hAnsi="Times New Roman" w:eastAsia="方正仿宋_GBK"/>
          <w:bCs/>
          <w:sz w:val="32"/>
          <w:szCs w:val="32"/>
          <w:lang w:eastAsia="zh-CN"/>
        </w:rPr>
        <w:t>1.7776</w:t>
      </w:r>
      <w:r>
        <w:rPr>
          <w:rFonts w:hint="eastAsia" w:ascii="Times New Roman" w:hAnsi="Times New Roman" w:eastAsia="方正仿宋_GBK"/>
          <w:bCs/>
          <w:sz w:val="32"/>
          <w:szCs w:val="32"/>
        </w:rPr>
        <w:t>公顷土地。根据《中华人民共和国土地管理法》《中华人民共和国土地管理法实施条例》《广东省土地管理条例》《惠州市人民政府关于公布实施惠州市征收农用地区片综合地价的公告》（惠府公〔2024〕1号）和《惠州市集体土地征收与补偿办法》（惠府〔202</w:t>
      </w:r>
      <w:r>
        <w:rPr>
          <w:rFonts w:hint="eastAsia" w:ascii="Times New Roman" w:hAnsi="Times New Roman" w:eastAsia="方正仿宋_GBK"/>
          <w:bCs/>
          <w:sz w:val="32"/>
          <w:szCs w:val="32"/>
          <w:lang w:val="en-US" w:eastAsia="zh-CN"/>
        </w:rPr>
        <w:t>5</w:t>
      </w: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val="en-US" w:eastAsia="zh-CN"/>
        </w:rPr>
        <w:t>6</w:t>
      </w:r>
      <w:r>
        <w:rPr>
          <w:rFonts w:hint="eastAsia" w:ascii="Times New Roman" w:hAnsi="Times New Roman" w:eastAsia="方正仿宋_GBK"/>
          <w:bCs/>
          <w:sz w:val="32"/>
          <w:szCs w:val="32"/>
        </w:rPr>
        <w:t>号）等有关规定，结合土地现状调查结果，制订本项目征地补偿安置方案如下：</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一、征收土地的位置、范围、权属、面积和现状</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拟征收土地位于惠阳区</w:t>
      </w:r>
      <w:r>
        <w:rPr>
          <w:rFonts w:hint="eastAsia" w:ascii="Times New Roman" w:hAnsi="Times New Roman" w:eastAsia="方正仿宋_GBK"/>
          <w:bCs/>
          <w:sz w:val="32"/>
          <w:szCs w:val="32"/>
          <w:lang w:eastAsia="zh-CN"/>
        </w:rPr>
        <w:t>秋长街道白石村地段</w:t>
      </w:r>
      <w:r>
        <w:rPr>
          <w:rFonts w:hint="eastAsia" w:ascii="Times New Roman" w:hAnsi="Times New Roman" w:eastAsia="方正仿宋_GBK"/>
          <w:bCs/>
          <w:sz w:val="32"/>
          <w:szCs w:val="32"/>
        </w:rPr>
        <w:t>，属</w:t>
      </w:r>
      <w:r>
        <w:rPr>
          <w:rFonts w:hint="eastAsia" w:ascii="Times New Roman" w:hAnsi="Times New Roman" w:eastAsia="方正仿宋_GBK"/>
          <w:bCs/>
          <w:sz w:val="32"/>
          <w:szCs w:val="32"/>
          <w:lang w:eastAsia="zh-CN"/>
        </w:rPr>
        <w:t>惠州市惠阳区秋长街道白石股份经济合作联合社</w:t>
      </w:r>
      <w:r>
        <w:rPr>
          <w:rFonts w:hint="eastAsia" w:ascii="Times New Roman" w:hAnsi="Times New Roman" w:eastAsia="方正仿宋_GBK"/>
          <w:bCs/>
          <w:sz w:val="32"/>
          <w:szCs w:val="32"/>
        </w:rPr>
        <w:t>所有的集体土地，面积为</w:t>
      </w:r>
      <w:r>
        <w:rPr>
          <w:rFonts w:hint="eastAsia" w:ascii="Times New Roman" w:hAnsi="Times New Roman" w:eastAsia="方正仿宋_GBK"/>
          <w:bCs/>
          <w:sz w:val="32"/>
          <w:szCs w:val="32"/>
          <w:lang w:eastAsia="zh-CN"/>
        </w:rPr>
        <w:t>1.7776</w:t>
      </w:r>
      <w:r>
        <w:rPr>
          <w:rFonts w:hint="eastAsia" w:ascii="Times New Roman" w:hAnsi="Times New Roman" w:eastAsia="方正仿宋_GBK"/>
          <w:bCs/>
          <w:sz w:val="32"/>
          <w:szCs w:val="32"/>
        </w:rPr>
        <w:t>公顷，其中：</w:t>
      </w:r>
      <w:r>
        <w:rPr>
          <w:rFonts w:hint="eastAsia" w:ascii="Times New Roman" w:hAnsi="Times New Roman" w:eastAsia="方正仿宋_GBK" w:cs="方正仿宋_GBK"/>
          <w:bCs/>
          <w:sz w:val="32"/>
          <w:szCs w:val="32"/>
          <w:u w:val="none"/>
          <w:lang w:val="en-US" w:eastAsia="zh-CN"/>
        </w:rPr>
        <w:t>林地</w:t>
      </w:r>
      <w:r>
        <w:rPr>
          <w:rFonts w:hint="default" w:ascii="Times New Roman" w:hAnsi="Times New Roman" w:eastAsia="方正仿宋_GBK" w:cs="方正仿宋_GBK"/>
          <w:bCs/>
          <w:sz w:val="32"/>
          <w:szCs w:val="32"/>
          <w:u w:val="none"/>
          <w:lang w:val="en-US" w:eastAsia="zh-CN"/>
        </w:rPr>
        <w:t>0.0615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；园地0.6238公顷；草地0.2814公顷；其他农用地0.8724公顷。</w:t>
      </w:r>
      <w:r>
        <w:rPr>
          <w:rFonts w:hint="eastAsia" w:ascii="Times New Roman" w:hAnsi="Times New Roman" w:eastAsia="方正仿宋_GBK"/>
          <w:bCs/>
          <w:sz w:val="32"/>
          <w:szCs w:val="32"/>
        </w:rPr>
        <w:t>四至范围详见附件《被征地四至红线图（惠阳区2024年度</w:t>
      </w:r>
      <w:r>
        <w:rPr>
          <w:rFonts w:hint="eastAsia" w:ascii="Times New Roman" w:hAnsi="Times New Roman" w:eastAsia="方正仿宋_GBK"/>
          <w:bCs/>
          <w:sz w:val="32"/>
          <w:szCs w:val="32"/>
          <w:lang w:eastAsia="zh-CN"/>
        </w:rPr>
        <w:t>第四十批次</w:t>
      </w:r>
      <w:r>
        <w:rPr>
          <w:rFonts w:hint="eastAsia" w:ascii="Times New Roman" w:hAnsi="Times New Roman" w:eastAsia="方正仿宋_GBK"/>
          <w:bCs/>
          <w:sz w:val="32"/>
          <w:szCs w:val="32"/>
        </w:rPr>
        <w:t>）》。</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二、征收目的</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本次拟征收土地用于</w:t>
      </w:r>
      <w:r>
        <w:rPr>
          <w:rFonts w:hint="eastAsia" w:ascii="Times New Roman" w:hAnsi="Times New Roman" w:eastAsia="方正仿宋_GBK" w:cs="方正仿宋_GBK"/>
          <w:bCs/>
          <w:color w:val="auto"/>
          <w:sz w:val="32"/>
          <w:szCs w:val="32"/>
          <w:u w:val="none"/>
        </w:rPr>
        <w:t>220千伏荣田变电站项目建设</w:t>
      </w:r>
      <w:r>
        <w:rPr>
          <w:rFonts w:hint="eastAsia" w:ascii="Times New Roman" w:hAnsi="Times New Roman" w:eastAsia="方正仿宋_GBK"/>
          <w:bCs/>
          <w:sz w:val="32"/>
          <w:szCs w:val="32"/>
        </w:rPr>
        <w:t>。</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三、土地补偿及安置补助费</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w:t>
      </w:r>
      <w:r>
        <w:rPr>
          <w:rFonts w:hint="eastAsia" w:ascii="Times New Roman" w:hAnsi="Times New Roman" w:eastAsia="方正仿宋_GBK"/>
          <w:bCs/>
          <w:sz w:val="32"/>
          <w:szCs w:val="32"/>
          <w:lang w:val="en-US" w:eastAsia="zh-CN"/>
        </w:rPr>
        <w:t>一</w:t>
      </w:r>
      <w:r>
        <w:rPr>
          <w:rFonts w:hint="eastAsia" w:ascii="Times New Roman" w:hAnsi="Times New Roman" w:eastAsia="方正仿宋_GBK"/>
          <w:bCs/>
          <w:sz w:val="32"/>
          <w:szCs w:val="32"/>
        </w:rPr>
        <w:t>类：</w:t>
      </w:r>
    </w:p>
    <w:p>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征收园地0.6238公顷，土地补偿和安置补助费标准为8.4万元/亩（折算126万元/公顷），需补偿费78.5988万元；</w:t>
      </w:r>
    </w:p>
    <w:p>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征收草地0.2814公顷，土地补偿和安置补助费标准为8.4万元/亩（折算126万元/公顷），需补偿费35.4564万元；</w:t>
      </w:r>
    </w:p>
    <w:p>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征收其他农用地0.8724公顷，土地补偿和安置补助费标准为8.4万元/亩（折算126万元/公顷），需补偿费109.9224万元。</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以上土地补偿和安置补助费共223.9776万元。</w:t>
      </w:r>
    </w:p>
    <w:p>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四、青苗及地上附着物补偿费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被征地上有框架、混合结构房屋等建筑物，由相关部门依法依规处置，本次征地中不予补偿。</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五、征地留用地补偿方式</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征地留用地根据被征地村集体意愿，选择折算货币补偿的方式解决。按实际征地总面积的15%计算，面积为</w:t>
      </w:r>
      <w:r>
        <w:rPr>
          <w:rFonts w:hint="eastAsia" w:ascii="Times New Roman" w:hAnsi="Times New Roman" w:eastAsia="方正仿宋_GBK"/>
          <w:bCs/>
          <w:sz w:val="32"/>
          <w:szCs w:val="32"/>
          <w:lang w:val="en-US" w:eastAsia="zh-CN"/>
        </w:rPr>
        <w:t>0.2666</w:t>
      </w:r>
      <w:r>
        <w:rPr>
          <w:rFonts w:hint="eastAsia" w:ascii="Times New Roman" w:hAnsi="Times New Roman" w:eastAsia="方正仿宋_GBK"/>
          <w:bCs/>
          <w:sz w:val="32"/>
          <w:szCs w:val="32"/>
        </w:rPr>
        <w:t>公顷</w:t>
      </w:r>
      <w:r>
        <w:rPr>
          <w:rFonts w:hint="eastAsia" w:ascii="Times New Roman" w:hAnsi="Times New Roman" w:eastAsia="方正仿宋_GBK"/>
          <w:bCs/>
          <w:sz w:val="32"/>
          <w:szCs w:val="32"/>
          <w:lang w:eastAsia="zh-CN"/>
        </w:rPr>
        <w:t>。根据《惠州市惠阳区征地留用地折算货币补偿标准》（惠阳府〔2023〕30号），以1900元/平方米的标准计算，补偿款共506.54万元。留用地折算货币补偿款已足额存入征地预存款专户。</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六、被征地农民按广东省人力资源和社会保障厅有关规定纳入相应的养老等社会保障体系。</w:t>
      </w:r>
    </w:p>
    <w:p>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综上所述，惠州市惠阳区2024年度</w:t>
      </w:r>
      <w:r>
        <w:rPr>
          <w:rFonts w:hint="eastAsia" w:ascii="Times New Roman" w:hAnsi="Times New Roman" w:eastAsia="方正仿宋_GBK"/>
          <w:bCs/>
          <w:sz w:val="32"/>
          <w:szCs w:val="32"/>
          <w:lang w:eastAsia="zh-CN"/>
        </w:rPr>
        <w:t>第四十批次</w:t>
      </w:r>
      <w:r>
        <w:rPr>
          <w:rFonts w:hint="eastAsia" w:ascii="Times New Roman" w:hAnsi="Times New Roman" w:eastAsia="方正仿宋_GBK"/>
          <w:bCs/>
          <w:sz w:val="32"/>
          <w:szCs w:val="32"/>
        </w:rPr>
        <w:t>城镇建设用地征地补偿总费用</w:t>
      </w:r>
      <w:r>
        <w:rPr>
          <w:rFonts w:hint="eastAsia" w:ascii="Times New Roman" w:hAnsi="Times New Roman" w:eastAsia="方正仿宋_GBK"/>
          <w:bCs/>
          <w:sz w:val="32"/>
          <w:szCs w:val="32"/>
          <w:lang w:eastAsia="zh-CN"/>
        </w:rPr>
        <w:t>730.5176</w:t>
      </w:r>
      <w:r>
        <w:rPr>
          <w:rFonts w:hint="eastAsia" w:ascii="Times New Roman" w:hAnsi="Times New Roman" w:eastAsia="方正仿宋_GBK"/>
          <w:bCs/>
          <w:sz w:val="32"/>
          <w:szCs w:val="32"/>
        </w:rPr>
        <w:t xml:space="preserve">万元，其中：征地补偿费用223.9776万元（含土地补偿费和安置补助费）、征地留用地折算货币补偿费506.54万元。征地补偿总费用自征地公告发布之日起3个月内一次性支付给被征地权属单位和相关权利人。 </w:t>
      </w:r>
    </w:p>
    <w:p>
      <w:pPr>
        <w:spacing w:line="540" w:lineRule="exact"/>
        <w:ind w:firstLine="320" w:firstLineChars="100"/>
        <w:jc w:val="left"/>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bidi="ar"/>
        </w:rPr>
        <w:t xml:space="preserve">                         </w:t>
      </w:r>
    </w:p>
    <w:p>
      <w:pPr>
        <w:pStyle w:val="2"/>
        <w:rPr>
          <w:rFonts w:hint="eastAsia" w:ascii="Times New Roman" w:hAnsi="Times New Roman"/>
        </w:rPr>
      </w:pPr>
    </w:p>
    <w:p>
      <w:pPr>
        <w:spacing w:line="540" w:lineRule="exact"/>
        <w:ind w:firstLine="320" w:firstLineChars="100"/>
        <w:jc w:val="left"/>
        <w:rPr>
          <w:rFonts w:hint="eastAsia" w:ascii="Times New Roman" w:hAnsi="Times New Roman" w:eastAsia="方正仿宋_GBK" w:cs="方正仿宋_GBK"/>
          <w:sz w:val="32"/>
          <w:szCs w:val="32"/>
          <w:lang w:bidi="ar"/>
        </w:rPr>
      </w:pPr>
    </w:p>
    <w:p>
      <w:pPr>
        <w:spacing w:line="540" w:lineRule="exact"/>
        <w:ind w:firstLine="4160" w:firstLineChars="1300"/>
        <w:jc w:val="left"/>
        <w:rPr>
          <w:rFonts w:ascii="Times New Roman" w:hAnsi="Times New Roman" w:eastAsia="方正仿宋_GBK"/>
          <w:sz w:val="32"/>
          <w:szCs w:val="32"/>
        </w:rPr>
      </w:pPr>
      <w:r>
        <w:rPr>
          <w:rFonts w:hint="eastAsia" w:ascii="Times New Roman" w:hAnsi="Times New Roman" w:eastAsia="方正仿宋_GBK" w:cs="方正仿宋_GBK"/>
          <w:sz w:val="32"/>
          <w:szCs w:val="32"/>
          <w:lang w:bidi="ar"/>
        </w:rPr>
        <w:t xml:space="preserve">  惠州市惠阳区自然资源局　　</w:t>
      </w:r>
    </w:p>
    <w:p>
      <w:pPr>
        <w:pStyle w:val="58"/>
        <w:wordWrap w:val="0"/>
        <w:spacing w:line="540" w:lineRule="exact"/>
        <w:jc w:val="center"/>
        <w:rPr>
          <w:rFonts w:hint="eastAsia" w:ascii="Times New Roman" w:hAnsi="Times New Roman"/>
        </w:rPr>
      </w:pPr>
      <w:r>
        <w:rPr>
          <w:rFonts w:hint="eastAsia" w:ascii="Times New Roman" w:hAnsi="Times New Roman"/>
          <w:lang w:val="en-US" w:eastAsia="zh-CN"/>
        </w:rPr>
        <w:t xml:space="preserve">                          </w:t>
      </w:r>
      <w:r>
        <w:rPr>
          <w:rFonts w:ascii="Times New Roman" w:hAnsi="Times New Roman"/>
        </w:rPr>
        <w:t>202</w:t>
      </w:r>
      <w:r>
        <w:rPr>
          <w:rFonts w:hint="eastAsia" w:ascii="Times New Roman" w:hAnsi="Times New Roman"/>
        </w:rPr>
        <w:t>5年4月1</w:t>
      </w:r>
      <w:r>
        <w:rPr>
          <w:rFonts w:hint="eastAsia" w:ascii="Times New Roman" w:hAnsi="Times New Roman"/>
          <w:lang w:val="en-US" w:eastAsia="zh-CN"/>
        </w:rPr>
        <w:t>8</w:t>
      </w:r>
      <w:r>
        <w:rPr>
          <w:rFonts w:hint="eastAsia" w:ascii="Times New Roman" w:hAnsi="Times New Roman"/>
        </w:rPr>
        <w:t>日　</w:t>
      </w:r>
    </w:p>
    <w:p>
      <w:pPr>
        <w:spacing w:line="580" w:lineRule="exact"/>
        <w:ind w:right="320" w:firstLine="320" w:firstLineChars="100"/>
        <w:jc w:val="both"/>
        <w:rPr>
          <w:rFonts w:hint="eastAsia" w:ascii="Times New Roman" w:hAnsi="Times New Roman" w:eastAsia="方正黑体_GBK" w:cs="方正黑体_GBK"/>
          <w:sz w:val="32"/>
          <w:szCs w:val="32"/>
          <w:lang w:eastAsia="zh-CN"/>
        </w:rPr>
      </w:pPr>
    </w:p>
    <w:p>
      <w:pPr>
        <w:spacing w:line="580" w:lineRule="exact"/>
        <w:ind w:right="320" w:firstLine="320" w:firstLineChars="100"/>
        <w:jc w:val="both"/>
        <w:rPr>
          <w:rFonts w:hint="eastAsia" w:ascii="Times New Roman" w:hAnsi="Times New Roman" w:eastAsia="方正黑体_GBK" w:cs="方正黑体_GBK"/>
          <w:sz w:val="32"/>
          <w:szCs w:val="32"/>
          <w:lang w:eastAsia="zh-CN"/>
        </w:rPr>
      </w:pPr>
    </w:p>
    <w:p>
      <w:pPr>
        <w:spacing w:line="580" w:lineRule="exact"/>
        <w:ind w:right="320" w:firstLine="320" w:firstLineChars="100"/>
        <w:jc w:val="both"/>
        <w:rPr>
          <w:rFonts w:hint="eastAsia" w:ascii="Times New Roman" w:hAnsi="Times New Roman" w:eastAsia="方正黑体_GBK" w:cs="方正黑体_GBK"/>
          <w:sz w:val="32"/>
          <w:szCs w:val="32"/>
          <w:lang w:eastAsia="zh-CN"/>
        </w:rPr>
      </w:pPr>
      <w:bookmarkStart w:id="5" w:name="_GoBack"/>
      <w:bookmarkEnd w:id="5"/>
    </w:p>
    <w:p>
      <w:pPr>
        <w:spacing w:line="580" w:lineRule="exact"/>
        <w:ind w:right="320"/>
        <w:jc w:val="both"/>
        <w:rPr>
          <w:rFonts w:hint="eastAsia" w:ascii="Times New Roman" w:hAnsi="Times New Roman" w:eastAsia="方正黑体_GBK" w:cs="方正黑体_GBK"/>
          <w:sz w:val="32"/>
          <w:szCs w:val="32"/>
          <w:lang w:eastAsia="zh-CN"/>
        </w:rPr>
      </w:pPr>
    </w:p>
    <w:p>
      <w:pPr>
        <w:pStyle w:val="17"/>
        <w:rPr>
          <w:rFonts w:hint="eastAsia"/>
          <w:lang w:eastAsia="zh-CN"/>
        </w:rPr>
      </w:pPr>
    </w:p>
    <w:p>
      <w:pPr>
        <w:spacing w:line="580" w:lineRule="exact"/>
        <w:ind w:right="320" w:firstLine="320" w:firstLineChars="100"/>
        <w:jc w:val="both"/>
        <w:rPr>
          <w:rFonts w:hint="eastAsia" w:ascii="方正黑体_GBK" w:hAnsi="方正黑体_GBK" w:eastAsia="方正黑体_GBK" w:cs="方正黑体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8703D6"/>
    <w:rsid w:val="04A47572"/>
    <w:rsid w:val="04B617EC"/>
    <w:rsid w:val="05064512"/>
    <w:rsid w:val="0516533B"/>
    <w:rsid w:val="05416698"/>
    <w:rsid w:val="055C54E3"/>
    <w:rsid w:val="05C27914"/>
    <w:rsid w:val="05F96202"/>
    <w:rsid w:val="06470EAD"/>
    <w:rsid w:val="06482C99"/>
    <w:rsid w:val="064E24E3"/>
    <w:rsid w:val="06735227"/>
    <w:rsid w:val="06760AE5"/>
    <w:rsid w:val="067D0215"/>
    <w:rsid w:val="068463D8"/>
    <w:rsid w:val="06B338A4"/>
    <w:rsid w:val="06C426D1"/>
    <w:rsid w:val="06E237A8"/>
    <w:rsid w:val="06FB68B7"/>
    <w:rsid w:val="074347CB"/>
    <w:rsid w:val="075A00B5"/>
    <w:rsid w:val="075B44FA"/>
    <w:rsid w:val="07BF0C47"/>
    <w:rsid w:val="07D13626"/>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36185B"/>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8961FF"/>
    <w:rsid w:val="15A856C8"/>
    <w:rsid w:val="15CE3AFB"/>
    <w:rsid w:val="160B6B83"/>
    <w:rsid w:val="161174FF"/>
    <w:rsid w:val="16314FE7"/>
    <w:rsid w:val="16394467"/>
    <w:rsid w:val="16563EB0"/>
    <w:rsid w:val="165A7466"/>
    <w:rsid w:val="16664F4D"/>
    <w:rsid w:val="1669427C"/>
    <w:rsid w:val="16840D31"/>
    <w:rsid w:val="169A70D4"/>
    <w:rsid w:val="16E744C5"/>
    <w:rsid w:val="17056B15"/>
    <w:rsid w:val="170C69C5"/>
    <w:rsid w:val="17357130"/>
    <w:rsid w:val="17363AC1"/>
    <w:rsid w:val="176836DE"/>
    <w:rsid w:val="17932A25"/>
    <w:rsid w:val="17C61B66"/>
    <w:rsid w:val="17D31BE4"/>
    <w:rsid w:val="17F445B0"/>
    <w:rsid w:val="182A61D8"/>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D2024"/>
    <w:rsid w:val="1AAF1450"/>
    <w:rsid w:val="1ABD36BE"/>
    <w:rsid w:val="1ABE2BAB"/>
    <w:rsid w:val="1ADC2FF7"/>
    <w:rsid w:val="1AEB72FE"/>
    <w:rsid w:val="1B7774A6"/>
    <w:rsid w:val="1B7A0007"/>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151CFD"/>
    <w:rsid w:val="1E30500B"/>
    <w:rsid w:val="1E352B1A"/>
    <w:rsid w:val="1E4D4766"/>
    <w:rsid w:val="1E87579E"/>
    <w:rsid w:val="1EA922C2"/>
    <w:rsid w:val="1EAD7457"/>
    <w:rsid w:val="1EBD3BCE"/>
    <w:rsid w:val="1EDA24CC"/>
    <w:rsid w:val="1EFF2287"/>
    <w:rsid w:val="1F9B4CF7"/>
    <w:rsid w:val="1FA147B2"/>
    <w:rsid w:val="1FAA5D66"/>
    <w:rsid w:val="1FDA528E"/>
    <w:rsid w:val="1FE26CF1"/>
    <w:rsid w:val="1FE56185"/>
    <w:rsid w:val="20590A66"/>
    <w:rsid w:val="20880BC6"/>
    <w:rsid w:val="20945055"/>
    <w:rsid w:val="20C2116B"/>
    <w:rsid w:val="21017971"/>
    <w:rsid w:val="21135F6F"/>
    <w:rsid w:val="2115087A"/>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3FE5682"/>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903032"/>
    <w:rsid w:val="26B7282F"/>
    <w:rsid w:val="26E965FA"/>
    <w:rsid w:val="27011EB0"/>
    <w:rsid w:val="27082F07"/>
    <w:rsid w:val="270A6EC8"/>
    <w:rsid w:val="27416519"/>
    <w:rsid w:val="27577882"/>
    <w:rsid w:val="279D52E0"/>
    <w:rsid w:val="27D5769E"/>
    <w:rsid w:val="27DA5317"/>
    <w:rsid w:val="284B73BF"/>
    <w:rsid w:val="285E3E1E"/>
    <w:rsid w:val="286301C9"/>
    <w:rsid w:val="287B5DA7"/>
    <w:rsid w:val="289F5FDB"/>
    <w:rsid w:val="28F17C8C"/>
    <w:rsid w:val="28F63D73"/>
    <w:rsid w:val="28FF4949"/>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877445"/>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BC7AD2"/>
    <w:rsid w:val="36C1616A"/>
    <w:rsid w:val="36D220EB"/>
    <w:rsid w:val="36D66A67"/>
    <w:rsid w:val="36ED383B"/>
    <w:rsid w:val="371C56F3"/>
    <w:rsid w:val="3758356E"/>
    <w:rsid w:val="37852C0B"/>
    <w:rsid w:val="37874C86"/>
    <w:rsid w:val="37C11752"/>
    <w:rsid w:val="37C60534"/>
    <w:rsid w:val="37C67880"/>
    <w:rsid w:val="37DA579F"/>
    <w:rsid w:val="37FF6E6B"/>
    <w:rsid w:val="380E22C9"/>
    <w:rsid w:val="38267626"/>
    <w:rsid w:val="387B6FD2"/>
    <w:rsid w:val="38D10C88"/>
    <w:rsid w:val="38EE73B3"/>
    <w:rsid w:val="39547865"/>
    <w:rsid w:val="397D5649"/>
    <w:rsid w:val="3997625F"/>
    <w:rsid w:val="39E75D43"/>
    <w:rsid w:val="3A231A1B"/>
    <w:rsid w:val="3A591D1A"/>
    <w:rsid w:val="3A86653C"/>
    <w:rsid w:val="3ABC1C57"/>
    <w:rsid w:val="3B03016C"/>
    <w:rsid w:val="3B0515AA"/>
    <w:rsid w:val="3B5077D4"/>
    <w:rsid w:val="3B8F60C5"/>
    <w:rsid w:val="3B96774F"/>
    <w:rsid w:val="3B9B2948"/>
    <w:rsid w:val="3BB847CD"/>
    <w:rsid w:val="3BC70FDD"/>
    <w:rsid w:val="3BD63128"/>
    <w:rsid w:val="3BEC57C9"/>
    <w:rsid w:val="3C067321"/>
    <w:rsid w:val="3C3C2C24"/>
    <w:rsid w:val="3C5267A7"/>
    <w:rsid w:val="3C5F0B58"/>
    <w:rsid w:val="3C607298"/>
    <w:rsid w:val="3CD60148"/>
    <w:rsid w:val="3D1551EA"/>
    <w:rsid w:val="3D431C56"/>
    <w:rsid w:val="3D49434D"/>
    <w:rsid w:val="3D68633F"/>
    <w:rsid w:val="3D6B2A5F"/>
    <w:rsid w:val="3D7B642F"/>
    <w:rsid w:val="3DB5061F"/>
    <w:rsid w:val="3DC27B3B"/>
    <w:rsid w:val="3E1B5F62"/>
    <w:rsid w:val="3E5E52B6"/>
    <w:rsid w:val="3E79356A"/>
    <w:rsid w:val="3E7A761B"/>
    <w:rsid w:val="3E863A05"/>
    <w:rsid w:val="3ECE0FA6"/>
    <w:rsid w:val="3EF24F2F"/>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23517B"/>
    <w:rsid w:val="46433A08"/>
    <w:rsid w:val="464B2812"/>
    <w:rsid w:val="464C62B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A2BC0"/>
    <w:rsid w:val="48710D16"/>
    <w:rsid w:val="48AC1250"/>
    <w:rsid w:val="48D32C5E"/>
    <w:rsid w:val="49082635"/>
    <w:rsid w:val="497D185C"/>
    <w:rsid w:val="49831965"/>
    <w:rsid w:val="4997623F"/>
    <w:rsid w:val="49A565E2"/>
    <w:rsid w:val="49CB2F0E"/>
    <w:rsid w:val="49D85219"/>
    <w:rsid w:val="49F05393"/>
    <w:rsid w:val="4A0869BA"/>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D1FA5"/>
    <w:rsid w:val="4FD73001"/>
    <w:rsid w:val="4FED64A9"/>
    <w:rsid w:val="500F43F6"/>
    <w:rsid w:val="505D45DF"/>
    <w:rsid w:val="509C2100"/>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2868D3"/>
    <w:rsid w:val="534917F6"/>
    <w:rsid w:val="534F6AF6"/>
    <w:rsid w:val="53636ED3"/>
    <w:rsid w:val="536E1823"/>
    <w:rsid w:val="53BA4834"/>
    <w:rsid w:val="53D14C04"/>
    <w:rsid w:val="53F74314"/>
    <w:rsid w:val="53FF5B58"/>
    <w:rsid w:val="540409FC"/>
    <w:rsid w:val="5460684D"/>
    <w:rsid w:val="54620B26"/>
    <w:rsid w:val="548624B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913311"/>
    <w:rsid w:val="5FAA78DD"/>
    <w:rsid w:val="601B142C"/>
    <w:rsid w:val="607A5863"/>
    <w:rsid w:val="60973EA6"/>
    <w:rsid w:val="60B027A2"/>
    <w:rsid w:val="60C01B37"/>
    <w:rsid w:val="60C204E6"/>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E467EB"/>
    <w:rsid w:val="630947A7"/>
    <w:rsid w:val="63410382"/>
    <w:rsid w:val="636B0566"/>
    <w:rsid w:val="638F280B"/>
    <w:rsid w:val="63A7333A"/>
    <w:rsid w:val="63E0389B"/>
    <w:rsid w:val="63FA269F"/>
    <w:rsid w:val="640F755A"/>
    <w:rsid w:val="64130183"/>
    <w:rsid w:val="644A7ACC"/>
    <w:rsid w:val="64715DFC"/>
    <w:rsid w:val="649A4E11"/>
    <w:rsid w:val="64DF5F58"/>
    <w:rsid w:val="64F45A68"/>
    <w:rsid w:val="65082D9F"/>
    <w:rsid w:val="651A21C7"/>
    <w:rsid w:val="653D032A"/>
    <w:rsid w:val="658A3EA0"/>
    <w:rsid w:val="658B7ACC"/>
    <w:rsid w:val="66331BF4"/>
    <w:rsid w:val="664420B9"/>
    <w:rsid w:val="664F6B82"/>
    <w:rsid w:val="669D60C2"/>
    <w:rsid w:val="66D40E00"/>
    <w:rsid w:val="6736514D"/>
    <w:rsid w:val="67532047"/>
    <w:rsid w:val="675B60CF"/>
    <w:rsid w:val="677E70D7"/>
    <w:rsid w:val="67855F38"/>
    <w:rsid w:val="67AE2DD3"/>
    <w:rsid w:val="680826F7"/>
    <w:rsid w:val="681B4BBC"/>
    <w:rsid w:val="684746E1"/>
    <w:rsid w:val="68A25C63"/>
    <w:rsid w:val="68BB007C"/>
    <w:rsid w:val="68F16DA2"/>
    <w:rsid w:val="69574AE7"/>
    <w:rsid w:val="695B26E9"/>
    <w:rsid w:val="698502F8"/>
    <w:rsid w:val="69A13A65"/>
    <w:rsid w:val="69B934C4"/>
    <w:rsid w:val="69FE7A13"/>
    <w:rsid w:val="69FF3FA3"/>
    <w:rsid w:val="6A5D0CE1"/>
    <w:rsid w:val="6A796467"/>
    <w:rsid w:val="6AB01F00"/>
    <w:rsid w:val="6AF53038"/>
    <w:rsid w:val="6B2B6006"/>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DA699C"/>
    <w:rsid w:val="6F0149E1"/>
    <w:rsid w:val="6F027A06"/>
    <w:rsid w:val="6F095684"/>
    <w:rsid w:val="6F3F3846"/>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9634C"/>
    <w:rsid w:val="71B251C2"/>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29169E"/>
    <w:rsid w:val="743A08B5"/>
    <w:rsid w:val="744D0C67"/>
    <w:rsid w:val="7467263B"/>
    <w:rsid w:val="75061890"/>
    <w:rsid w:val="754A5E80"/>
    <w:rsid w:val="754C3CB6"/>
    <w:rsid w:val="755819FE"/>
    <w:rsid w:val="75730615"/>
    <w:rsid w:val="75AB45CC"/>
    <w:rsid w:val="75B03E34"/>
    <w:rsid w:val="75C10A24"/>
    <w:rsid w:val="75DC1E31"/>
    <w:rsid w:val="76112601"/>
    <w:rsid w:val="761F0F9A"/>
    <w:rsid w:val="76246AAC"/>
    <w:rsid w:val="764C2DA9"/>
    <w:rsid w:val="7658075A"/>
    <w:rsid w:val="76B142E9"/>
    <w:rsid w:val="76D01E3F"/>
    <w:rsid w:val="76FE1C5E"/>
    <w:rsid w:val="77646F90"/>
    <w:rsid w:val="77B141E0"/>
    <w:rsid w:val="77C609CB"/>
    <w:rsid w:val="77DE6F0B"/>
    <w:rsid w:val="77EB746E"/>
    <w:rsid w:val="783B382D"/>
    <w:rsid w:val="78A51336"/>
    <w:rsid w:val="78BC0D8F"/>
    <w:rsid w:val="78D11259"/>
    <w:rsid w:val="78E43B32"/>
    <w:rsid w:val="78E73D4A"/>
    <w:rsid w:val="78E91B30"/>
    <w:rsid w:val="78F6715E"/>
    <w:rsid w:val="790640BB"/>
    <w:rsid w:val="792B5E5D"/>
    <w:rsid w:val="794B3FEA"/>
    <w:rsid w:val="79756235"/>
    <w:rsid w:val="79997F2E"/>
    <w:rsid w:val="79B4555D"/>
    <w:rsid w:val="79BE7CC7"/>
    <w:rsid w:val="79C95C8F"/>
    <w:rsid w:val="79E85090"/>
    <w:rsid w:val="7A064041"/>
    <w:rsid w:val="7A506533"/>
    <w:rsid w:val="7A914C8E"/>
    <w:rsid w:val="7A916D8D"/>
    <w:rsid w:val="7AA32865"/>
    <w:rsid w:val="7B2867C3"/>
    <w:rsid w:val="7B3F2A29"/>
    <w:rsid w:val="7B5958B9"/>
    <w:rsid w:val="7BD3061B"/>
    <w:rsid w:val="7BE74B60"/>
    <w:rsid w:val="7BE84FBA"/>
    <w:rsid w:val="7BEF1501"/>
    <w:rsid w:val="7C182F20"/>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A5AD9"/>
    <w:rsid w:val="7FB95DB0"/>
    <w:rsid w:val="7FC73B15"/>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7</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2025-04-21T00:54:31Z</cp:lastPrinted>
  <dcterms:modified xsi:type="dcterms:W3CDTF">2025-04-21T00:59:21Z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