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黄曲霉毒素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>黄曲霉毒素（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aflatoxin, AF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）是黄曲霉（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Aspegillus flavus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）和寄生曲霉（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A.parasotocus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）等霉菌产生的次生代谢产物。目前已发现的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有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20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多种，其中在紫外光下产生蓝紫色荧光的为黄曲霉毒素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B1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aflatoxin B1, AFB1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）和黄曲霉毒素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B2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aflatoxin B2, AFB2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），产生黄绿色荧光的为黄曲霉毒素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G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1 aflatoxin G1, AFG1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）和黄曲霉毒素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G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2 aflatoxin G2, AFG2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黄曲霉毒素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M1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aflatoxin M1, AFM1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）和黄曲霉毒素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M2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aflatoxin M2, AFM2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）是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AFB1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AFB2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的羟基化代谢物。牲畜摄食被黄曲霉毒素污染的饲料后，在乳汁和尿中可检出其代谢产物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AFM1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和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AFM2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，可通过乳汁分泌。因此，在粮油食品监测中常以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AFB1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作为污染指标，而在乳及乳制品中是以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AFM1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为监测指标。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难溶于水而可溶于氯仿、乙腈、甲醇等常见有机溶剂。其化学性质非常稳定，只有加热到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268~269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℃才能被破坏，因此一般烹饪加工温度不能破坏其毒性。在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pH9~10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的碱性条件下，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易降解，紫外线照射也能使其降解从而降低对生物体的危害。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大量摄入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时会引发急性中毒，早期症状有食欲下降、低热等；晚期症状包括呕吐、腹痛以及肝损害，严重者可死亡。黄曲霉毒素慢性毒性主要是肝毒性，表现为肝脏出现亚急性或慢性损伤，体重减轻，诱发肝癌等。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是目前发现的最强的致癌物质之一，主要诱发肝癌，对肾、肺、胃、结肠等也有致癌作用。国际癌症研究机构（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IARC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1993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年的研究报告将天然存在的黄曲霉毒素定为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类致癌物（即确定的人类致癌物），将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AFM1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定为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2B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类致癌物（即对人类可能致癌物）。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2002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IARC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的报告进一步证实了其致癌性。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AFB1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致癌效力最强，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AFM1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的致癌效力大约比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AFB1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小一个数量级。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1999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年联合国粮农组织（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FAO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）和世界卫生组织食品添加剂联合专家委员会（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JECFA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）建议对人类膳食中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AF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的控制应实行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ALARA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as low as reasonably achievable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）原则，即在可合理实现的情况下将人类膳食中的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AF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降低到尽可能低的水平。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目前，黄曲霉毒素在一系列初级农产品和加工产品中均有报道检出，如花生、玉米、棉籽、坚果、食用油、乳制品等，其中以花生、玉米等食品污染最严重。在我国造成食品中黄曲霉毒素不合格的主要原因有：原料或乳牛饲料在种植、采收、运输及储存过程中受到黄曲霉等霉菌污染产毒，生产经营企业没有严格挑拣原料和进行相关检测，或工艺控制不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二、恩诺沙星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>恩诺沙星（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enrofloxacin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属第三代喹诺酮类药。是一类人工合成的广谱抗菌药，用于治疗动物的皮肤感染、呼吸道感染等，是动物专属用药。大鼠急性经口毒性为实际无毒级，无遗传毒性、无致畸性和致癌性，主要引起耳廓软骨的变性性改变和睾丸毒性（精子形态学改变、生精小管萎缩等），可造成雄性大鼠不育。长期使用或者过度使用可能导致在人体中蓄积，进而对人体机能产生危害，还可能使人体产生耐药性菌株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>联合国粮农组织（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FAO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）和世界卫生组织食品添加剂联合专家委员会（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JECFA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）给出了恩诺沙星的日容许摄入量（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ADI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）的建议值为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0~2µg/kg bw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1998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三、氯霉素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>氯霉素（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chloramphenicol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是酰胺醇类抗生素，主要抗菌谱包括肺炎链球菌、化脓性链球菌、绿色链球菌、淋球菌、脑膜炎球菌、流感嗜血杆菌、布氏杆菌、败血出血巴斯德杆菌、白喉杆菌、支原体、衣原体、立克次体、螺旋体和一些厌氧菌。金黄色葡萄球菌部分敏感。肠杆菌科的一些菌，如沙门菌、大肠杆菌、肺炎克雷白杆菌、奇异变形杆菌等大部分菌株对本品敏感。氯霉素大鼠急性经口毒性为低毒级，在体内及体外均具有遗传毒性，在大鼠中可观察到致畸性，大剂量可引起死胎率增加。国际癌症研究机构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IARC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）将氯霉素归为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2A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类致癌物，即对人类致癌性证据有限，对实验动物致癌性证据充分。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动物产品的氯霉素残留，一般不会导致对人体的急性毒性作用；长期大量摄入氯霉素残留超标的食品，可能在人体内蓄积，产生耐药并对同类药物有交叉耐药，引起胃肠道症状、肝功能异常、血液系统异常以及表现为神经系统毒性、过敏反应等。因氯霉素的不良反应较大，我国规定在食用动物中禁止使用。但由于氯霉素的抑菌效果好，以及相对廉价，目前仍有少数生产经营企业将其用于家禽、畜类以及水产品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我国农业部第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193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号公告《食品动物禁用的兽药及其它化合物清单》规定禁止所有食品动物以任何用途使用氯霉素及其盐、酯（包括：琥珀氯霉素）及制剂。农业部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235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号公告《动物性食品中兽药最高残留限量》再次明确氯霉素为禁止使用的兽药，在动物性食品中不得检出。《食品中可能违法添加的非食用物质和易滥用的食品添加剂品种名单（第四批）》（整顿办函〔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2010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50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号）中将氯霉素列为生食水产品中可能违法添加的非食用物质。《食品中</w:t>
      </w:r>
      <w:bookmarkStart w:id="0" w:name="_GoBack"/>
      <w:bookmarkEnd w:id="0"/>
      <w:r>
        <w:rPr>
          <w:rFonts w:hint="eastAsia" w:ascii="Times New Roman" w:hAnsi="Times New Roman" w:eastAsia="仿宋_GB2312"/>
          <w:highlight w:val="none"/>
          <w:lang w:val="en-US" w:eastAsia="zh-CN"/>
        </w:rPr>
        <w:t>可能违法添加的非食用物质和易滥用的食品添加剂品种名单（第五批）》（整顿办函〔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2011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1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号）中将氯霉素可能违法添加的“产品类别”增加“肉制品、猪肠衣、蜂蜜”。农业农村部公告第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250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号将氯霉素及其盐、酯列入《食品动物中禁止使用的药品及其他化合物清单》中。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四、噻虫胺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>噻虫胺（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clothianidin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LD50&gt;5000mg/kg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，急性毒性分级为微毒。急性中毒可出现恶心、呕吐、头痛、乏力、躁动、抽搐等。食用食品一般不会导致噻虫胺的急性中毒，但长期食用噻虫胺超标的食品，对人体健康也有一定影响。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highlight w:val="none"/>
          <w:lang w:val="en-US" w:eastAsia="zh-CN"/>
        </w:rPr>
        <w:t>联合国粮农组织和世界卫生组织农药残留联席会议（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JMPR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2010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年制定了其日容许摄入量（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ADI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）为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0.1mg/kg bw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>，我国《食品安全国家标准 食品中农药最大残留限量》（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GB2763-2021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）中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 xml:space="preserve">ADI 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值亦为 </w:t>
      </w:r>
      <w:r>
        <w:rPr>
          <w:rFonts w:hint="default" w:ascii="Times New Roman" w:hAnsi="Times New Roman" w:eastAsia="仿宋_GB2312"/>
          <w:highlight w:val="none"/>
          <w:lang w:val="en-US" w:eastAsia="zh-CN"/>
        </w:rPr>
        <w:t>0.1mg/kg bw</w:t>
      </w:r>
      <w:r>
        <w:rPr>
          <w:rFonts w:hint="eastAsia" w:ascii="Times New Roman" w:hAnsi="Times New Roman" w:eastAsia="仿宋_GB2312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highlight w:val="none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zIwODAyOGNhNjE1NDZmMmM1OTQzMjk2YjY0YTkifQ=="/>
  </w:docVars>
  <w:rsids>
    <w:rsidRoot w:val="32C43B6E"/>
    <w:rsid w:val="32C43B6E"/>
    <w:rsid w:val="355F528E"/>
    <w:rsid w:val="35716DBF"/>
    <w:rsid w:val="3BC40272"/>
    <w:rsid w:val="47A17308"/>
    <w:rsid w:val="50B006F2"/>
    <w:rsid w:val="796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337</Characters>
  <Lines>0</Lines>
  <Paragraphs>0</Paragraphs>
  <TotalTime>2</TotalTime>
  <ScaleCrop>false</ScaleCrop>
  <LinksUpToDate>false</LinksUpToDate>
  <CharactersWithSpaces>348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2022-08-12T02:44:00Z</dcterms:created>
  <dc:creator>LEO1407491859</dc:creator>
  <cp:lastModifiedBy>方芳</cp:lastModifiedBy>
  <dcterms:modified xsi:type="dcterms:W3CDTF">2025-01-10T13:26:22Z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C6DAFF18BA9B40B286F0C7194C872B90_13</vt:lpwstr>
  </property>
</Properties>
</file>