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黑体"/>
          <w:color w:val="auto"/>
          <w:highlight w:val="none"/>
          <w:lang w:val="en-US" w:eastAsia="zh-CN"/>
        </w:rPr>
      </w:pPr>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黑体" w:cs="Times New Roman"/>
          <w:color w:val="000000"/>
          <w:highlight w:val="none"/>
        </w:rPr>
      </w:pPr>
      <w:r>
        <w:rPr>
          <w:rFonts w:hint="eastAsia" w:ascii="Times New Roman" w:hAnsi="Times New Roman" w:eastAsia="黑体" w:cs="Times New Roman"/>
          <w:color w:val="000000"/>
          <w:highlight w:val="none"/>
          <w:lang w:eastAsia="zh-CN"/>
        </w:rPr>
        <w:t>一</w:t>
      </w:r>
      <w:r>
        <w:rPr>
          <w:rFonts w:hint="default" w:ascii="Times New Roman" w:hAnsi="Times New Roman" w:eastAsia="黑体" w:cs="Times New Roman"/>
          <w:color w:val="000000"/>
          <w:highlight w:val="none"/>
        </w:rPr>
        <w:t>、</w:t>
      </w:r>
      <w:r>
        <w:rPr>
          <w:rFonts w:hint="eastAsia" w:ascii="黑体" w:hAnsi="黑体" w:eastAsia="黑体"/>
          <w:color w:val="000000"/>
          <w:highlight w:val="none"/>
          <w:lang w:eastAsia="zh-CN"/>
        </w:rPr>
        <w:t>铜绿假单胞菌</w:t>
      </w:r>
    </w:p>
    <w:p>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铜绿假单胞菌是一种条件致病菌</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广泛分布于各种水、空气、正常人的皮肤、呼吸道和肠道等，易在潮湿的环境存活。如果桶装水的消费周期较长，营养要求较低的铜绿假单胞菌可生长繁殖，可能会引起味道、气味和浊度的改变。</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食品安全国家标准 </w:t>
      </w:r>
      <w:r>
        <w:rPr>
          <w:rFonts w:hint="eastAsia" w:ascii="仿宋" w:hAnsi="仿宋" w:cs="仿宋"/>
          <w:color w:val="000000"/>
          <w:highlight w:val="none"/>
          <w:lang w:eastAsia="zh-CN"/>
        </w:rPr>
        <w:t>包装饮用水</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GB </w:t>
      </w:r>
      <w:r>
        <w:rPr>
          <w:rFonts w:hint="eastAsia" w:ascii="仿宋" w:hAnsi="仿宋" w:cs="仿宋"/>
          <w:color w:val="000000"/>
          <w:highlight w:val="none"/>
          <w:lang w:val="en-US" w:eastAsia="zh-CN"/>
        </w:rPr>
        <w:t>19298</w:t>
      </w:r>
      <w:r>
        <w:rPr>
          <w:rFonts w:hint="eastAsia" w:ascii="仿宋" w:hAnsi="仿宋" w:eastAsia="仿宋" w:cs="仿宋"/>
          <w:color w:val="000000"/>
          <w:highlight w:val="none"/>
        </w:rPr>
        <w:t>-201</w:t>
      </w:r>
      <w:r>
        <w:rPr>
          <w:rFonts w:hint="eastAsia" w:ascii="仿宋" w:hAnsi="仿宋" w:cs="仿宋"/>
          <w:color w:val="000000"/>
          <w:highlight w:val="none"/>
          <w:lang w:val="en-US" w:eastAsia="zh-CN"/>
        </w:rPr>
        <w:t>4</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中有相关规定，明确了铜绿假单胞菌在该类饮用水中的最大允许限。产品不合格的主要原因是水源带入，生产过程中工艺控制不严或者包装材料清洗消毒有缺陷。</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eastAsia" w:ascii="黑体" w:hAnsi="黑体" w:eastAsia="黑体" w:cs="黑体"/>
          <w:color w:val="000000"/>
          <w:lang w:eastAsia="zh-CN"/>
        </w:rPr>
        <w:t>二、溴酸盐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溴酸盐是在饮用水行业大量使用臭氧进行杀菌的过程中不可避免产生的一种毒副产物，是一种对皮肤、眼睛和黏膜有刺激性的物质，能引起呕吐、腹泻、肾脏功能障碍等，动物实验证明可致癌。</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食品安全国家标准 </w:t>
      </w:r>
      <w:r>
        <w:rPr>
          <w:rFonts w:hint="eastAsia" w:ascii="仿宋" w:hAnsi="仿宋" w:cs="仿宋"/>
          <w:color w:val="000000"/>
          <w:highlight w:val="none"/>
          <w:lang w:eastAsia="zh-CN"/>
        </w:rPr>
        <w:t>包装饮用水</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GB </w:t>
      </w:r>
      <w:r>
        <w:rPr>
          <w:rFonts w:hint="eastAsia" w:ascii="仿宋" w:hAnsi="仿宋" w:cs="仿宋"/>
          <w:color w:val="000000"/>
          <w:highlight w:val="none"/>
          <w:lang w:val="en-US" w:eastAsia="zh-CN"/>
        </w:rPr>
        <w:t>19298</w:t>
      </w:r>
      <w:r>
        <w:rPr>
          <w:rFonts w:hint="eastAsia" w:ascii="仿宋" w:hAnsi="仿宋" w:eastAsia="仿宋" w:cs="仿宋"/>
          <w:color w:val="000000"/>
          <w:highlight w:val="none"/>
        </w:rPr>
        <w:t>-201</w:t>
      </w:r>
      <w:r>
        <w:rPr>
          <w:rFonts w:hint="eastAsia" w:ascii="仿宋" w:hAnsi="仿宋" w:cs="仿宋"/>
          <w:color w:val="000000"/>
          <w:highlight w:val="none"/>
          <w:lang w:val="en-US" w:eastAsia="zh-CN"/>
        </w:rPr>
        <w:t>4</w:t>
      </w:r>
      <w:r>
        <w:rPr>
          <w:rFonts w:hint="eastAsia" w:ascii="仿宋" w:hAnsi="仿宋" w:eastAsia="仿宋" w:cs="仿宋"/>
          <w:color w:val="000000"/>
          <w:highlight w:val="none"/>
          <w:lang w:eastAsia="zh-CN"/>
        </w:rPr>
        <w:t>）</w:t>
      </w:r>
      <w:r>
        <w:rPr>
          <w:rFonts w:hint="default" w:ascii="Times New Roman" w:hAnsi="Times New Roman" w:eastAsia="仿宋_GB2312" w:cs="Times New Roman"/>
          <w:color w:val="auto"/>
          <w:sz w:val="32"/>
          <w:szCs w:val="32"/>
          <w:highlight w:val="none"/>
          <w:lang w:eastAsia="zh-CN"/>
        </w:rPr>
        <w:t>中有相关规定，明确了溴酸盐在该类饮用水中的最大允许限。产品中不合格的原因可能是生产过程中控制不严</w:t>
      </w:r>
      <w:bookmarkStart w:id="0" w:name="_GoBack"/>
      <w:bookmarkEnd w:id="0"/>
      <w:r>
        <w:rPr>
          <w:rFonts w:hint="default" w:ascii="Times New Roman" w:hAnsi="Times New Roman" w:eastAsia="仿宋_GB2312" w:cs="Times New Roman"/>
          <w:color w:val="auto"/>
          <w:sz w:val="32"/>
          <w:szCs w:val="32"/>
          <w:highlight w:val="none"/>
          <w:lang w:eastAsia="zh-CN"/>
        </w:rPr>
        <w:t>或者饮用水消毒过程中，臭氧添加过量及添加方式不当造成</w:t>
      </w:r>
      <w:r>
        <w:rPr>
          <w:rFonts w:hint="eastAsia"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cs="仿宋"/>
          <w:color w:val="00000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IwODAyOGNhNjE1NDZmMmM1OTQzMjk2YjY0YTkifQ=="/>
  </w:docVars>
  <w:rsids>
    <w:rsidRoot w:val="2B9A3B9A"/>
    <w:rsid w:val="01B524E8"/>
    <w:rsid w:val="155806CB"/>
    <w:rsid w:val="17A37F7F"/>
    <w:rsid w:val="26153BC5"/>
    <w:rsid w:val="2B9A3B9A"/>
    <w:rsid w:val="2E361451"/>
    <w:rsid w:val="324F32AF"/>
    <w:rsid w:val="39796C13"/>
    <w:rsid w:val="3C2B19FD"/>
    <w:rsid w:val="3C823034"/>
    <w:rsid w:val="3D911C13"/>
    <w:rsid w:val="57AA1D41"/>
    <w:rsid w:val="5D0570A9"/>
    <w:rsid w:val="6410074D"/>
    <w:rsid w:val="6A671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2020-06-18T08:21:00Z</dcterms:created>
  <dc:creator>罗钰珊</dc:creator>
  <cp:lastModifiedBy>方芳</cp:lastModifiedBy>
  <dcterms:modified xsi:type="dcterms:W3CDTF">2025-01-10T12:27:46Z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1A3264D8A9CC489B8C86C39F1732C034_13</vt:lpwstr>
  </property>
</Properties>
</file>