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62E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1F65DAE1">
      <w:pPr>
        <w:pStyle w:val="2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3170840">
      <w:pPr>
        <w:pStyle w:val="2"/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听证方案要点及成本监审结论</w:t>
      </w:r>
      <w:bookmarkEnd w:id="0"/>
    </w:p>
    <w:p w14:paraId="14879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 w14:paraId="243D0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一、听证项目：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调整惠州市区（中心区）管道燃气价格及完善价格联动机制　</w:t>
      </w:r>
    </w:p>
    <w:p w14:paraId="2660D76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二、听证方案要点：</w:t>
      </w:r>
    </w:p>
    <w:p w14:paraId="6A83688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调整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  <w:t>销售价格</w:t>
      </w:r>
    </w:p>
    <w:p w14:paraId="1FED0DD1">
      <w:pPr>
        <w:pStyle w:val="16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调整配气价格。优化气价结构，实施一部制气价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核定配气价格为0.73元/立方米。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现行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配气价格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0.92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元/立方米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下降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0.19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元/立方米。</w:t>
      </w:r>
    </w:p>
    <w:p w14:paraId="47D8CCD4">
      <w:pPr>
        <w:pStyle w:val="16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调整销售价格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销售价格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由气源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价格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和配气价格构成。</w:t>
      </w:r>
    </w:p>
    <w:p w14:paraId="06C2A18A">
      <w:pPr>
        <w:pStyle w:val="6"/>
        <w:widowControl/>
        <w:numPr>
          <w:ilvl w:val="0"/>
          <w:numId w:val="0"/>
        </w:numPr>
        <w:spacing w:before="0" w:beforeAutospacing="0" w:after="0" w:afterAutospacing="0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气源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价格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月购进气源加权平均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价格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3.30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元/立方米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为基础，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居民销售价格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（指居民第一阶梯价格）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应为4.03元/立方米；非居民销售基准价格为4.03/立方米，供需双方可以基准价为基础，在上浮不超过20%（最高限价4.84元/立方米），下浮不限的范围内协商确定具体价格。</w:t>
      </w:r>
    </w:p>
    <w:p w14:paraId="5B4C45BA">
      <w:pPr>
        <w:pStyle w:val="16"/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考虑到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成本和实际情况，按照部分疏导的原则，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燃气经营企业承担部分成本，由此拟定两个调价方案。</w:t>
      </w:r>
    </w:p>
    <w:p w14:paraId="11140EDD">
      <w:pPr>
        <w:pStyle w:val="16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方案一：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居民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、非居民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用户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维持现行价格不变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，即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居民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</w:rPr>
        <w:t>销售价格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第一阶梯3.55元/立方米；非居民(工商业)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销售价格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基准价为3.55元/立方米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，供需双方可以基准价为基础，在上浮不超过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（最高限价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4.26元/立方米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下浮不限的范围内协商确定具体价格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373339C2">
      <w:pPr>
        <w:pStyle w:val="16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方案二：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居民用户维持现行价格不变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（同方案一）；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非居民用户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基准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价上调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元/立方米，供需双方可以基准价格为基础，在上浮20%（最高限价4.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元/立方米）、下浮不限的范围内协商确定具体价格。</w:t>
      </w:r>
    </w:p>
    <w:p w14:paraId="108F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上述两个方案后续价格调整按照联动机制执行。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联动周期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气源价格上下波动幅度未达到基期价格3.30元/立方米的5%，则居民用户销售价格和非居民用户销售基准价格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继续按上述两个方案中的价格执行；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如气源价格上下波动幅度触动联动机制（即上下幅度超过5%），则以本次核定的气源基准价3.30元/立方米为基础，按联动机制调整销售价格。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</w:p>
    <w:p w14:paraId="51DD678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eastAsia="zh-CN"/>
        </w:rPr>
        <w:t>气源价格与销售价格上下游价格联动机制完善方案</w:t>
      </w:r>
    </w:p>
    <w:p w14:paraId="7B9F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联动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范围。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终端销售价格与管道燃气企业气源采购价格之间的联动。</w:t>
      </w:r>
    </w:p>
    <w:p w14:paraId="729F33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启动条件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当气源平均采购价格上下波动幅度达到基期价格5%及以上，适时启动气价联动机制。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以市政府批复的本次调价方案时确定的气源采购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价格（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3.30元/立方米）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作为基期采购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价格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，以批复文件确定的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执行日期为上下游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价格联动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的起始日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0F68D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气源平均采购价格波动幅度没有达到启动条件，天然气终端销售价格不作调整，涨跌额度计入下一个调整周期核增或核减。</w:t>
      </w:r>
    </w:p>
    <w:p w14:paraId="5A74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调价金额（幅度）。</w:t>
      </w:r>
    </w:p>
    <w:p w14:paraId="5A668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居民、非居民用气价格联动调整额=（本期加权平均气源采购价格-上期加权平价气源采购价格）/（1-供销差率）±上期应调未调影响单价及偏差价格。</w:t>
      </w:r>
    </w:p>
    <w:p w14:paraId="583750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居民气价联动上涨幅度实行上限管理，居民用气终端销售价格单次上调幅度不超过0.5元/立方米，应调未调额度在下一个调整周期统筹考虑，居民下调幅度不限；非居民气价联动原则上按照气源平均采购价格变动上下调整。</w:t>
      </w:r>
    </w:p>
    <w:p w14:paraId="238B07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当上游价格上涨过高时，综合考虑社会承受能力，按照兼顾城镇燃气企业、消费者利益，保持经济平稳运行的原则，可适度控制居民、非居民气价联动调整幅度；当市场价格持续大幅上涨，可能对居民正常生活和经济平稳运行产生严重不利影响时，可暂时中止联动。应调未调额度在下一个调整周期统筹考虑。</w:t>
      </w:r>
    </w:p>
    <w:p w14:paraId="0E1A9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联动周期。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原则上居民用气终端销售价格每12个月联动一次，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非居民用气每6个月联动一次。</w:t>
      </w:r>
    </w:p>
    <w:p w14:paraId="5C211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成本监审结论</w:t>
      </w:r>
    </w:p>
    <w:p w14:paraId="4B9915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根据《中华人民共和国价格法》、《政府制定价格成本监审办法》和《广东省发展改革委城镇管道燃气配气定价成本监审办法》等法律法规和有关政策规定，对惠州市区（中心区）管道天然气实施定价成本监审，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核定2021-2023年度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单位配气定价成本为0.6972元/立方米</w:t>
      </w:r>
      <w:r>
        <w:rPr>
          <w:rFonts w:hint="eastAsia" w:eastAsia="方正仿宋_GBK" w:cs="Times New Roman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2021-2023年</w:t>
      </w:r>
      <w:r>
        <w:rPr>
          <w:rFonts w:hint="eastAsia" w:eastAsia="方正仿宋_GBK" w:cs="Times New Roman"/>
          <w:sz w:val="32"/>
          <w:szCs w:val="32"/>
          <w:shd w:val="clear" w:color="auto" w:fill="auto"/>
          <w:lang w:val="en-US"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平均</w:t>
      </w:r>
      <w:r>
        <w:rPr>
          <w:rFonts w:hint="eastAsia" w:eastAsia="方正仿宋_GBK" w:cs="Times New Roman"/>
          <w:sz w:val="32"/>
          <w:szCs w:val="32"/>
          <w:shd w:val="clear" w:color="auto" w:fill="auto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气源成本为3.5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元/立方米</w:t>
      </w:r>
      <w:r>
        <w:rPr>
          <w:rFonts w:hint="eastAsia" w:eastAsia="方正仿宋_GBK" w:cs="Times New Roman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2024年上半年</w:t>
      </w:r>
      <w:r>
        <w:rPr>
          <w:rFonts w:hint="eastAsia" w:eastAsia="方正仿宋_GBK" w:cs="Times New Roman"/>
          <w:sz w:val="32"/>
          <w:szCs w:val="32"/>
          <w:shd w:val="clear" w:color="auto" w:fill="auto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气源成本为3.30元/立方米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。</w:t>
      </w:r>
    </w:p>
    <w:p w14:paraId="72ACD5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</w:pPr>
    </w:p>
    <w:p w14:paraId="7D0147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</w:pPr>
    </w:p>
    <w:p w14:paraId="3370D6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</w:pPr>
    </w:p>
    <w:p w14:paraId="0DD03A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797" w:bottom="1814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ECAE8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2DFE9">
                          <w:pPr>
                            <w:pStyle w:val="4"/>
                            <w:rPr>
                              <w:rStyle w:val="1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92DFE9">
                    <w:pPr>
                      <w:pStyle w:val="4"/>
                      <w:rPr>
                        <w:rStyle w:val="1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jJjYWE5NzJkYTMyODk5ZGU4M2FmYzM5MTcxMjUifQ=="/>
  </w:docVars>
  <w:rsids>
    <w:rsidRoot w:val="00172A27"/>
    <w:rsid w:val="000038C8"/>
    <w:rsid w:val="000307E4"/>
    <w:rsid w:val="0008348B"/>
    <w:rsid w:val="000E3ECE"/>
    <w:rsid w:val="00174B0C"/>
    <w:rsid w:val="001C598C"/>
    <w:rsid w:val="001D411D"/>
    <w:rsid w:val="001F3434"/>
    <w:rsid w:val="00253608"/>
    <w:rsid w:val="00280E84"/>
    <w:rsid w:val="0029439D"/>
    <w:rsid w:val="00307824"/>
    <w:rsid w:val="003439B6"/>
    <w:rsid w:val="00422C9D"/>
    <w:rsid w:val="00432B81"/>
    <w:rsid w:val="00471D60"/>
    <w:rsid w:val="00483894"/>
    <w:rsid w:val="004872D3"/>
    <w:rsid w:val="004954C6"/>
    <w:rsid w:val="004F705E"/>
    <w:rsid w:val="00521EF5"/>
    <w:rsid w:val="00593882"/>
    <w:rsid w:val="005C7948"/>
    <w:rsid w:val="005F25B2"/>
    <w:rsid w:val="00846ABD"/>
    <w:rsid w:val="008B004B"/>
    <w:rsid w:val="009365CA"/>
    <w:rsid w:val="0094494D"/>
    <w:rsid w:val="00953F1F"/>
    <w:rsid w:val="009C100F"/>
    <w:rsid w:val="00A45B98"/>
    <w:rsid w:val="00AA3068"/>
    <w:rsid w:val="00AC21F4"/>
    <w:rsid w:val="00AE6FEB"/>
    <w:rsid w:val="00B16266"/>
    <w:rsid w:val="00B2677C"/>
    <w:rsid w:val="00B54E21"/>
    <w:rsid w:val="00B7488B"/>
    <w:rsid w:val="00B97314"/>
    <w:rsid w:val="00BA1150"/>
    <w:rsid w:val="00BD0E6B"/>
    <w:rsid w:val="00BD2B48"/>
    <w:rsid w:val="00BD3150"/>
    <w:rsid w:val="00C01114"/>
    <w:rsid w:val="00C36BEA"/>
    <w:rsid w:val="00C52FBA"/>
    <w:rsid w:val="00CC759C"/>
    <w:rsid w:val="00CC76EF"/>
    <w:rsid w:val="00DA5541"/>
    <w:rsid w:val="00DC6FA5"/>
    <w:rsid w:val="00DD6A63"/>
    <w:rsid w:val="00E639D9"/>
    <w:rsid w:val="00EA3D85"/>
    <w:rsid w:val="00EB4061"/>
    <w:rsid w:val="00EE347C"/>
    <w:rsid w:val="00EE476A"/>
    <w:rsid w:val="00F10F89"/>
    <w:rsid w:val="00F4563D"/>
    <w:rsid w:val="00F6101B"/>
    <w:rsid w:val="00F8012B"/>
    <w:rsid w:val="00FA0968"/>
    <w:rsid w:val="01834963"/>
    <w:rsid w:val="01E01200"/>
    <w:rsid w:val="024D0EB6"/>
    <w:rsid w:val="02AB29B2"/>
    <w:rsid w:val="02E272AA"/>
    <w:rsid w:val="02ED757F"/>
    <w:rsid w:val="03A05BA7"/>
    <w:rsid w:val="03DD0547"/>
    <w:rsid w:val="043D492E"/>
    <w:rsid w:val="05975659"/>
    <w:rsid w:val="06300741"/>
    <w:rsid w:val="06954C1A"/>
    <w:rsid w:val="074C3F6C"/>
    <w:rsid w:val="09351953"/>
    <w:rsid w:val="094A48CC"/>
    <w:rsid w:val="095F753A"/>
    <w:rsid w:val="0ACB1862"/>
    <w:rsid w:val="0C172E66"/>
    <w:rsid w:val="0C8452BE"/>
    <w:rsid w:val="0D4638C5"/>
    <w:rsid w:val="0DF71425"/>
    <w:rsid w:val="0F6B317E"/>
    <w:rsid w:val="0F7A315F"/>
    <w:rsid w:val="0F9874C4"/>
    <w:rsid w:val="128E7084"/>
    <w:rsid w:val="13B83359"/>
    <w:rsid w:val="15CF041D"/>
    <w:rsid w:val="17F85B71"/>
    <w:rsid w:val="1846120B"/>
    <w:rsid w:val="18773FF2"/>
    <w:rsid w:val="18AA2417"/>
    <w:rsid w:val="19750A24"/>
    <w:rsid w:val="1AD003F6"/>
    <w:rsid w:val="1AEC5B48"/>
    <w:rsid w:val="1AF76D4F"/>
    <w:rsid w:val="1C354178"/>
    <w:rsid w:val="1DB84CBE"/>
    <w:rsid w:val="1DD55D43"/>
    <w:rsid w:val="1E571567"/>
    <w:rsid w:val="1EA74334"/>
    <w:rsid w:val="1F1A66CB"/>
    <w:rsid w:val="204D0A2E"/>
    <w:rsid w:val="21626321"/>
    <w:rsid w:val="226E0B73"/>
    <w:rsid w:val="23BA04C8"/>
    <w:rsid w:val="24B63789"/>
    <w:rsid w:val="25B71BA9"/>
    <w:rsid w:val="26820053"/>
    <w:rsid w:val="2755176F"/>
    <w:rsid w:val="28D109AE"/>
    <w:rsid w:val="293B2B90"/>
    <w:rsid w:val="2A9F0379"/>
    <w:rsid w:val="2B3F2876"/>
    <w:rsid w:val="2E5E1373"/>
    <w:rsid w:val="2EBE64C2"/>
    <w:rsid w:val="2FF46D6C"/>
    <w:rsid w:val="306C5ECE"/>
    <w:rsid w:val="30D72906"/>
    <w:rsid w:val="327B6471"/>
    <w:rsid w:val="329E2566"/>
    <w:rsid w:val="33EF28D0"/>
    <w:rsid w:val="34641D32"/>
    <w:rsid w:val="34724A48"/>
    <w:rsid w:val="34AE0B44"/>
    <w:rsid w:val="36A10213"/>
    <w:rsid w:val="36E416BF"/>
    <w:rsid w:val="377A71B0"/>
    <w:rsid w:val="37B95553"/>
    <w:rsid w:val="37DD6E2D"/>
    <w:rsid w:val="38013268"/>
    <w:rsid w:val="38D7458B"/>
    <w:rsid w:val="397108EC"/>
    <w:rsid w:val="39B303A8"/>
    <w:rsid w:val="3AA676E5"/>
    <w:rsid w:val="3ADA1907"/>
    <w:rsid w:val="3C900D21"/>
    <w:rsid w:val="3DC4547D"/>
    <w:rsid w:val="3DE6500E"/>
    <w:rsid w:val="3E1207D3"/>
    <w:rsid w:val="3F5662D8"/>
    <w:rsid w:val="3F615EA7"/>
    <w:rsid w:val="3F730EA5"/>
    <w:rsid w:val="3FFA7F1C"/>
    <w:rsid w:val="402F3B21"/>
    <w:rsid w:val="40EF1ACC"/>
    <w:rsid w:val="411949DE"/>
    <w:rsid w:val="414F1379"/>
    <w:rsid w:val="41D34A73"/>
    <w:rsid w:val="421255F6"/>
    <w:rsid w:val="4246679C"/>
    <w:rsid w:val="4330653F"/>
    <w:rsid w:val="43820B61"/>
    <w:rsid w:val="44CC64BA"/>
    <w:rsid w:val="46040BC6"/>
    <w:rsid w:val="46D701BC"/>
    <w:rsid w:val="48757921"/>
    <w:rsid w:val="490E0957"/>
    <w:rsid w:val="49C964B2"/>
    <w:rsid w:val="4A396C73"/>
    <w:rsid w:val="4CFC1320"/>
    <w:rsid w:val="4D577D40"/>
    <w:rsid w:val="4FFF6E17"/>
    <w:rsid w:val="50516814"/>
    <w:rsid w:val="508F0497"/>
    <w:rsid w:val="50F92AC7"/>
    <w:rsid w:val="518E3C13"/>
    <w:rsid w:val="51A24F2C"/>
    <w:rsid w:val="52D95C58"/>
    <w:rsid w:val="54840FAE"/>
    <w:rsid w:val="54E0089F"/>
    <w:rsid w:val="54E7053E"/>
    <w:rsid w:val="55D2339F"/>
    <w:rsid w:val="55DB3B22"/>
    <w:rsid w:val="55EE39CF"/>
    <w:rsid w:val="562F1D75"/>
    <w:rsid w:val="568B71B0"/>
    <w:rsid w:val="58202A4A"/>
    <w:rsid w:val="58290752"/>
    <w:rsid w:val="585554E0"/>
    <w:rsid w:val="58C67262"/>
    <w:rsid w:val="597C7DBE"/>
    <w:rsid w:val="5BB93D0E"/>
    <w:rsid w:val="5E317F1C"/>
    <w:rsid w:val="5F95424A"/>
    <w:rsid w:val="5FD346D8"/>
    <w:rsid w:val="60967D03"/>
    <w:rsid w:val="61015B9B"/>
    <w:rsid w:val="616203ED"/>
    <w:rsid w:val="61A70CBB"/>
    <w:rsid w:val="633968D0"/>
    <w:rsid w:val="63861C87"/>
    <w:rsid w:val="64642EAA"/>
    <w:rsid w:val="649E3255"/>
    <w:rsid w:val="658600BD"/>
    <w:rsid w:val="67301D53"/>
    <w:rsid w:val="678C1F2F"/>
    <w:rsid w:val="67AB4752"/>
    <w:rsid w:val="692D00DA"/>
    <w:rsid w:val="69E35208"/>
    <w:rsid w:val="6AC60A59"/>
    <w:rsid w:val="6B8F37AA"/>
    <w:rsid w:val="6C0945A4"/>
    <w:rsid w:val="6C462E6C"/>
    <w:rsid w:val="6CD15A2B"/>
    <w:rsid w:val="6DD07B42"/>
    <w:rsid w:val="712B6D6A"/>
    <w:rsid w:val="71B01094"/>
    <w:rsid w:val="72E93445"/>
    <w:rsid w:val="74431870"/>
    <w:rsid w:val="744C232D"/>
    <w:rsid w:val="74532C13"/>
    <w:rsid w:val="74F35D14"/>
    <w:rsid w:val="756F3D10"/>
    <w:rsid w:val="761F2C25"/>
    <w:rsid w:val="77FE47B3"/>
    <w:rsid w:val="788813EF"/>
    <w:rsid w:val="798D271E"/>
    <w:rsid w:val="79F63B21"/>
    <w:rsid w:val="7A320598"/>
    <w:rsid w:val="7A333535"/>
    <w:rsid w:val="7A4C7693"/>
    <w:rsid w:val="7D06641B"/>
    <w:rsid w:val="7DF922DB"/>
    <w:rsid w:val="7E9C0CFB"/>
    <w:rsid w:val="7F1C3568"/>
    <w:rsid w:val="7F9510D9"/>
    <w:rsid w:val="7FB54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"/>
    <w:basedOn w:val="1"/>
    <w:link w:val="9"/>
    <w:qFormat/>
    <w:uiPriority w:val="0"/>
    <w:pPr>
      <w:spacing w:line="360" w:lineRule="auto"/>
    </w:pPr>
  </w:style>
  <w:style w:type="character" w:styleId="11">
    <w:name w:val="Strong"/>
    <w:basedOn w:val="9"/>
    <w:qFormat/>
    <w:uiPriority w:val="0"/>
    <w:rPr>
      <w:b/>
    </w:rPr>
  </w:style>
  <w:style w:type="character" w:styleId="12">
    <w:name w:val="page number"/>
    <w:basedOn w:val="9"/>
    <w:qFormat/>
    <w:uiPriority w:val="0"/>
  </w:style>
  <w:style w:type="character" w:styleId="13">
    <w:name w:val="FollowedHyperlink"/>
    <w:basedOn w:val="9"/>
    <w:qFormat/>
    <w:uiPriority w:val="0"/>
    <w:rPr>
      <w:color w:val="000000"/>
      <w:sz w:val="18"/>
      <w:szCs w:val="18"/>
      <w:u w:val="none"/>
    </w:rPr>
  </w:style>
  <w:style w:type="character" w:styleId="14">
    <w:name w:val="Hyperlink"/>
    <w:basedOn w:val="9"/>
    <w:qFormat/>
    <w:uiPriority w:val="0"/>
    <w:rPr>
      <w:color w:val="000000"/>
      <w:sz w:val="18"/>
      <w:szCs w:val="18"/>
      <w:u w:val="none"/>
    </w:rPr>
  </w:style>
  <w:style w:type="paragraph" w:customStyle="1" w:styleId="15">
    <w:name w:val="Char Char Char Char"/>
    <w:basedOn w:val="1"/>
    <w:qFormat/>
    <w:uiPriority w:val="0"/>
  </w:style>
  <w:style w:type="paragraph" w:customStyle="1" w:styleId="16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2485</Words>
  <Characters>2654</Characters>
  <Lines>6</Lines>
  <Paragraphs>1</Paragraphs>
  <TotalTime>9</TotalTime>
  <ScaleCrop>false</ScaleCrop>
  <LinksUpToDate>false</LinksUpToDate>
  <CharactersWithSpaces>2714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2015-09-28T00:57:00Z</dcterms:created>
  <dc:creator>user</dc:creator>
  <cp:lastModifiedBy>S。</cp:lastModifiedBy>
  <cp:lastPrinted>2024-10-25T01:33:00Z</cp:lastPrinted>
  <dcterms:modified xsi:type="dcterms:W3CDTF">2024-10-25T03:08:54Z</dcterms:modified>
  <dc:title>关于召开惠州市区管道天然气计量价格听证会的通告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BA27F4123D4B4E6CA4485CCA436D6806_13</vt:lpwstr>
  </property>
</Properties>
</file>