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</w:rPr>
        <w:t>城乡居民基本医疗保险财政补助资金绩效目标表</w:t>
      </w:r>
    </w:p>
    <w:p>
      <w:pPr>
        <w:spacing w:line="280" w:lineRule="exact"/>
        <w:jc w:val="center"/>
        <w:rPr>
          <w:rFonts w:hint="eastAsia" w:ascii="宋体" w:hAnsi="宋体" w:eastAsia="宋体" w:cs="Times New Roman"/>
          <w:color w:val="000000"/>
          <w:sz w:val="18"/>
        </w:rPr>
      </w:pPr>
      <w:r>
        <w:rPr>
          <w:rFonts w:hint="eastAsia" w:ascii="宋体" w:hAnsi="宋体" w:eastAsia="宋体" w:cs="Times New Roman"/>
          <w:color w:val="000000"/>
          <w:sz w:val="18"/>
        </w:rPr>
        <w:t>（202</w:t>
      </w:r>
      <w:r>
        <w:rPr>
          <w:rFonts w:hint="eastAsia" w:ascii="宋体" w:hAnsi="宋体" w:eastAsia="宋体" w:cs="Times New Roman"/>
          <w:color w:val="000000"/>
          <w:sz w:val="18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18"/>
        </w:rPr>
        <w:t>年度）</w:t>
      </w:r>
    </w:p>
    <w:tbl>
      <w:tblPr>
        <w:tblStyle w:val="3"/>
        <w:tblW w:w="865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2"/>
        <w:gridCol w:w="764"/>
        <w:gridCol w:w="1596"/>
        <w:gridCol w:w="4548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right"/>
        </w:trPr>
        <w:tc>
          <w:tcPr>
            <w:tcW w:w="308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转移支付（项目）名称</w:t>
            </w:r>
          </w:p>
        </w:tc>
        <w:tc>
          <w:tcPr>
            <w:tcW w:w="55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城乡居民基本医疗保险补助资金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3082" w:type="dxa"/>
            <w:gridSpan w:val="3"/>
            <w:noWrap w:val="0"/>
            <w:vAlign w:val="center"/>
          </w:tcPr>
          <w:p>
            <w:pPr>
              <w:spacing w:line="278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地市</w:t>
            </w:r>
          </w:p>
        </w:tc>
        <w:tc>
          <w:tcPr>
            <w:tcW w:w="5577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3082" w:type="dxa"/>
            <w:gridSpan w:val="3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财政部门</w:t>
            </w:r>
          </w:p>
        </w:tc>
        <w:tc>
          <w:tcPr>
            <w:tcW w:w="55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惠州市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财政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atLeast"/>
          <w:jc w:val="right"/>
        </w:trPr>
        <w:tc>
          <w:tcPr>
            <w:tcW w:w="3082" w:type="dxa"/>
            <w:gridSpan w:val="3"/>
            <w:noWrap w:val="0"/>
            <w:vAlign w:val="center"/>
          </w:tcPr>
          <w:p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主管部门</w:t>
            </w:r>
          </w:p>
        </w:tc>
        <w:tc>
          <w:tcPr>
            <w:tcW w:w="55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惠州市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right"/>
        </w:trPr>
        <w:tc>
          <w:tcPr>
            <w:tcW w:w="722" w:type="dxa"/>
            <w:vMerge w:val="restart"/>
            <w:noWrap w:val="0"/>
            <w:vAlign w:val="top"/>
          </w:tcPr>
          <w:p>
            <w:pPr>
              <w:spacing w:before="382" w:line="288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资金</w:t>
            </w:r>
          </w:p>
          <w:p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情况</w:t>
            </w: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年度金额</w:t>
            </w:r>
          </w:p>
        </w:tc>
        <w:tc>
          <w:tcPr>
            <w:tcW w:w="5577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其中：中央资金</w:t>
            </w:r>
          </w:p>
        </w:tc>
        <w:tc>
          <w:tcPr>
            <w:tcW w:w="5577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省级资金</w:t>
            </w:r>
          </w:p>
        </w:tc>
        <w:tc>
          <w:tcPr>
            <w:tcW w:w="5577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1090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其他资金</w:t>
            </w:r>
          </w:p>
        </w:tc>
        <w:tc>
          <w:tcPr>
            <w:tcW w:w="5577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7" w:hRule="atLeast"/>
          <w:jc w:val="right"/>
        </w:trPr>
        <w:tc>
          <w:tcPr>
            <w:tcW w:w="722" w:type="dxa"/>
            <w:noWrap w:val="0"/>
            <w:vAlign w:val="top"/>
          </w:tcPr>
          <w:p>
            <w:pPr>
              <w:spacing w:before="257" w:line="27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年度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目标</w:t>
            </w:r>
          </w:p>
        </w:tc>
        <w:tc>
          <w:tcPr>
            <w:tcW w:w="7937" w:type="dxa"/>
            <w:gridSpan w:val="4"/>
            <w:noWrap w:val="0"/>
            <w:vAlign w:val="top"/>
          </w:tcPr>
          <w:p>
            <w:pPr>
              <w:spacing w:before="81" w:line="32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目标1：巩固参保率。</w:t>
            </w:r>
          </w:p>
          <w:p>
            <w:pPr>
              <w:spacing w:line="32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目标2：稳步提高保障水平。</w:t>
            </w:r>
          </w:p>
          <w:p>
            <w:pPr>
              <w:spacing w:line="32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目标3：实现基金收支平衡。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  <w:jc w:val="right"/>
        </w:trPr>
        <w:tc>
          <w:tcPr>
            <w:tcW w:w="722" w:type="dxa"/>
            <w:vMerge w:val="restart"/>
            <w:noWrap w:val="0"/>
            <w:vAlign w:val="top"/>
          </w:tcPr>
          <w:p>
            <w:pPr>
              <w:spacing w:before="2367" w:line="27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绩效</w:t>
            </w:r>
          </w:p>
          <w:p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一级指标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二级指标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三级指标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spacing w:line="288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产出指标</w:t>
            </w:r>
          </w:p>
        </w:tc>
        <w:tc>
          <w:tcPr>
            <w:tcW w:w="15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数量指标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指标1：参保人数（人）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highlight w:val="no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highlight w:val="none"/>
                <w:lang w:val="en-US" w:eastAsia="zh-CN"/>
              </w:rPr>
              <w:t>230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highlight w:val="none"/>
              </w:rPr>
              <w:t>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指标2：各级财政实际补助标准（元）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≥6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质量指标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指标1：以户籍人口数为基数计算的基本医保综合参保率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：重复参保人数（人）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pacing w:line="26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：虚报参保人数（人）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：参保人政策范围内住院费用报销比例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≥70％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：参保人住院费用实际报销比例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≥55%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：实行按病种（组）、按人头付费等支付方式改革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逐步推开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pacing w:line="30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：基金滚存结余可支配月数（月）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6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：开展门诊统筹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普遍开展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righ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满意度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服务对象满意度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spacing w:line="270" w:lineRule="exact"/>
              <w:ind w:firstLine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参保对象满意度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</w:rPr>
              <w:t>≥85%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D6643"/>
    <w:rsid w:val="40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2024-10-18T06:05:00Z</dcterms:created>
  <dc:creator>陈倩茹</dc:creator>
  <cp:lastModifiedBy>陈倩茹</cp:lastModifiedBy>
  <dcterms:modified xsi:type="dcterms:W3CDTF">2024-10-18T06:05:33Z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A8502897B51540E19D5DB67A92FA8D79</vt:lpwstr>
  </property>
</Properties>
</file>