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338号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bookmarkStart w:id="2" w:name="_GoBack"/>
      <w:r>
        <w:rPr>
          <w:rFonts w:hint="eastAsia" w:ascii="Times New Roman" w:hAnsi="方正小标宋_GBK" w:eastAsia="方正小标宋_GBK" w:cs="方正小标宋_GBK"/>
          <w:b/>
          <w:bCs w:val="0"/>
          <w:snapToGrid w:val="0"/>
          <w:color w:val="auto"/>
          <w:spacing w:val="0"/>
          <w:w w:val="100"/>
          <w:kern w:val="0"/>
          <w:position w:val="0"/>
          <w:sz w:val="44"/>
          <w:szCs w:val="44"/>
          <w:lang w:val="en-US" w:eastAsia="zh-CN"/>
        </w:rPr>
        <w:t>惠州市惠阳区自然资源局关于</w:t>
      </w:r>
      <w:r>
        <w:rPr>
          <w:rFonts w:hint="eastAsia" w:ascii="Times New Roman" w:hAnsi="方正小标宋_GBK" w:eastAsia="方正小标宋_GBK" w:cs="方正小标宋_GBK"/>
          <w:b/>
          <w:bCs w:val="0"/>
          <w:snapToGrid w:val="0"/>
          <w:color w:val="auto"/>
          <w:spacing w:val="0"/>
          <w:w w:val="100"/>
          <w:kern w:val="0"/>
          <w:position w:val="0"/>
          <w:sz w:val="44"/>
          <w:szCs w:val="44"/>
        </w:rPr>
        <w:t>惠州市惠阳区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202</w:t>
      </w:r>
      <w:r>
        <w:rPr>
          <w:rFonts w:hint="eastAsia" w:ascii="Times New Roman" w:hAnsi="方正小标宋_GBK" w:eastAsia="方正小标宋_GBK" w:cs="方正小标宋_GBK"/>
          <w:b/>
          <w:bCs w:val="0"/>
          <w:snapToGrid w:val="0"/>
          <w:color w:val="auto"/>
          <w:spacing w:val="0"/>
          <w:w w:val="100"/>
          <w:kern w:val="0"/>
          <w:position w:val="0"/>
          <w:sz w:val="44"/>
          <w:szCs w:val="44"/>
          <w:lang w:val="en-US" w:eastAsia="zh-CN"/>
        </w:rPr>
        <w:t>4</w:t>
      </w:r>
      <w:r>
        <w:rPr>
          <w:rFonts w:hint="eastAsia" w:ascii="Times New Roman" w:hAnsi="方正小标宋_GBK" w:eastAsia="方正小标宋_GBK" w:cs="方正小标宋_GBK"/>
          <w:b/>
          <w:bCs w:val="0"/>
          <w:snapToGrid w:val="0"/>
          <w:color w:val="auto"/>
          <w:spacing w:val="0"/>
          <w:w w:val="100"/>
          <w:kern w:val="0"/>
          <w:position w:val="0"/>
          <w:sz w:val="44"/>
          <w:szCs w:val="44"/>
        </w:rPr>
        <w:t>年度第</w:t>
      </w:r>
      <w:r>
        <w:rPr>
          <w:rFonts w:hint="eastAsia" w:ascii="Times New Roman" w:hAnsi="方正小标宋_GBK" w:eastAsia="方正小标宋_GBK" w:cs="方正小标宋_GBK"/>
          <w:b/>
          <w:bCs w:val="0"/>
          <w:snapToGrid w:val="0"/>
          <w:color w:val="auto"/>
          <w:spacing w:val="0"/>
          <w:w w:val="100"/>
          <w:kern w:val="0"/>
          <w:position w:val="0"/>
          <w:sz w:val="44"/>
          <w:szCs w:val="44"/>
          <w:lang w:val="en-US" w:eastAsia="zh-CN"/>
        </w:rPr>
        <w:t>十六</w:t>
      </w:r>
      <w:r>
        <w:rPr>
          <w:rFonts w:hint="eastAsia" w:ascii="Times New Roman" w:hAnsi="方正小标宋_GBK" w:eastAsia="方正小标宋_GBK" w:cs="方正小标宋_GBK"/>
          <w:b/>
          <w:bCs w:val="0"/>
          <w:snapToGrid w:val="0"/>
          <w:color w:val="auto"/>
          <w:spacing w:val="0"/>
          <w:w w:val="100"/>
          <w:kern w:val="0"/>
          <w:position w:val="0"/>
          <w:sz w:val="44"/>
          <w:szCs w:val="44"/>
        </w:rPr>
        <w:t>批次城镇建设用地</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征地补偿安置方案</w:t>
      </w:r>
    </w:p>
    <w:bookmarkEnd w:id="2"/>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人民政府研究</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方正仿宋_GBK" w:eastAsia="方正仿宋_GBK" w:cs="方正仿宋_GBK"/>
          <w:b w:val="0"/>
          <w:bCs/>
          <w:snapToGrid w:val="0"/>
          <w:color w:val="auto"/>
          <w:spacing w:val="0"/>
          <w:w w:val="100"/>
          <w:kern w:val="0"/>
          <w:position w:val="0"/>
          <w:sz w:val="32"/>
          <w:szCs w:val="32"/>
          <w:u w:val="none"/>
        </w:rPr>
        <w:t>，拟征收</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惠阳区镇隆镇皇后村黄屋股份经济合作社、惠州市惠阳区镇隆镇皇后村楼下股份经济合作社、惠州市惠阳区镇隆镇皇后村破塘股份经济合作社、惠州市惠阳区镇隆镇皇后村石屋股份经济合作社、惠州市惠阳区镇隆镇皇后村钟屋股份经济合作社、惠州市惠阳区镇隆镇皇后股份经济合作联合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所有的</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面积合计1.0823</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方正仿宋_GBK" w:eastAsia="方正仿宋_GBK" w:cs="方正仿宋_GBK"/>
          <w:b w:val="0"/>
          <w:bCs/>
          <w:snapToGrid w:val="0"/>
          <w:color w:val="auto"/>
          <w:spacing w:val="0"/>
          <w:w w:val="100"/>
          <w:kern w:val="0"/>
          <w:position w:val="0"/>
          <w:sz w:val="32"/>
          <w:szCs w:val="32"/>
          <w:u w:val="none"/>
        </w:rPr>
        <w:t>土地</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作为惠州市惠阳区2024年度第十六批次城镇建设用地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根据《</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惠州市人民政府关于公布实施</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惠州市</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方正仿宋_GBK"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方正仿宋_GBK"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bookmarkStart w:id="1" w:name="_Toc16733"/>
      <w:r>
        <w:rPr>
          <w:rFonts w:hint="eastAsia" w:ascii="Times New Roman" w:hAnsi="方正黑体_GBK" w:eastAsia="方正黑体_GBK" w:cs="方正黑体_GBK"/>
          <w:b w:val="0"/>
          <w:bCs/>
          <w:snapToGrid w:val="0"/>
          <w:color w:val="auto"/>
          <w:spacing w:val="0"/>
          <w:w w:val="100"/>
          <w:kern w:val="0"/>
          <w:position w:val="0"/>
          <w:sz w:val="32"/>
          <w:szCs w:val="32"/>
          <w:u w:val="none"/>
        </w:rPr>
        <w:t>一、</w:t>
      </w:r>
      <w:bookmarkEnd w:id="1"/>
      <w:r>
        <w:rPr>
          <w:rFonts w:hint="eastAsia" w:ascii="Times New Roman" w:hAnsi="方正黑体_GBK"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拟征收土地位于</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rPr>
        <w:t>惠阳区</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镇隆镇皇后</w:t>
      </w:r>
      <w:r>
        <w:rPr>
          <w:rFonts w:hint="eastAsia" w:ascii="Times New Roman" w:hAnsi="方正仿宋_GBK" w:eastAsia="方正仿宋_GBK" w:cs="方正仿宋_GBK"/>
          <w:b w:val="0"/>
          <w:bCs/>
          <w:snapToGrid w:val="0"/>
          <w:color w:val="auto"/>
          <w:spacing w:val="0"/>
          <w:w w:val="100"/>
          <w:kern w:val="0"/>
          <w:position w:val="0"/>
          <w:sz w:val="32"/>
          <w:szCs w:val="32"/>
        </w:rPr>
        <w:t>村地段</w:t>
      </w:r>
      <w:r>
        <w:rPr>
          <w:rFonts w:hint="eastAsia" w:ascii="Times New Roman" w:hAnsi="方正仿宋_GBK" w:eastAsia="方正仿宋_GBK" w:cs="方正仿宋_GBK"/>
          <w:b w:val="0"/>
          <w:bCs/>
          <w:snapToGrid w:val="0"/>
          <w:color w:val="auto"/>
          <w:spacing w:val="0"/>
          <w:w w:val="100"/>
          <w:kern w:val="0"/>
          <w:position w:val="0"/>
          <w:sz w:val="32"/>
          <w:szCs w:val="32"/>
          <w:u w:val="none"/>
        </w:rPr>
        <w:t>，属</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惠阳区镇隆镇皇后村黄屋股份经济合作社、惠州市惠阳区镇隆镇皇后村楼下股份经济合作社、惠州市惠阳区镇隆镇皇后村破塘股份经济合作社、惠州市惠阳区镇隆镇皇后村石屋股份经济合作社、惠州市惠阳区镇隆镇皇后村钟屋股份经济合作社、惠州市惠阳区镇隆镇皇后股份经济合作联合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所有的集体土地，面积</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合计1.0823</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其中地类和面积分别为：耕地</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1.0822</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公顷；园</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地</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0.0001</w:t>
      </w:r>
      <w:r>
        <w:rPr>
          <w:rFonts w:hint="eastAsia" w:ascii="Times New Roman" w:hAnsi="方正仿宋_GBK" w:eastAsia="方正仿宋_GBK" w:cs="方正仿宋_GBK"/>
          <w:b w:val="0"/>
          <w:bCs/>
          <w:snapToGrid w:val="0"/>
          <w:color w:val="auto"/>
          <w:spacing w:val="0"/>
          <w:w w:val="100"/>
          <w:kern w:val="0"/>
          <w:position w:val="0"/>
          <w:sz w:val="32"/>
          <w:szCs w:val="32"/>
          <w:u w:val="none"/>
        </w:rPr>
        <w:t>公顷。四至范围详见</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惠阳区2024年度第十六批次</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皇后大道（华安路-南大道）工程项目</w:t>
      </w:r>
      <w:r>
        <w:rPr>
          <w:rFonts w:hint="eastAsia" w:ascii="Times New Roman" w:hAnsi="方正仿宋_GBK"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征收耕地</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1.0822</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136.3572</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征收园地</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0.0001</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以上土地补偿及安置补助费共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136.3698</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黑体_GBK" w:eastAsia="方正黑体_GBK" w:cs="方正黑体_GBK"/>
          <w:b w:val="0"/>
          <w:bCs/>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短期农作物、荔枝树、龙眼树</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9.4621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方正黑体_GBK"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0.1624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公顷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惠州市惠阳区人民政府关于印发</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&lt;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&gt;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的通知》（</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1600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259.84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snapToGrid w:val="0"/>
          <w:color w:val="auto"/>
          <w:spacing w:val="0"/>
          <w:w w:val="100"/>
          <w:kern w:val="0"/>
          <w:position w:val="0"/>
          <w:sz w:val="32"/>
          <w:szCs w:val="32"/>
          <w:u w:val="none"/>
          <w:lang w:eastAsia="zh-CN"/>
        </w:rPr>
        <w:t>六、</w:t>
      </w:r>
      <w:r>
        <w:rPr>
          <w:rFonts w:hint="eastAsia" w:ascii="Times New Roman" w:hAnsi="方正黑体_GBK"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方正仿宋_GBK"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2024年度第十六批次</w:t>
      </w:r>
      <w:r>
        <w:rPr>
          <w:rFonts w:hint="eastAsia" w:ascii="Times New Roman" w:hAnsi="方正仿宋_GBK"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征地补偿总费用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405.6719</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136.3698</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9.4621</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259.84</w:t>
      </w:r>
      <w:r>
        <w:rPr>
          <w:rFonts w:hint="eastAsia" w:ascii="Times New Roman" w:hAnsi="方正仿宋_GBK" w:eastAsia="方正仿宋_GBK" w:cs="方正仿宋_GBK"/>
          <w:b w:val="0"/>
          <w:snapToGrid w:val="0"/>
          <w:color w:val="auto"/>
          <w:spacing w:val="0"/>
          <w:w w:val="100"/>
          <w:kern w:val="0"/>
          <w:position w:val="0"/>
          <w:sz w:val="32"/>
          <w:szCs w:val="32"/>
          <w:highlight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方正仿宋_GBK" w:eastAsia="方正仿宋_GBK" w:cs="方正仿宋_GBK"/>
          <w:b w:val="0"/>
          <w:snapToGrid w:val="0"/>
          <w:color w:val="auto"/>
          <w:spacing w:val="0"/>
          <w:w w:val="100"/>
          <w:kern w:val="0"/>
          <w:position w:val="0"/>
          <w:sz w:val="32"/>
          <w:szCs w:val="32"/>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惠州市惠阳区自然资源局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b w:val="0"/>
          <w:bCs w:val="0"/>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21</w:t>
      </w:r>
      <w:r>
        <w:rPr>
          <w:rFonts w:hint="eastAsia" w:ascii="Times New Roman" w:hAnsi="Times New Roman" w:eastAsia="方正仿宋_GBK" w:cs="方正仿宋_GBK"/>
          <w:sz w:val="32"/>
          <w:szCs w:val="32"/>
        </w:rPr>
        <w:t xml:space="preserve">日   </w:t>
      </w: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0AA02D6"/>
    <w:rsid w:val="01671AAF"/>
    <w:rsid w:val="02257B41"/>
    <w:rsid w:val="02E41E33"/>
    <w:rsid w:val="03255DBE"/>
    <w:rsid w:val="03BA40E6"/>
    <w:rsid w:val="04E9136F"/>
    <w:rsid w:val="04FC7FE9"/>
    <w:rsid w:val="06170911"/>
    <w:rsid w:val="06BD0B17"/>
    <w:rsid w:val="07022384"/>
    <w:rsid w:val="072667F0"/>
    <w:rsid w:val="07595D23"/>
    <w:rsid w:val="07931D83"/>
    <w:rsid w:val="07B34D43"/>
    <w:rsid w:val="07E34DC0"/>
    <w:rsid w:val="08005AA1"/>
    <w:rsid w:val="0A50597E"/>
    <w:rsid w:val="0A933C15"/>
    <w:rsid w:val="0AC868F5"/>
    <w:rsid w:val="0B5A1B08"/>
    <w:rsid w:val="0BF80F58"/>
    <w:rsid w:val="0D2C1986"/>
    <w:rsid w:val="0D542DD6"/>
    <w:rsid w:val="0E15075A"/>
    <w:rsid w:val="0E195E1B"/>
    <w:rsid w:val="0E433454"/>
    <w:rsid w:val="11DF5A1F"/>
    <w:rsid w:val="11EC1441"/>
    <w:rsid w:val="12C47492"/>
    <w:rsid w:val="12F026CF"/>
    <w:rsid w:val="13472810"/>
    <w:rsid w:val="136B56B9"/>
    <w:rsid w:val="16EF4938"/>
    <w:rsid w:val="16FB1FDA"/>
    <w:rsid w:val="17635953"/>
    <w:rsid w:val="18DF6257"/>
    <w:rsid w:val="19BE70F8"/>
    <w:rsid w:val="1CFF2112"/>
    <w:rsid w:val="1D1F41CF"/>
    <w:rsid w:val="1E8B69CC"/>
    <w:rsid w:val="1E933A27"/>
    <w:rsid w:val="1F306073"/>
    <w:rsid w:val="20034A0D"/>
    <w:rsid w:val="20125AB4"/>
    <w:rsid w:val="209D15EF"/>
    <w:rsid w:val="210E6900"/>
    <w:rsid w:val="213B726C"/>
    <w:rsid w:val="227617F4"/>
    <w:rsid w:val="22E85EBD"/>
    <w:rsid w:val="235679F5"/>
    <w:rsid w:val="23656CAE"/>
    <w:rsid w:val="237E2F75"/>
    <w:rsid w:val="24F156BE"/>
    <w:rsid w:val="25734F20"/>
    <w:rsid w:val="26661DCE"/>
    <w:rsid w:val="26CE7672"/>
    <w:rsid w:val="270D740C"/>
    <w:rsid w:val="28735B14"/>
    <w:rsid w:val="288F1887"/>
    <w:rsid w:val="29A34022"/>
    <w:rsid w:val="2BE337E1"/>
    <w:rsid w:val="2D034ED1"/>
    <w:rsid w:val="2D5F2DED"/>
    <w:rsid w:val="2E32714A"/>
    <w:rsid w:val="2E3E0013"/>
    <w:rsid w:val="2E9F4845"/>
    <w:rsid w:val="2F0A6AD6"/>
    <w:rsid w:val="2F835477"/>
    <w:rsid w:val="30341BA7"/>
    <w:rsid w:val="30A24E76"/>
    <w:rsid w:val="322D4F85"/>
    <w:rsid w:val="32B1482B"/>
    <w:rsid w:val="333D7806"/>
    <w:rsid w:val="352C623E"/>
    <w:rsid w:val="355C79DA"/>
    <w:rsid w:val="360E356A"/>
    <w:rsid w:val="36872DF7"/>
    <w:rsid w:val="3742026B"/>
    <w:rsid w:val="39A41CD4"/>
    <w:rsid w:val="3A13357B"/>
    <w:rsid w:val="3A27136B"/>
    <w:rsid w:val="3B7054D6"/>
    <w:rsid w:val="3BF65988"/>
    <w:rsid w:val="3F6D296C"/>
    <w:rsid w:val="3FCB5FCC"/>
    <w:rsid w:val="407117ED"/>
    <w:rsid w:val="41DB7AB5"/>
    <w:rsid w:val="437E252F"/>
    <w:rsid w:val="43D33D83"/>
    <w:rsid w:val="44001448"/>
    <w:rsid w:val="4675201F"/>
    <w:rsid w:val="469D6505"/>
    <w:rsid w:val="46B2388A"/>
    <w:rsid w:val="491A442D"/>
    <w:rsid w:val="4A0159D5"/>
    <w:rsid w:val="4B86754A"/>
    <w:rsid w:val="4B9633E8"/>
    <w:rsid w:val="4C3C7FE6"/>
    <w:rsid w:val="4D56558C"/>
    <w:rsid w:val="4DF00BDA"/>
    <w:rsid w:val="4E2558B3"/>
    <w:rsid w:val="4F995518"/>
    <w:rsid w:val="509272AD"/>
    <w:rsid w:val="50D92165"/>
    <w:rsid w:val="50E25BB9"/>
    <w:rsid w:val="52D2608C"/>
    <w:rsid w:val="53730227"/>
    <w:rsid w:val="566B6F45"/>
    <w:rsid w:val="576F2F24"/>
    <w:rsid w:val="58183DA4"/>
    <w:rsid w:val="590470B9"/>
    <w:rsid w:val="597F32F8"/>
    <w:rsid w:val="59D028FF"/>
    <w:rsid w:val="5CBF4BD3"/>
    <w:rsid w:val="5DA70C1B"/>
    <w:rsid w:val="5E392615"/>
    <w:rsid w:val="5EFF7FFB"/>
    <w:rsid w:val="5F4B71E9"/>
    <w:rsid w:val="5FDE0F49"/>
    <w:rsid w:val="60DC5609"/>
    <w:rsid w:val="616F317F"/>
    <w:rsid w:val="61962CA1"/>
    <w:rsid w:val="63A27F23"/>
    <w:rsid w:val="64053B3D"/>
    <w:rsid w:val="653A5553"/>
    <w:rsid w:val="66F77C86"/>
    <w:rsid w:val="672C6706"/>
    <w:rsid w:val="68750EA6"/>
    <w:rsid w:val="694A7ECF"/>
    <w:rsid w:val="6BB640A3"/>
    <w:rsid w:val="6BF03E19"/>
    <w:rsid w:val="6E094067"/>
    <w:rsid w:val="6F161B2E"/>
    <w:rsid w:val="6F572193"/>
    <w:rsid w:val="70DE3649"/>
    <w:rsid w:val="71043DCD"/>
    <w:rsid w:val="722E7969"/>
    <w:rsid w:val="782B556D"/>
    <w:rsid w:val="796C228B"/>
    <w:rsid w:val="7AE40773"/>
    <w:rsid w:val="7B1D42A1"/>
    <w:rsid w:val="7B543003"/>
    <w:rsid w:val="7B7013E9"/>
    <w:rsid w:val="7D5B0A6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napToGrid w:val="0"/>
      <w:spacing w:line="360" w:lineRule="auto"/>
      <w:ind w:firstLine="462"/>
      <w:textAlignment w:val="baseline"/>
    </w:pPr>
    <w:rPr>
      <w:rFonts w:eastAsia="仿宋_GB2312"/>
      <w:kern w:val="0"/>
      <w:sz w:val="24"/>
    </w:rPr>
  </w:style>
  <w:style w:type="paragraph" w:styleId="6">
    <w:name w:val="Body Text"/>
    <w:basedOn w:val="1"/>
    <w:next w:val="1"/>
    <w:qFormat/>
    <w:uiPriority w:val="0"/>
    <w:pPr>
      <w:spacing w:after="120" w:afterLines="0" w:afterAutospacing="0"/>
    </w:pPr>
  </w:style>
  <w:style w:type="paragraph" w:styleId="7">
    <w:name w:val="Body Text Indent"/>
    <w:basedOn w:val="1"/>
    <w:next w:val="5"/>
    <w:unhideWhenUsed/>
    <w:qFormat/>
    <w:uiPriority w:val="99"/>
    <w:pPr>
      <w:ind w:left="420" w:leftChars="200"/>
    </w:pPr>
  </w:style>
  <w:style w:type="paragraph" w:styleId="8">
    <w:name w:val="Block Text"/>
    <w:basedOn w:val="1"/>
    <w:next w:val="1"/>
    <w:qFormat/>
    <w:uiPriority w:val="0"/>
    <w:pPr>
      <w:spacing w:after="120"/>
      <w:ind w:left="1440" w:leftChars="700" w:right="1440" w:rightChars="700"/>
    </w:pPr>
  </w:style>
  <w:style w:type="paragraph" w:styleId="9">
    <w:name w:val="Body Text Indent 2"/>
    <w:qFormat/>
    <w:uiPriority w:val="0"/>
    <w:pPr>
      <w:spacing w:after="120"/>
      <w:ind w:left="420" w:leftChars="200"/>
      <w:jc w:val="both"/>
    </w:pPr>
    <w:rPr>
      <w:rFonts w:ascii="Times New Roman" w:hAnsi="Times New Roman" w:eastAsia="宋体" w:cs="Droid Sans"/>
      <w:sz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7"/>
    <w:next w:val="1"/>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UserStyle_0"/>
    <w:basedOn w:val="19"/>
    <w:next w:val="1"/>
    <w:qFormat/>
    <w:uiPriority w:val="0"/>
    <w:pPr>
      <w:ind w:firstLine="708" w:firstLineChars="236"/>
    </w:pPr>
    <w:rPr>
      <w:rFonts w:ascii="仿宋_GB2312" w:eastAsia="仿宋_GB2312"/>
      <w:sz w:val="30"/>
      <w:szCs w:val="30"/>
    </w:rPr>
  </w:style>
  <w:style w:type="paragraph" w:customStyle="1" w:styleId="19">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2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22">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23">
    <w:name w:val="readonlyfieldval1"/>
    <w:basedOn w:val="17"/>
    <w:qFormat/>
    <w:uiPriority w:val="0"/>
  </w:style>
  <w:style w:type="paragraph" w:customStyle="1" w:styleId="24">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5">
    <w:name w:val="样式1"/>
    <w:basedOn w:val="26"/>
    <w:next w:val="1"/>
    <w:qFormat/>
    <w:uiPriority w:val="0"/>
    <w:rPr>
      <w:rFonts w:ascii="Calibri" w:hAnsi="Calibri" w:eastAsia="方正小标宋_GBK" w:cs="Times New Roman"/>
    </w:rPr>
  </w:style>
  <w:style w:type="paragraph" w:customStyle="1" w:styleId="26">
    <w:name w:val="正文1"/>
    <w:basedOn w:val="27"/>
    <w:next w:val="8"/>
    <w:qFormat/>
    <w:uiPriority w:val="0"/>
    <w:pPr>
      <w:spacing w:line="580" w:lineRule="exact"/>
      <w:ind w:firstLine="880" w:firstLineChars="200"/>
    </w:pPr>
    <w:rPr>
      <w:rFonts w:ascii="仿宋" w:hAnsi="仿宋" w:eastAsia="方正仿宋_GBK" w:cs="仿宋"/>
      <w:kern w:val="6"/>
      <w:sz w:val="32"/>
      <w:szCs w:val="32"/>
    </w:rPr>
  </w:style>
  <w:style w:type="paragraph" w:customStyle="1" w:styleId="27">
    <w:name w:val="正文 New"/>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9">
    <w:name w:val="正文 New New New"/>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标题 3 New"/>
    <w:basedOn w:val="29"/>
    <w:next w:val="29"/>
    <w:qFormat/>
    <w:uiPriority w:val="0"/>
    <w:pPr>
      <w:keepNext/>
      <w:keepLines/>
      <w:spacing w:line="413" w:lineRule="auto"/>
      <w:outlineLvl w:val="2"/>
    </w:pPr>
    <w:rPr>
      <w:b/>
      <w:sz w:val="32"/>
    </w:rPr>
  </w:style>
  <w:style w:type="paragraph" w:styleId="31">
    <w:name w:val="List Paragraph"/>
    <w:basedOn w:val="1"/>
    <w:qFormat/>
    <w:uiPriority w:val="99"/>
    <w:pPr>
      <w:ind w:firstLine="420" w:firstLineChars="200"/>
    </w:pPr>
  </w:style>
  <w:style w:type="paragraph" w:customStyle="1" w:styleId="32">
    <w:name w:val="5 标题样式"/>
    <w:basedOn w:val="1"/>
    <w:next w:val="33"/>
    <w:qFormat/>
    <w:uiPriority w:val="0"/>
    <w:pPr>
      <w:spacing w:line="600" w:lineRule="exact"/>
      <w:jc w:val="center"/>
      <w:outlineLvl w:val="0"/>
    </w:pPr>
    <w:rPr>
      <w:rFonts w:ascii="宋体" w:hAnsi="宋体" w:eastAsia="方正小标宋_GBK" w:cs="宋体"/>
      <w:sz w:val="44"/>
    </w:rPr>
  </w:style>
  <w:style w:type="paragraph" w:customStyle="1" w:styleId="33">
    <w:name w:val="0 基本样式"/>
    <w:basedOn w:val="1"/>
    <w:next w:val="34"/>
    <w:qFormat/>
    <w:uiPriority w:val="0"/>
    <w:pPr>
      <w:spacing w:line="579" w:lineRule="exact"/>
    </w:pPr>
    <w:rPr>
      <w:rFonts w:ascii="Times New Roman" w:hAnsi="Times New Roman" w:eastAsia="方正仿宋_GBK" w:cs="Times New Roman"/>
      <w:sz w:val="32"/>
      <w:szCs w:val="32"/>
    </w:rPr>
  </w:style>
  <w:style w:type="paragraph" w:customStyle="1" w:styleId="34">
    <w:name w:val="7 正文样式"/>
    <w:basedOn w:val="33"/>
    <w:qFormat/>
    <w:uiPriority w:val="0"/>
    <w:pPr>
      <w:ind w:firstLine="640" w:firstLineChars="200"/>
      <w:jc w:val="left"/>
    </w:pPr>
  </w:style>
  <w:style w:type="paragraph" w:customStyle="1" w:styleId="35">
    <w:name w:val="署名与日期"/>
    <w:basedOn w:val="33"/>
    <w:qFormat/>
    <w:uiPriority w:val="0"/>
    <w:pPr>
      <w:jc w:val="right"/>
    </w:pPr>
  </w:style>
  <w:style w:type="character" w:customStyle="1" w:styleId="36">
    <w:name w:val="NormalCharacter"/>
    <w:link w:val="37"/>
    <w:qFormat/>
    <w:uiPriority w:val="0"/>
    <w:rPr>
      <w:kern w:val="0"/>
      <w:sz w:val="20"/>
      <w:szCs w:val="24"/>
    </w:rPr>
  </w:style>
  <w:style w:type="paragraph" w:customStyle="1" w:styleId="37">
    <w:name w:val="UserStyle_2"/>
    <w:basedOn w:val="1"/>
    <w:link w:val="36"/>
    <w:qFormat/>
    <w:uiPriority w:val="0"/>
    <w:pPr>
      <w:jc w:val="both"/>
      <w:textAlignment w:val="baseline"/>
    </w:pPr>
    <w:rPr>
      <w:kern w:val="0"/>
      <w:sz w:val="20"/>
      <w:szCs w:val="24"/>
    </w:rPr>
  </w:style>
  <w:style w:type="paragraph" w:customStyle="1" w:styleId="38">
    <w:name w:val="Normal New"/>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2024-05-21T06:31:52Z</cp:lastPrinted>
  <dcterms:modified xsi:type="dcterms:W3CDTF">2024-05-21T06:32:08Z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6280B6BC7E4F4EBCB68683E27146A21F</vt:lpwstr>
  </property>
</Properties>
</file>