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《惠州市集体土地征收与补偿办法（征求意见稿）</w:t>
      </w:r>
      <w:bookmarkStart w:id="0" w:name="_GoBack"/>
      <w:r>
        <w:rPr>
          <w:rFonts w:hint="eastAsia" w:ascii="方正小标宋简体" w:hAnsi="方正小标宋简体" w:eastAsia="方正小标宋简体"/>
          <w:sz w:val="44"/>
          <w:szCs w:val="44"/>
        </w:rPr>
        <w:t>》</w:t>
      </w:r>
      <w:bookmarkEnd w:id="0"/>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征求意见采纳情况表（社会公众）</w:t>
      </w:r>
    </w:p>
    <w:tbl>
      <w:tblPr>
        <w:tblStyle w:val="15"/>
        <w:tblW w:w="5000" w:type="pct"/>
        <w:tblInd w:w="0" w:type="dxa"/>
        <w:tblLayout w:type="autofit"/>
        <w:tblCellMar>
          <w:top w:w="0" w:type="dxa"/>
          <w:left w:w="108" w:type="dxa"/>
          <w:bottom w:w="0" w:type="dxa"/>
          <w:right w:w="108" w:type="dxa"/>
        </w:tblCellMar>
      </w:tblPr>
      <w:tblGrid>
        <w:gridCol w:w="1148"/>
        <w:gridCol w:w="1780"/>
        <w:gridCol w:w="5826"/>
        <w:gridCol w:w="5420"/>
      </w:tblGrid>
      <w:tr>
        <w:tblPrEx>
          <w:tblCellMar>
            <w:top w:w="0" w:type="dxa"/>
            <w:left w:w="108" w:type="dxa"/>
            <w:bottom w:w="0" w:type="dxa"/>
            <w:right w:w="108" w:type="dxa"/>
          </w:tblCellMar>
        </w:tblPrEx>
        <w:trPr>
          <w:trHeight w:val="340" w:hRule="atLeast"/>
          <w:tblHeader/>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仿宋_GB2312" w:hAnsi="仿宋" w:eastAsia="仿宋_GB2312" w:cs="宋体"/>
                <w:b/>
                <w:bCs/>
                <w:color w:val="000000"/>
                <w:kern w:val="0"/>
                <w:sz w:val="24"/>
                <w:szCs w:val="24"/>
                <w14:ligatures w14:val="none"/>
              </w:rPr>
            </w:pPr>
            <w:r>
              <w:rPr>
                <w:rFonts w:hint="eastAsia" w:ascii="仿宋_GB2312" w:hAnsi="仿宋" w:eastAsia="仿宋_GB2312" w:cs="宋体"/>
                <w:b/>
                <w:bCs/>
                <w:color w:val="000000"/>
                <w:kern w:val="0"/>
                <w:sz w:val="24"/>
                <w:szCs w:val="24"/>
                <w14:ligatures w14:val="none"/>
              </w:rPr>
              <w:t>序号</w:t>
            </w:r>
          </w:p>
        </w:tc>
        <w:tc>
          <w:tcPr>
            <w:tcW w:w="62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 w:eastAsia="仿宋_GB2312" w:cs="宋体"/>
                <w:b/>
                <w:bCs/>
                <w:color w:val="000000"/>
                <w:kern w:val="0"/>
                <w:sz w:val="24"/>
                <w:szCs w:val="24"/>
                <w14:ligatures w14:val="none"/>
              </w:rPr>
            </w:pPr>
            <w:r>
              <w:rPr>
                <w:rFonts w:hint="eastAsia" w:ascii="仿宋_GB2312" w:hAnsi="仿宋" w:eastAsia="仿宋_GB2312" w:cs="宋体"/>
                <w:b/>
                <w:bCs/>
                <w:color w:val="000000"/>
                <w:kern w:val="0"/>
                <w:sz w:val="24"/>
                <w:szCs w:val="24"/>
                <w14:ligatures w14:val="none"/>
              </w:rPr>
              <w:t>反馈途径</w:t>
            </w:r>
          </w:p>
        </w:tc>
        <w:tc>
          <w:tcPr>
            <w:tcW w:w="205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 w:eastAsia="仿宋_GB2312" w:cs="宋体"/>
                <w:b/>
                <w:bCs/>
                <w:color w:val="000000"/>
                <w:kern w:val="0"/>
                <w:sz w:val="24"/>
                <w:szCs w:val="24"/>
                <w14:ligatures w14:val="none"/>
              </w:rPr>
            </w:pPr>
            <w:r>
              <w:rPr>
                <w:rFonts w:hint="eastAsia" w:ascii="仿宋_GB2312" w:hAnsi="仿宋" w:eastAsia="仿宋_GB2312" w:cs="宋体"/>
                <w:b/>
                <w:bCs/>
                <w:color w:val="000000"/>
                <w:kern w:val="0"/>
                <w:sz w:val="24"/>
                <w:szCs w:val="24"/>
                <w14:ligatures w14:val="none"/>
              </w:rPr>
              <w:t>反馈意见内容</w:t>
            </w:r>
          </w:p>
        </w:tc>
        <w:tc>
          <w:tcPr>
            <w:tcW w:w="191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_GB2312" w:hAnsi="仿宋" w:eastAsia="仿宋_GB2312" w:cs="宋体"/>
                <w:b/>
                <w:bCs/>
                <w:color w:val="000000"/>
                <w:kern w:val="0"/>
                <w:sz w:val="24"/>
                <w:szCs w:val="24"/>
                <w14:ligatures w14:val="none"/>
              </w:rPr>
            </w:pPr>
            <w:r>
              <w:rPr>
                <w:rFonts w:hint="eastAsia" w:ascii="仿宋_GB2312" w:hAnsi="仿宋" w:eastAsia="仿宋_GB2312" w:cs="宋体"/>
                <w:b/>
                <w:bCs/>
                <w:color w:val="000000"/>
                <w:kern w:val="0"/>
                <w:sz w:val="24"/>
                <w:szCs w:val="24"/>
                <w14:ligatures w14:val="none"/>
              </w:rPr>
              <w:t>处理意见</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1</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通过邮件形式反馈</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附件</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 xml:space="preserve"> 青苗补偿标准（果树）里面的序号</w:t>
            </w:r>
            <w:r>
              <w:rPr>
                <w:rFonts w:hint="eastAsia" w:ascii="宋体" w:hAnsi="宋体" w:eastAsia="仿宋_GB2312" w:cs="宋体"/>
                <w:color w:val="000000"/>
                <w:kern w:val="0"/>
                <w:sz w:val="24"/>
                <w:szCs w:val="24"/>
                <w14:ligatures w14:val="none"/>
              </w:rPr>
              <w:t>6</w:t>
            </w:r>
            <w:r>
              <w:rPr>
                <w:rFonts w:hint="eastAsia" w:ascii="仿宋_GB2312" w:hAnsi="仿宋" w:eastAsia="仿宋_GB2312" w:cs="宋体"/>
                <w:color w:val="000000"/>
                <w:kern w:val="0"/>
                <w:sz w:val="24"/>
                <w:szCs w:val="24"/>
                <w14:ligatures w14:val="none"/>
              </w:rPr>
              <w:t>“蕉类（香蕉、芭蕉、米蕉）”，其补偿规格第一条“高度</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5</w:t>
            </w:r>
            <w:r>
              <w:rPr>
                <w:rFonts w:hint="eastAsia" w:ascii="仿宋_GB2312" w:hAnsi="仿宋" w:eastAsia="仿宋_GB2312" w:cs="宋体"/>
                <w:color w:val="000000"/>
                <w:kern w:val="0"/>
                <w:sz w:val="24"/>
                <w:szCs w:val="24"/>
                <w14:ligatures w14:val="none"/>
              </w:rPr>
              <w:t>米及以下”与第二条“高度</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5</w:t>
            </w:r>
            <w:r>
              <w:rPr>
                <w:rFonts w:hint="eastAsia" w:ascii="仿宋_GB2312" w:hAnsi="仿宋" w:eastAsia="仿宋_GB2312" w:cs="宋体"/>
                <w:color w:val="000000"/>
                <w:kern w:val="0"/>
                <w:sz w:val="24"/>
                <w:szCs w:val="24"/>
                <w14:ligatures w14:val="none"/>
              </w:rPr>
              <w:t>（含）-</w:t>
            </w: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5</w:t>
            </w:r>
            <w:r>
              <w:rPr>
                <w:rFonts w:hint="eastAsia" w:ascii="仿宋_GB2312" w:hAnsi="仿宋" w:eastAsia="仿宋_GB2312" w:cs="宋体"/>
                <w:color w:val="000000"/>
                <w:kern w:val="0"/>
                <w:sz w:val="24"/>
                <w:szCs w:val="24"/>
                <w14:ligatures w14:val="none"/>
              </w:rPr>
              <w:t>米”是否存在重叠部分（即高度</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5</w:t>
            </w:r>
            <w:r>
              <w:rPr>
                <w:rFonts w:hint="eastAsia" w:ascii="仿宋_GB2312" w:hAnsi="仿宋" w:eastAsia="仿宋_GB2312" w:cs="宋体"/>
                <w:color w:val="000000"/>
                <w:kern w:val="0"/>
                <w:sz w:val="24"/>
                <w:szCs w:val="24"/>
                <w14:ligatures w14:val="none"/>
              </w:rPr>
              <w:t>米应适用第一条还是第二条的规格）？参考下文其他补偿物的描述，序号</w:t>
            </w:r>
            <w:r>
              <w:rPr>
                <w:rFonts w:hint="eastAsia" w:ascii="宋体" w:hAnsi="宋体" w:eastAsia="仿宋_GB2312" w:cs="宋体"/>
                <w:color w:val="000000"/>
                <w:kern w:val="0"/>
                <w:sz w:val="24"/>
                <w:szCs w:val="24"/>
                <w14:ligatures w14:val="none"/>
              </w:rPr>
              <w:t>6</w:t>
            </w:r>
            <w:r>
              <w:rPr>
                <w:rFonts w:hint="eastAsia" w:ascii="仿宋_GB2312" w:hAnsi="仿宋" w:eastAsia="仿宋_GB2312" w:cs="宋体"/>
                <w:color w:val="000000"/>
                <w:kern w:val="0"/>
                <w:sz w:val="24"/>
                <w:szCs w:val="24"/>
                <w14:ligatures w14:val="none"/>
              </w:rPr>
              <w:t>蕉类的补偿规格第一条是否描述为“高度</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5</w:t>
            </w:r>
            <w:r>
              <w:rPr>
                <w:rFonts w:hint="eastAsia" w:ascii="仿宋_GB2312" w:hAnsi="仿宋" w:eastAsia="仿宋_GB2312" w:cs="宋体"/>
                <w:color w:val="000000"/>
                <w:kern w:val="0"/>
                <w:sz w:val="24"/>
                <w:szCs w:val="24"/>
                <w14:ligatures w14:val="none"/>
              </w:rPr>
              <w:t>米以下”（即去掉“及”字）会更加精确？</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采纳</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2</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通过邮件形式反馈</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未利用地上自然生长树木，在《办法》中无法找到补偿依据，建议增加“青苗补偿标准（未利用地）”。</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未采纳：涉及确需补偿的，可以参考同类型补偿标准，也可以按照征求意见稿第六十六条规定通过评估确定。</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3</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通过邮件形式反馈</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附件</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“青苗补偿标准（短期农作物）”，实际实施过程中，农民的想法是，农作物按短期和征地按长期，相互矛盾，应该考虑增加年度维度，例如按</w:t>
            </w:r>
            <w:r>
              <w:rPr>
                <w:rFonts w:hint="eastAsia" w:ascii="宋体" w:hAnsi="宋体" w:eastAsia="仿宋_GB2312" w:cs="宋体"/>
                <w:color w:val="000000"/>
                <w:kern w:val="0"/>
                <w:sz w:val="24"/>
                <w:szCs w:val="24"/>
                <w14:ligatures w14:val="none"/>
              </w:rPr>
              <w:t>20</w:t>
            </w:r>
            <w:r>
              <w:rPr>
                <w:rFonts w:hint="eastAsia" w:ascii="仿宋_GB2312" w:hAnsi="仿宋" w:eastAsia="仿宋_GB2312" w:cs="宋体"/>
                <w:color w:val="000000"/>
                <w:kern w:val="0"/>
                <w:sz w:val="24"/>
                <w:szCs w:val="24"/>
                <w14:ligatures w14:val="none"/>
              </w:rPr>
              <w:t>年农作物价值进行补偿</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未采纳：补偿标准是针对青苗现状的补偿。</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4</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通过邮件形式反馈</w:t>
            </w:r>
          </w:p>
        </w:tc>
        <w:tc>
          <w:tcPr>
            <w:tcW w:w="2055" w:type="pct"/>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建议发布农村集体土地征收公告设立一个征收截止日期。（国有土地征收就有明确征收时间）目前惠州有很多地方都发布了征收公告但没有一个明确的征收时间，征收项目遥遥无期，这很不合理。长期不征收理应要重新评估更新征收公告。征收公告发布后，一些政府部门就停止办理各类手续，例如场地使用证明，影响经营，影响营业，无形中减少经济损失。</w:t>
            </w:r>
          </w:p>
          <w:p>
            <w:pPr>
              <w:widowControl/>
              <w:jc w:val="left"/>
              <w:rPr>
                <w:rFonts w:hint="eastAsia" w:ascii="仿宋_GB2312" w:hAnsi="仿宋" w:eastAsia="仿宋_GB2312" w:cs="宋体"/>
                <w:color w:val="000000"/>
                <w:kern w:val="0"/>
                <w:sz w:val="24"/>
                <w:szCs w:val="24"/>
                <w14:ligatures w14:val="none"/>
              </w:rPr>
            </w:pP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采纳：征求意见稿第七条最后一款已作出相关规定。</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5</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通过网站反馈</w:t>
            </w:r>
          </w:p>
        </w:tc>
        <w:tc>
          <w:tcPr>
            <w:tcW w:w="2055"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本人发现管理办法中没有提及。分配人员的一个份额问题。因为像登记的农村老房子当中有许多已经是已故的长辈。那有些事和长辈共同登记在房产证上面或者是其他证件上面。那像这种有体固的长辈共同登记的情况如何去分配？因为涉及的问题居多，也绝不止一个案例。希望政府能出一个解决办法，因为涉及到换证和补偿分放的问题。同时被征收的土地和房屋应当参考市场价值。例如已经取得国有土地已经提交土地出让金的房屋。应当按照市场价值</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或超出该补偿比例你让村民方便有资金另找地块重新建设房屋。</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.征求意见稿第二十八条已经作出了规定，即多户共有的祖屋或者多户合建住宅的，根据产权证确定各户的宅基地面积以及房屋建筑面积；没有办理产权证的，应当分别认定各户的宅基地面积以及房屋建筑面积。</w:t>
            </w:r>
          </w:p>
          <w:p>
            <w:pPr>
              <w:widowControl/>
              <w:jc w:val="left"/>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.对于国有土地上的房屋应按照《国有土地上房屋征收与补偿条例》（国务院</w:t>
            </w:r>
            <w:r>
              <w:rPr>
                <w:rFonts w:hint="eastAsia" w:ascii="宋体" w:hAnsi="宋体" w:eastAsia="仿宋_GB2312" w:cs="宋体"/>
                <w:color w:val="000000"/>
                <w:kern w:val="0"/>
                <w:sz w:val="24"/>
                <w:szCs w:val="24"/>
                <w14:ligatures w14:val="none"/>
              </w:rPr>
              <w:t>590</w:t>
            </w:r>
            <w:r>
              <w:rPr>
                <w:rFonts w:hint="eastAsia" w:ascii="仿宋_GB2312" w:hAnsi="仿宋" w:eastAsia="仿宋_GB2312" w:cs="宋体"/>
                <w:color w:val="000000"/>
                <w:kern w:val="0"/>
                <w:sz w:val="24"/>
                <w:szCs w:val="24"/>
                <w14:ligatures w14:val="none"/>
              </w:rPr>
              <w:t>号令）等有关规定执行。</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6</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通过网站反馈</w:t>
            </w:r>
          </w:p>
        </w:tc>
        <w:tc>
          <w:tcPr>
            <w:tcW w:w="2055"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村民的房屋符合宅基地要求的但多数村民又不同意你申请宅基地，甚至当地基层政府（如街道办）在申请人提交的房地一体资料都合法审批的情况下与村小组一起阻碍合法申请宅基地申请人办理房地一体产权证呢?也要多数服从少数来表决公示吗？</w:t>
            </w:r>
          </w:p>
          <w:p>
            <w:pPr>
              <w:widowControl/>
              <w:jc w:val="left"/>
              <w:rPr>
                <w:rFonts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.村民的房屋（老屋是祖宅</w:t>
            </w:r>
            <w:r>
              <w:rPr>
                <w:rFonts w:hint="eastAsia" w:ascii="宋体" w:hAnsi="宋体" w:eastAsia="仿宋_GB2312" w:cs="宋体"/>
                <w:color w:val="000000"/>
                <w:kern w:val="0"/>
                <w:sz w:val="24"/>
                <w:szCs w:val="24"/>
                <w14:ligatures w14:val="none"/>
              </w:rPr>
              <w:t>1971</w:t>
            </w:r>
            <w:r>
              <w:rPr>
                <w:rFonts w:hint="eastAsia" w:ascii="仿宋_GB2312" w:hAnsi="仿宋" w:eastAsia="仿宋_GB2312" w:cs="宋体"/>
                <w:color w:val="000000"/>
                <w:kern w:val="0"/>
                <w:sz w:val="24"/>
                <w:szCs w:val="24"/>
                <w14:ligatures w14:val="none"/>
              </w:rPr>
              <w:t>年建的）符合办理国有产权证的当地基层街道办一直拖着不给办理征收时是按国有用地来征吗？</w:t>
            </w:r>
          </w:p>
          <w:p>
            <w:pPr>
              <w:widowControl/>
              <w:jc w:val="left"/>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.祖宅门前的院子又是按什么标准来征的。</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.宅基地申请应当符合国土空间规划，不得占用永久基本农田和生态保护红线，并应当按照有关法律、法规和政策规定办理用地手续。</w:t>
            </w:r>
          </w:p>
          <w:p>
            <w:pPr>
              <w:widowControl/>
              <w:jc w:val="left"/>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.对于国有土地上的房屋应按照《国有土地上房屋征收与补偿条例》（国务院</w:t>
            </w:r>
            <w:r>
              <w:rPr>
                <w:rFonts w:hint="eastAsia" w:ascii="宋体" w:hAnsi="宋体" w:eastAsia="仿宋_GB2312" w:cs="宋体"/>
                <w:color w:val="000000"/>
                <w:kern w:val="0"/>
                <w:sz w:val="24"/>
                <w:szCs w:val="24"/>
                <w14:ligatures w14:val="none"/>
              </w:rPr>
              <w:t>590</w:t>
            </w:r>
            <w:r>
              <w:rPr>
                <w:rFonts w:hint="eastAsia" w:ascii="仿宋_GB2312" w:hAnsi="仿宋" w:eastAsia="仿宋_GB2312" w:cs="宋体"/>
                <w:color w:val="000000"/>
                <w:kern w:val="0"/>
                <w:sz w:val="24"/>
                <w:szCs w:val="24"/>
                <w14:ligatures w14:val="none"/>
              </w:rPr>
              <w:t>号令）等有关规定执行。</w:t>
            </w:r>
          </w:p>
          <w:p>
            <w:pPr>
              <w:widowControl/>
              <w:jc w:val="left"/>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.征求意见稿第三十二条已对宅基地使用权补偿面积作出了规定。</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7</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通过网站反馈</w:t>
            </w:r>
          </w:p>
        </w:tc>
        <w:tc>
          <w:tcPr>
            <w:tcW w:w="2055"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《补偿办法》附件</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1</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4</w:t>
            </w:r>
            <w:r>
              <w:rPr>
                <w:rFonts w:hint="eastAsia" w:ascii="仿宋_GB2312" w:hAnsi="仿宋" w:eastAsia="仿宋_GB2312" w:cs="宋体"/>
                <w:color w:val="000000"/>
                <w:kern w:val="0"/>
                <w:sz w:val="24"/>
                <w:szCs w:val="24"/>
                <w14:ligatures w14:val="none"/>
              </w:rPr>
              <w:t>所述青苗补偿标准（果树）、（苗圃场）、（林地）均较为突出人工成片种植、经济树木的特点，但实际应用中，经常会碰到例如村道田埂旁或未利用荒地上零星人工种植或自然生长的非经济树木或杂树，这类青苗赔偿无法在《补偿办法》中找到相关依据，建议增加青苗补偿标准（其他树木）。</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未采纳：涉及确需补偿的，可以参考同类型补偿标准，也可以按照征求意见稿第六十六条规定通过评估确定。</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宋体"/>
                <w:color w:val="000000"/>
                <w:kern w:val="0"/>
                <w:sz w:val="24"/>
                <w:szCs w:val="24"/>
                <w14:ligatures w14:val="none"/>
              </w:rPr>
            </w:pPr>
            <w:r>
              <w:rPr>
                <w:rFonts w:hint="eastAsia" w:ascii="宋体" w:hAnsi="宋体" w:eastAsia="仿宋_GB2312" w:cs="宋体"/>
                <w:color w:val="000000"/>
                <w:kern w:val="0"/>
                <w:sz w:val="24"/>
                <w:szCs w:val="24"/>
                <w14:ligatures w14:val="none"/>
              </w:rPr>
              <w:t>8</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通过网站反馈</w:t>
            </w:r>
          </w:p>
        </w:tc>
        <w:tc>
          <w:tcPr>
            <w:tcW w:w="2055"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《补偿办法》附件</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所述青苗补偿标准（短期农作物）耕地补偿计算维度过于单一，在实际应用中村民认为耕地上农作物虽然是短期收获，但是在一年内可以反复耕种</w:t>
            </w:r>
            <w:r>
              <w:rPr>
                <w:rFonts w:hint="eastAsia" w:ascii="宋体" w:hAnsi="宋体" w:eastAsia="仿宋_GB2312" w:cs="宋体"/>
                <w:color w:val="000000"/>
                <w:kern w:val="0"/>
                <w:sz w:val="24"/>
                <w:szCs w:val="24"/>
                <w14:ligatures w14:val="none"/>
              </w:rPr>
              <w:t>2</w:t>
            </w:r>
            <w:r>
              <w:rPr>
                <w:rFonts w:hint="eastAsia" w:ascii="仿宋_GB2312" w:hAnsi="仿宋" w:eastAsia="仿宋_GB2312" w:cs="宋体"/>
                <w:color w:val="000000"/>
                <w:kern w:val="0"/>
                <w:sz w:val="24"/>
                <w:szCs w:val="24"/>
                <w14:ligatures w14:val="none"/>
              </w:rPr>
              <w:t>-</w:t>
            </w:r>
            <w:r>
              <w:rPr>
                <w:rFonts w:hint="eastAsia" w:ascii="宋体" w:hAnsi="宋体" w:eastAsia="仿宋_GB2312" w:cs="宋体"/>
                <w:color w:val="000000"/>
                <w:kern w:val="0"/>
                <w:sz w:val="24"/>
                <w:szCs w:val="24"/>
                <w14:ligatures w14:val="none"/>
              </w:rPr>
              <w:t>3</w:t>
            </w:r>
            <w:r>
              <w:rPr>
                <w:rFonts w:hint="eastAsia" w:ascii="仿宋_GB2312" w:hAnsi="仿宋" w:eastAsia="仿宋_GB2312" w:cs="宋体"/>
                <w:color w:val="000000"/>
                <w:kern w:val="0"/>
                <w:sz w:val="24"/>
                <w:szCs w:val="24"/>
                <w14:ligatures w14:val="none"/>
              </w:rPr>
              <w:t>茬，每年都可以收成，按亩一次性补偿</w:t>
            </w:r>
            <w:r>
              <w:rPr>
                <w:rFonts w:hint="eastAsia" w:ascii="宋体" w:hAnsi="宋体" w:eastAsia="仿宋_GB2312" w:cs="宋体"/>
                <w:color w:val="000000"/>
                <w:kern w:val="0"/>
                <w:sz w:val="24"/>
                <w:szCs w:val="24"/>
                <w14:ligatures w14:val="none"/>
              </w:rPr>
              <w:t>6</w:t>
            </w:r>
            <w:r>
              <w:rPr>
                <w:rFonts w:hint="eastAsia" w:ascii="仿宋_GB2312" w:hAnsi="仿宋" w:eastAsia="仿宋_GB2312" w:cs="宋体"/>
                <w:color w:val="000000"/>
                <w:kern w:val="0"/>
                <w:sz w:val="24"/>
                <w:szCs w:val="24"/>
                <w14:ligatures w14:val="none"/>
              </w:rPr>
              <w:t>千不能真实反映该耕地的真实经济价值，农作物按短期与补偿按长期一次支付，相互矛盾。需要增加维度进行计算，例如每亩每年补偿</w:t>
            </w:r>
            <w:r>
              <w:rPr>
                <w:rFonts w:hint="eastAsia" w:ascii="宋体" w:hAnsi="宋体" w:eastAsia="仿宋_GB2312" w:cs="宋体"/>
                <w:color w:val="000000"/>
                <w:kern w:val="0"/>
                <w:sz w:val="24"/>
                <w:szCs w:val="24"/>
                <w14:ligatures w14:val="none"/>
              </w:rPr>
              <w:t>6</w:t>
            </w:r>
            <w:r>
              <w:rPr>
                <w:rFonts w:hint="eastAsia" w:ascii="仿宋_GB2312" w:hAnsi="仿宋" w:eastAsia="仿宋_GB2312" w:cs="宋体"/>
                <w:color w:val="000000"/>
                <w:kern w:val="0"/>
                <w:sz w:val="24"/>
                <w:szCs w:val="24"/>
                <w14:ligatures w14:val="none"/>
              </w:rPr>
              <w:t>千。</w:t>
            </w:r>
          </w:p>
        </w:tc>
        <w:tc>
          <w:tcPr>
            <w:tcW w:w="1912" w:type="pct"/>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 w:eastAsia="仿宋_GB2312" w:cs="宋体"/>
                <w:color w:val="000000"/>
                <w:kern w:val="0"/>
                <w:sz w:val="24"/>
                <w:szCs w:val="24"/>
                <w14:ligatures w14:val="none"/>
              </w:rPr>
            </w:pPr>
            <w:r>
              <w:rPr>
                <w:rFonts w:hint="eastAsia" w:ascii="仿宋_GB2312" w:hAnsi="仿宋" w:eastAsia="仿宋_GB2312" w:cs="宋体"/>
                <w:color w:val="000000"/>
                <w:kern w:val="0"/>
                <w:sz w:val="24"/>
                <w:szCs w:val="24"/>
                <w14:ligatures w14:val="none"/>
              </w:rPr>
              <w:t>未采纳：补偿标准是针对地上附着物和青苗现状的补偿。</w:t>
            </w:r>
          </w:p>
        </w:tc>
      </w:tr>
    </w:tbl>
    <w:p>
      <w:pPr>
        <w:spacing w:line="560" w:lineRule="exact"/>
        <w:jc w:val="left"/>
        <w:rPr>
          <w:rFonts w:hint="eastAsia" w:ascii="方正小标宋简体" w:hAnsi="方正小标宋简体" w:eastAsia="方正小标宋简体"/>
          <w:sz w:val="32"/>
          <w:szCs w:val="32"/>
        </w:rPr>
      </w:pPr>
    </w:p>
    <w:sectPr>
      <w:footerReference r:id="rId3" w:type="default"/>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8E2BBF"/>
    <w:rsid w:val="0003583D"/>
    <w:rsid w:val="001968DA"/>
    <w:rsid w:val="001E14DA"/>
    <w:rsid w:val="004E1AA5"/>
    <w:rsid w:val="00503E00"/>
    <w:rsid w:val="00764C43"/>
    <w:rsid w:val="00795BD4"/>
    <w:rsid w:val="00885052"/>
    <w:rsid w:val="008E2BBF"/>
    <w:rsid w:val="00A01FED"/>
    <w:rsid w:val="00B60B58"/>
    <w:rsid w:val="00B63559"/>
    <w:rsid w:val="00B834A4"/>
    <w:rsid w:val="00BF3503"/>
    <w:rsid w:val="00CC54AE"/>
    <w:rsid w:val="00D71D24"/>
    <w:rsid w:val="390E241C"/>
    <w:rsid w:val="49DF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0F4761"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0F4761"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0F4761" w:themeColor="accent1" w:themeShade="BF"/>
      <w:sz w:val="32"/>
      <w:szCs w:val="32"/>
    </w:rPr>
  </w:style>
  <w:style w:type="character" w:customStyle="1" w:styleId="20">
    <w:name w:val="标题 4 字符"/>
    <w:basedOn w:val="16"/>
    <w:link w:val="5"/>
    <w:semiHidden/>
    <w:uiPriority w:val="9"/>
    <w:rPr>
      <w:rFonts w:cstheme="majorBidi"/>
      <w:color w:val="0F4761" w:themeColor="accent1" w:themeShade="BF"/>
      <w:sz w:val="28"/>
      <w:szCs w:val="28"/>
    </w:rPr>
  </w:style>
  <w:style w:type="character" w:customStyle="1" w:styleId="21">
    <w:name w:val="标题 5 字符"/>
    <w:basedOn w:val="16"/>
    <w:link w:val="6"/>
    <w:semiHidden/>
    <w:uiPriority w:val="9"/>
    <w:rPr>
      <w:rFonts w:cstheme="majorBidi"/>
      <w:color w:val="0F4761" w:themeColor="accent1" w:themeShade="BF"/>
      <w:sz w:val="24"/>
      <w:szCs w:val="24"/>
    </w:rPr>
  </w:style>
  <w:style w:type="character" w:customStyle="1" w:styleId="22">
    <w:name w:val="标题 6 字符"/>
    <w:basedOn w:val="16"/>
    <w:link w:val="7"/>
    <w:semiHidden/>
    <w:uiPriority w:val="9"/>
    <w:rPr>
      <w:rFonts w:cstheme="majorBidi"/>
      <w:b/>
      <w:bCs/>
      <w:color w:val="0F4761" w:themeColor="accent1" w:themeShade="BF"/>
    </w:rPr>
  </w:style>
  <w:style w:type="character" w:customStyle="1" w:styleId="23">
    <w:name w:val="标题 7 字符"/>
    <w:basedOn w:val="16"/>
    <w:link w:val="8"/>
    <w:semiHidden/>
    <w:uiPriority w:val="9"/>
    <w:rPr>
      <w:rFonts w:cstheme="majorBidi"/>
      <w:b/>
      <w:bCs/>
      <w:color w:val="585858" w:themeColor="text1" w:themeTint="A6"/>
    </w:rPr>
  </w:style>
  <w:style w:type="character" w:customStyle="1" w:styleId="24">
    <w:name w:val="标题 8 字符"/>
    <w:basedOn w:val="16"/>
    <w:link w:val="9"/>
    <w:semiHidden/>
    <w:uiPriority w:val="9"/>
    <w:rPr>
      <w:rFonts w:cstheme="majorBidi"/>
      <w:color w:val="585858" w:themeColor="text1" w:themeTint="A6"/>
    </w:rPr>
  </w:style>
  <w:style w:type="character" w:customStyle="1" w:styleId="25">
    <w:name w:val="标题 9 字符"/>
    <w:basedOn w:val="16"/>
    <w:link w:val="10"/>
    <w:semiHidden/>
    <w:uiPriority w:val="9"/>
    <w:rPr>
      <w:rFonts w:eastAsiaTheme="majorEastAsia" w:cstheme="majorBidi"/>
      <w:color w:val="585858" w:themeColor="text1" w:themeTint="A6"/>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0F4761"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3">
    <w:name w:val="明显引用 字符"/>
    <w:basedOn w:val="16"/>
    <w:link w:val="32"/>
    <w:qFormat/>
    <w:uiPriority w:val="30"/>
    <w:rPr>
      <w:i/>
      <w:iCs/>
      <w:color w:val="0F4761" w:themeColor="accent1" w:themeShade="BF"/>
    </w:rPr>
  </w:style>
  <w:style w:type="character" w:customStyle="1" w:styleId="34">
    <w:name w:val="Intense Reference"/>
    <w:basedOn w:val="16"/>
    <w:qFormat/>
    <w:uiPriority w:val="32"/>
    <w:rPr>
      <w:b/>
      <w:bCs/>
      <w:smallCaps/>
      <w:color w:val="0F4761"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1534</Characters>
  <Lines>12</Lines>
  <Paragraphs>3</Paragraphs>
  <TotalTime>0</TotalTime>
  <ScaleCrop>false</ScaleCrop>
  <LinksUpToDate>false</LinksUpToDate>
  <CharactersWithSpaces>1799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2024-08-06T02:40:00Z</dcterms:created>
  <dc:creator>HQ Li</dc:creator>
  <cp:lastModifiedBy>王丽君</cp:lastModifiedBy>
  <cp:lastPrinted>2024-08-06T06:21:00Z</cp:lastPrinted>
  <dcterms:modified xsi:type="dcterms:W3CDTF">2024-08-06T06:39:40Z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