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rFonts w:eastAsia="楷体_GB2312"/>
          <w:b/>
          <w:bCs/>
          <w:sz w:val="32"/>
          <w:highlight w:val="none"/>
          <w:shd w:val="clear" w:color="auto" w:fill="auto"/>
        </w:rPr>
      </w:pPr>
    </w:p>
    <w:p>
      <w:pPr>
        <w:spacing w:line="200" w:lineRule="exact"/>
        <w:rPr>
          <w:rFonts w:eastAsia="楷体_GB2312"/>
          <w:b/>
          <w:bCs/>
          <w:sz w:val="32"/>
          <w:highlight w:val="none"/>
          <w:shd w:val="clear" w:color="auto" w:fill="auto"/>
        </w:rPr>
      </w:pPr>
    </w:p>
    <w:p>
      <w:pPr>
        <w:pStyle w:val="35"/>
        <w:rPr>
          <w:rFonts w:eastAsia="楷体_GB2312"/>
          <w:b/>
          <w:bCs/>
          <w:sz w:val="32"/>
          <w:highlight w:val="none"/>
          <w:shd w:val="clear" w:color="auto" w:fill="auto"/>
        </w:rPr>
      </w:pPr>
    </w:p>
    <w:p>
      <w:pPr>
        <w:pStyle w:val="35"/>
        <w:rPr>
          <w:rFonts w:eastAsia="楷体_GB2312"/>
          <w:b/>
          <w:bCs/>
          <w:sz w:val="32"/>
          <w:highlight w:val="none"/>
          <w:shd w:val="clear" w:color="auto" w:fill="auto"/>
        </w:rPr>
      </w:pPr>
    </w:p>
    <w:p>
      <w:pPr>
        <w:pStyle w:val="35"/>
        <w:rPr>
          <w:rFonts w:eastAsia="楷体_GB2312"/>
          <w:b/>
          <w:bCs/>
          <w:sz w:val="32"/>
          <w:highlight w:val="none"/>
          <w:shd w:val="clear" w:color="auto" w:fill="auto"/>
        </w:rPr>
      </w:pPr>
    </w:p>
    <w:p>
      <w:pPr>
        <w:pStyle w:val="11"/>
        <w:rPr>
          <w:rFonts w:ascii="Times New Roman" w:hAnsi="Times New Roman" w:eastAsia="楷体_GB2312" w:cs="Times New Roman"/>
          <w:b/>
          <w:bCs/>
          <w:sz w:val="32"/>
          <w:highlight w:val="none"/>
          <w:shd w:val="clear" w:color="auto" w:fill="auto"/>
        </w:rPr>
      </w:pPr>
    </w:p>
    <w:p>
      <w:pPr>
        <w:pStyle w:val="20"/>
        <w:outlineLvl w:val="9"/>
        <w:rPr>
          <w:rFonts w:ascii="Times New Roman" w:hAnsi="Times New Roman" w:eastAsia="楷体_GB2312"/>
          <w:bCs/>
          <w:highlight w:val="none"/>
          <w:shd w:val="clear" w:color="auto" w:fill="auto"/>
        </w:rPr>
      </w:pPr>
    </w:p>
    <w:p>
      <w:pPr>
        <w:pStyle w:val="20"/>
        <w:outlineLvl w:val="9"/>
        <w:rPr>
          <w:rFonts w:ascii="Times New Roman" w:hAnsi="Times New Roman" w:eastAsia="楷体_GB2312"/>
          <w:bCs/>
          <w:highlight w:val="none"/>
          <w:shd w:val="clear" w:color="auto" w:fill="auto"/>
        </w:rPr>
      </w:pPr>
    </w:p>
    <w:p>
      <w:pPr>
        <w:spacing w:line="200" w:lineRule="exact"/>
        <w:jc w:val="center"/>
        <w:rPr>
          <w:rFonts w:eastAsia="方正大标宋简体"/>
          <w:sz w:val="48"/>
          <w:szCs w:val="48"/>
          <w:highlight w:val="none"/>
          <w:shd w:val="clear" w:color="auto" w:fill="auto"/>
        </w:rPr>
      </w:pPr>
    </w:p>
    <w:p>
      <w:pPr>
        <w:jc w:val="center"/>
        <w:rPr>
          <w:rFonts w:hint="eastAsia" w:ascii="Times New Roman" w:hAnsi="Times New Roman" w:eastAsia="方正小标宋_GBK" w:cs="方正小标宋_GBK"/>
          <w:b w:val="0"/>
          <w:bCs w:val="0"/>
          <w:sz w:val="48"/>
          <w:szCs w:val="48"/>
          <w:highlight w:val="none"/>
          <w:shd w:val="clear" w:color="auto" w:fill="auto"/>
        </w:rPr>
      </w:pPr>
      <w:bookmarkStart w:id="0" w:name="_Toc12711"/>
      <w:bookmarkStart w:id="1" w:name="_Toc662"/>
      <w:bookmarkStart w:id="2" w:name="_Toc16202"/>
      <w:bookmarkStart w:id="3" w:name="_Toc15806"/>
      <w:bookmarkStart w:id="4" w:name="_Toc8261"/>
      <w:bookmarkStart w:id="5" w:name="_Toc3737"/>
      <w:bookmarkStart w:id="6" w:name="_Toc4053"/>
      <w:r>
        <w:rPr>
          <w:rFonts w:hint="eastAsia" w:ascii="Times New Roman" w:hAnsi="Times New Roman" w:eastAsia="方正小标宋_GBK" w:cs="方正小标宋_GBK"/>
          <w:b w:val="0"/>
          <w:bCs w:val="0"/>
          <w:sz w:val="48"/>
          <w:szCs w:val="48"/>
          <w:highlight w:val="none"/>
          <w:shd w:val="clear" w:color="auto" w:fill="auto"/>
        </w:rPr>
        <w:t>惠州市再生资源产业发展及回收网点规划</w:t>
      </w:r>
      <w:bookmarkEnd w:id="0"/>
      <w:bookmarkEnd w:id="1"/>
      <w:bookmarkEnd w:id="2"/>
      <w:bookmarkEnd w:id="3"/>
      <w:bookmarkEnd w:id="4"/>
      <w:bookmarkEnd w:id="5"/>
      <w:bookmarkEnd w:id="6"/>
    </w:p>
    <w:p>
      <w:pPr>
        <w:jc w:val="center"/>
        <w:rPr>
          <w:rFonts w:eastAsia="方正大标宋简体"/>
          <w:sz w:val="48"/>
          <w:szCs w:val="48"/>
          <w:highlight w:val="none"/>
          <w:shd w:val="clear" w:color="auto" w:fill="auto"/>
        </w:rPr>
      </w:pPr>
    </w:p>
    <w:p>
      <w:pPr>
        <w:rPr>
          <w:highlight w:val="none"/>
          <w:shd w:val="clear" w:color="auto" w:fill="auto"/>
        </w:rPr>
      </w:pPr>
    </w:p>
    <w:p>
      <w:pPr>
        <w:rPr>
          <w:highlight w:val="none"/>
          <w:shd w:val="clear" w:color="auto" w:fill="auto"/>
        </w:rPr>
      </w:pPr>
    </w:p>
    <w:p>
      <w:pPr>
        <w:rPr>
          <w:highlight w:val="none"/>
          <w:shd w:val="clear" w:color="auto" w:fill="auto"/>
        </w:rPr>
      </w:pPr>
    </w:p>
    <w:p>
      <w:pPr>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pStyle w:val="8"/>
        <w:rPr>
          <w:highlight w:val="none"/>
          <w:shd w:val="clear" w:color="auto" w:fill="auto"/>
        </w:rPr>
      </w:pPr>
    </w:p>
    <w:p>
      <w:pPr>
        <w:rPr>
          <w:highlight w:val="none"/>
          <w:shd w:val="clear" w:color="auto" w:fill="auto"/>
        </w:rPr>
      </w:pPr>
    </w:p>
    <w:p>
      <w:pPr>
        <w:rPr>
          <w:highlight w:val="none"/>
          <w:shd w:val="clear" w:color="auto" w:fill="auto"/>
        </w:rPr>
      </w:pPr>
    </w:p>
    <w:p>
      <w:pPr>
        <w:rPr>
          <w:highlight w:val="none"/>
          <w:shd w:val="clear" w:color="auto" w:fill="auto"/>
        </w:rPr>
      </w:pPr>
    </w:p>
    <w:p>
      <w:pPr>
        <w:jc w:val="center"/>
        <w:rPr>
          <w:rFonts w:hint="default" w:ascii="Times New Roman" w:hAnsi="Times New Roman" w:cs="Times New Roman"/>
          <w:sz w:val="36"/>
          <w:szCs w:val="36"/>
          <w:highlight w:val="none"/>
          <w:shd w:val="clear" w:color="auto" w:fill="auto"/>
        </w:rPr>
      </w:pPr>
      <w:bookmarkStart w:id="7" w:name="_Toc11002"/>
      <w:bookmarkStart w:id="8" w:name="_Toc2644"/>
      <w:bookmarkStart w:id="9" w:name="_Toc20634"/>
      <w:bookmarkStart w:id="10" w:name="_Toc4847"/>
      <w:bookmarkStart w:id="11" w:name="_Toc25795"/>
      <w:bookmarkStart w:id="12" w:name="_Toc18696"/>
      <w:r>
        <w:rPr>
          <w:rFonts w:hint="default" w:ascii="Times New Roman" w:hAnsi="Times New Roman" w:cs="Times New Roman"/>
          <w:sz w:val="36"/>
          <w:szCs w:val="36"/>
          <w:highlight w:val="none"/>
          <w:shd w:val="clear" w:color="auto" w:fill="auto"/>
        </w:rPr>
        <w:t>202</w:t>
      </w:r>
      <w:r>
        <w:rPr>
          <w:rFonts w:hint="eastAsia" w:cs="Times New Roman"/>
          <w:sz w:val="36"/>
          <w:szCs w:val="36"/>
          <w:highlight w:val="none"/>
          <w:shd w:val="clear" w:color="auto" w:fill="auto"/>
          <w:lang w:val="en-US" w:eastAsia="zh-CN"/>
        </w:rPr>
        <w:t>4</w:t>
      </w:r>
      <w:r>
        <w:rPr>
          <w:rFonts w:hint="default" w:ascii="Times New Roman" w:hAnsi="Times New Roman" w:cs="Times New Roman"/>
          <w:sz w:val="36"/>
          <w:szCs w:val="36"/>
          <w:highlight w:val="none"/>
          <w:shd w:val="clear" w:color="auto" w:fill="auto"/>
        </w:rPr>
        <w:t>年</w:t>
      </w:r>
      <w:r>
        <w:rPr>
          <w:rFonts w:hint="eastAsia" w:cs="Times New Roman"/>
          <w:sz w:val="36"/>
          <w:szCs w:val="36"/>
          <w:highlight w:val="none"/>
          <w:shd w:val="clear" w:color="auto" w:fill="auto"/>
          <w:lang w:val="en-US" w:eastAsia="zh-CN"/>
        </w:rPr>
        <w:t>3</w:t>
      </w:r>
      <w:r>
        <w:rPr>
          <w:rFonts w:hint="default" w:ascii="Times New Roman" w:hAnsi="Times New Roman" w:cs="Times New Roman"/>
          <w:sz w:val="36"/>
          <w:szCs w:val="36"/>
          <w:highlight w:val="none"/>
          <w:shd w:val="clear" w:color="auto" w:fill="auto"/>
        </w:rPr>
        <w:t>月</w:t>
      </w:r>
      <w:bookmarkEnd w:id="7"/>
      <w:bookmarkEnd w:id="8"/>
      <w:bookmarkEnd w:id="9"/>
      <w:bookmarkEnd w:id="10"/>
      <w:bookmarkEnd w:id="11"/>
      <w:bookmarkEnd w:id="12"/>
    </w:p>
    <w:p>
      <w:pPr>
        <w:outlineLvl w:val="0"/>
        <w:rPr>
          <w:rFonts w:hint="eastAsia" w:ascii="黑体" w:hAnsi="黑体" w:eastAsia="黑体" w:cs="黑体"/>
          <w:b w:val="0"/>
          <w:bCs/>
          <w:color w:val="000000"/>
          <w:sz w:val="32"/>
          <w:szCs w:val="32"/>
          <w:highlight w:val="none"/>
          <w:shd w:val="clear" w:color="auto" w:fill="auto"/>
          <w:lang w:eastAsia="zh-CN"/>
        </w:rPr>
      </w:pPr>
      <w:r>
        <w:rPr>
          <w:sz w:val="36"/>
          <w:szCs w:val="36"/>
          <w:highlight w:val="none"/>
          <w:shd w:val="clear" w:color="auto" w:fill="auto"/>
        </w:rPr>
        <w:br w:type="page"/>
      </w:r>
      <w:bookmarkStart w:id="13" w:name="_Toc1936380195"/>
      <w:bookmarkStart w:id="14" w:name="_Toc4952"/>
      <w:r>
        <w:rPr>
          <w:rFonts w:hint="eastAsia" w:ascii="黑体" w:hAnsi="黑体" w:eastAsia="黑体" w:cs="黑体"/>
          <w:b w:val="0"/>
          <w:bCs/>
          <w:color w:val="000000"/>
          <w:sz w:val="32"/>
          <w:szCs w:val="32"/>
          <w:highlight w:val="none"/>
          <w:shd w:val="clear" w:color="auto" w:fill="auto"/>
          <w:lang w:val="en-US" w:eastAsia="zh-CN"/>
        </w:rPr>
        <w:t xml:space="preserve">    </w:t>
      </w:r>
      <w:r>
        <w:rPr>
          <w:rFonts w:hint="eastAsia" w:ascii="黑体" w:hAnsi="黑体" w:eastAsia="黑体" w:cs="黑体"/>
          <w:b w:val="0"/>
          <w:bCs/>
          <w:color w:val="000000"/>
          <w:sz w:val="32"/>
          <w:szCs w:val="32"/>
          <w:highlight w:val="none"/>
          <w:shd w:val="clear" w:color="auto" w:fill="auto"/>
        </w:rPr>
        <w:t>一、规划背景</w:t>
      </w:r>
      <w:bookmarkEnd w:id="13"/>
      <w:bookmarkEnd w:id="14"/>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 w:cs="Times New Roman"/>
          <w:b w:val="0"/>
          <w:bCs/>
          <w:color w:val="000000"/>
          <w:kern w:val="0"/>
          <w:sz w:val="32"/>
          <w:szCs w:val="32"/>
          <w:highlight w:val="none"/>
          <w:shd w:val="clear" w:color="auto" w:fill="auto"/>
        </w:rPr>
      </w:pPr>
      <w:r>
        <w:rPr>
          <w:rFonts w:hint="default" w:ascii="Times New Roman" w:hAnsi="Times New Roman" w:eastAsia="仿宋" w:cs="Times New Roman"/>
          <w:b w:val="0"/>
          <w:bCs/>
          <w:color w:val="000000"/>
          <w:kern w:val="0"/>
          <w:sz w:val="32"/>
          <w:szCs w:val="32"/>
          <w:highlight w:val="none"/>
          <w:shd w:val="clear" w:color="auto" w:fill="auto"/>
        </w:rPr>
        <w:t>党的十八大以来，以习近平同志为核心的党中央始终把生态文明建设放在治国理政的重要战略位置。</w:t>
      </w:r>
      <w:r>
        <w:rPr>
          <w:rFonts w:hint="eastAsia" w:ascii="Times New Roman" w:hAnsi="Times New Roman" w:eastAsia="仿宋" w:cs="Times New Roman"/>
          <w:b w:val="0"/>
          <w:bCs/>
          <w:color w:val="000000"/>
          <w:kern w:val="0"/>
          <w:sz w:val="32"/>
          <w:szCs w:val="32"/>
          <w:highlight w:val="none"/>
          <w:shd w:val="clear" w:color="auto" w:fill="auto"/>
          <w:lang w:eastAsia="zh-CN"/>
        </w:rPr>
        <w:t>党的</w:t>
      </w:r>
      <w:r>
        <w:rPr>
          <w:rFonts w:hint="default" w:ascii="Times New Roman" w:hAnsi="Times New Roman" w:eastAsia="仿宋" w:cs="Times New Roman"/>
          <w:b w:val="0"/>
          <w:bCs/>
          <w:color w:val="000000"/>
          <w:kern w:val="0"/>
          <w:sz w:val="32"/>
          <w:szCs w:val="32"/>
          <w:highlight w:val="none"/>
          <w:shd w:val="clear" w:color="auto" w:fill="auto"/>
        </w:rPr>
        <w:t>二十大报告</w:t>
      </w:r>
      <w:r>
        <w:rPr>
          <w:rFonts w:hint="eastAsia" w:ascii="Times New Roman" w:hAnsi="Times New Roman" w:eastAsia="仿宋" w:cs="Times New Roman"/>
          <w:b w:val="0"/>
          <w:bCs/>
          <w:color w:val="000000"/>
          <w:kern w:val="0"/>
          <w:sz w:val="32"/>
          <w:szCs w:val="32"/>
          <w:highlight w:val="none"/>
          <w:shd w:val="clear" w:color="auto" w:fill="auto"/>
          <w:lang w:eastAsia="zh-CN"/>
        </w:rPr>
        <w:t>提出，</w:t>
      </w:r>
      <w:r>
        <w:rPr>
          <w:rFonts w:hint="default" w:ascii="Times New Roman" w:hAnsi="Times New Roman" w:eastAsia="仿宋" w:cs="Times New Roman"/>
          <w:b w:val="0"/>
          <w:bCs/>
          <w:color w:val="000000"/>
          <w:kern w:val="0"/>
          <w:sz w:val="32"/>
          <w:szCs w:val="32"/>
          <w:highlight w:val="none"/>
          <w:shd w:val="clear" w:color="auto" w:fill="auto"/>
        </w:rPr>
        <w:t>国家应实施全面节约战略，推进各类资源节约集约利用，加快构建废弃物循环利用体系，构建节约资源和保护环境的空间格局、产业结构、生产方式、生活方式，实现人与自然和谐共生和永续发展。</w:t>
      </w:r>
    </w:p>
    <w:p>
      <w:pPr>
        <w:pageBreakBefore w:val="0"/>
        <w:widowControl w:val="0"/>
        <w:kinsoku/>
        <w:wordWrap/>
        <w:overflowPunct/>
        <w:topLinePunct w:val="0"/>
        <w:autoSpaceDE/>
        <w:autoSpaceDN/>
        <w:bidi w:val="0"/>
        <w:spacing w:beforeLines="0" w:afterLines="0" w:line="560" w:lineRule="exact"/>
        <w:ind w:firstLineChars="200"/>
        <w:textAlignment w:val="auto"/>
        <w:rPr>
          <w:rFonts w:hint="default" w:ascii="Times New Roman" w:hAnsi="Times New Roman" w:eastAsia="仿宋" w:cs="Times New Roman"/>
          <w:b w:val="0"/>
          <w:bCs/>
          <w:color w:val="000000"/>
          <w:sz w:val="32"/>
          <w:szCs w:val="32"/>
          <w:highlight w:val="none"/>
          <w:shd w:val="clear" w:color="auto" w:fill="auto"/>
        </w:rPr>
      </w:pPr>
      <w:r>
        <w:rPr>
          <w:rFonts w:hint="default" w:ascii="Times New Roman" w:hAnsi="Times New Roman" w:eastAsia="仿宋" w:cs="Times New Roman"/>
          <w:b w:val="0"/>
          <w:bCs/>
          <w:color w:val="000000"/>
          <w:kern w:val="0"/>
          <w:sz w:val="32"/>
          <w:szCs w:val="32"/>
          <w:highlight w:val="none"/>
          <w:shd w:val="clear" w:color="auto" w:fill="auto"/>
        </w:rPr>
        <w:t>当前，</w:t>
      </w:r>
      <w:r>
        <w:rPr>
          <w:rFonts w:hint="eastAsia" w:eastAsia="仿宋" w:cs="Times New Roman"/>
          <w:b w:val="0"/>
          <w:bCs/>
          <w:color w:val="000000"/>
          <w:kern w:val="0"/>
          <w:sz w:val="32"/>
          <w:szCs w:val="32"/>
          <w:highlight w:val="none"/>
          <w:shd w:val="clear" w:color="auto" w:fill="auto"/>
          <w:lang w:eastAsia="zh-CN"/>
        </w:rPr>
        <w:t>我市</w:t>
      </w:r>
      <w:r>
        <w:rPr>
          <w:rFonts w:hint="default" w:ascii="Times New Roman" w:hAnsi="Times New Roman" w:eastAsia="仿宋" w:cs="Times New Roman"/>
          <w:b w:val="0"/>
          <w:bCs/>
          <w:color w:val="000000"/>
          <w:kern w:val="0"/>
          <w:sz w:val="32"/>
          <w:szCs w:val="32"/>
          <w:highlight w:val="none"/>
          <w:shd w:val="clear" w:color="auto" w:fill="auto"/>
        </w:rPr>
        <w:t>正处于粤港澳大湾</w:t>
      </w:r>
      <w:r>
        <w:rPr>
          <w:rFonts w:hint="default" w:ascii="Times New Roman" w:hAnsi="Times New Roman" w:eastAsia="仿宋" w:cs="Times New Roman"/>
          <w:b w:val="0"/>
          <w:bCs/>
          <w:color w:val="000000"/>
          <w:sz w:val="32"/>
          <w:szCs w:val="32"/>
          <w:highlight w:val="none"/>
          <w:shd w:val="clear" w:color="auto" w:fill="auto"/>
        </w:rPr>
        <w:t xml:space="preserve">区高质量发展战略全面推进的历史机遇期，全市上下深入学习贯彻党的二十大、二十届二中全会和中央经济工作会议精神，学习贯彻习近平总书记视察广东重要讲话、重要指示精神，贯彻落实省委十三届四次全会暨省委经济工作会议、全省高质量发展大会部署要求，坚定信心、凝心聚力，奋力打造广东高质量发展新增长极，为广东在推进中国式现代化建设中走在前列贡献惠州力量。 </w:t>
      </w:r>
    </w:p>
    <w:p>
      <w:pPr>
        <w:pageBreakBefore w:val="0"/>
        <w:widowControl w:val="0"/>
        <w:kinsoku/>
        <w:wordWrap/>
        <w:overflowPunct/>
        <w:topLinePunct w:val="0"/>
        <w:autoSpaceDE/>
        <w:autoSpaceDN/>
        <w:bidi w:val="0"/>
        <w:spacing w:beforeLines="0" w:afterLines="0" w:line="560" w:lineRule="exact"/>
        <w:ind w:firstLineChars="200"/>
        <w:textAlignment w:val="auto"/>
        <w:rPr>
          <w:rFonts w:hint="default" w:ascii="Times New Roman" w:hAnsi="Times New Roman" w:eastAsia="仿宋" w:cs="Times New Roman"/>
          <w:b w:val="0"/>
          <w:bCs/>
          <w:color w:val="000000"/>
          <w:kern w:val="0"/>
          <w:sz w:val="32"/>
          <w:szCs w:val="32"/>
          <w:highlight w:val="none"/>
          <w:shd w:val="clear" w:color="auto" w:fill="auto"/>
          <w:lang w:val="en-US" w:eastAsia="zh-CN"/>
        </w:rPr>
      </w:pPr>
      <w:r>
        <w:rPr>
          <w:rFonts w:hint="default" w:ascii="Times New Roman" w:hAnsi="Times New Roman" w:eastAsia="仿宋" w:cs="Times New Roman"/>
          <w:b w:val="0"/>
          <w:bCs/>
          <w:color w:val="000000"/>
          <w:sz w:val="32"/>
          <w:szCs w:val="32"/>
          <w:highlight w:val="none"/>
          <w:shd w:val="clear" w:color="auto" w:fill="auto"/>
        </w:rPr>
        <w:t>本规划旨在构建</w:t>
      </w:r>
      <w:r>
        <w:rPr>
          <w:rFonts w:hint="eastAsia" w:ascii="Times New Roman" w:hAnsi="Times New Roman" w:eastAsia="仿宋" w:cs="Times New Roman"/>
          <w:b w:val="0"/>
          <w:bCs/>
          <w:color w:val="000000"/>
          <w:sz w:val="32"/>
          <w:szCs w:val="32"/>
          <w:highlight w:val="none"/>
          <w:shd w:val="clear" w:color="auto" w:fill="auto"/>
          <w:lang w:eastAsia="zh-CN"/>
        </w:rPr>
        <w:t>符合惠州实际的</w:t>
      </w:r>
      <w:r>
        <w:rPr>
          <w:rFonts w:hint="default" w:ascii="Times New Roman" w:hAnsi="Times New Roman" w:eastAsia="仿宋" w:cs="Times New Roman"/>
          <w:b w:val="0"/>
          <w:bCs/>
          <w:color w:val="000000"/>
          <w:sz w:val="32"/>
          <w:szCs w:val="32"/>
          <w:highlight w:val="none"/>
          <w:shd w:val="clear" w:color="auto" w:fill="auto"/>
        </w:rPr>
        <w:t>再生资源回收体系，引导再生资源回收市场规范发展，完善行业监管机制，促进再生资源回收行业绿色转型升级</w:t>
      </w:r>
      <w:r>
        <w:rPr>
          <w:rFonts w:hint="eastAsia" w:ascii="Times New Roman" w:hAnsi="Times New Roman" w:eastAsia="仿宋" w:cs="Times New Roman"/>
          <w:b w:val="0"/>
          <w:bCs/>
          <w:color w:val="000000"/>
          <w:sz w:val="32"/>
          <w:szCs w:val="32"/>
          <w:highlight w:val="none"/>
          <w:shd w:val="clear" w:color="auto" w:fill="auto"/>
          <w:lang w:eastAsia="zh-CN"/>
        </w:rPr>
        <w:t>，</w:t>
      </w:r>
      <w:bookmarkStart w:id="15" w:name="_Toc12844"/>
      <w:r>
        <w:rPr>
          <w:rFonts w:hint="eastAsia" w:eastAsia="仿宋" w:cs="Times New Roman"/>
          <w:b w:val="0"/>
          <w:bCs/>
          <w:color w:val="000000"/>
          <w:kern w:val="0"/>
          <w:sz w:val="32"/>
          <w:szCs w:val="32"/>
          <w:highlight w:val="none"/>
          <w:shd w:val="clear" w:color="auto" w:fill="auto"/>
          <w:lang w:eastAsia="zh-CN"/>
        </w:rPr>
        <w:t>助力惠州</w:t>
      </w:r>
      <w:r>
        <w:rPr>
          <w:rFonts w:hint="eastAsia" w:eastAsia="仿宋" w:cs="Times New Roman"/>
          <w:b w:val="0"/>
          <w:bCs/>
          <w:color w:val="000000"/>
          <w:kern w:val="0"/>
          <w:sz w:val="32"/>
          <w:szCs w:val="32"/>
          <w:highlight w:val="none"/>
          <w:shd w:val="clear" w:color="auto" w:fill="auto"/>
          <w:lang w:val="en-US" w:eastAsia="zh-CN"/>
        </w:rPr>
        <w:t>加快构建绿色低碳产业体系</w:t>
      </w:r>
      <w:r>
        <w:rPr>
          <w:rFonts w:hint="default" w:ascii="Times New Roman" w:hAnsi="Times New Roman" w:eastAsia="仿宋" w:cs="Times New Roman"/>
          <w:b w:val="0"/>
          <w:bCs/>
          <w:color w:val="000000"/>
          <w:kern w:val="0"/>
          <w:sz w:val="32"/>
          <w:szCs w:val="32"/>
          <w:highlight w:val="none"/>
          <w:shd w:val="clear" w:color="auto" w:fill="auto"/>
        </w:rPr>
        <w:t>。</w:t>
      </w:r>
    </w:p>
    <w:p>
      <w:pPr>
        <w:pageBreakBefore w:val="0"/>
        <w:widowControl w:val="0"/>
        <w:kinsoku/>
        <w:wordWrap/>
        <w:overflowPunct/>
        <w:topLinePunct w:val="0"/>
        <w:autoSpaceDE/>
        <w:autoSpaceDN/>
        <w:bidi w:val="0"/>
        <w:spacing w:beforeLines="0" w:afterLines="0" w:line="560" w:lineRule="exact"/>
        <w:ind w:firstLine="640" w:firstLineChars="200"/>
        <w:textAlignment w:val="auto"/>
        <w:outlineLvl w:val="0"/>
        <w:rPr>
          <w:rFonts w:hint="eastAsia" w:ascii="黑体" w:hAnsi="黑体" w:eastAsia="黑体" w:cs="黑体"/>
          <w:b w:val="0"/>
          <w:bCs/>
          <w:color w:val="000000"/>
          <w:sz w:val="32"/>
          <w:szCs w:val="32"/>
          <w:highlight w:val="none"/>
          <w:shd w:val="clear" w:color="auto" w:fill="auto"/>
          <w:lang w:eastAsia="zh-CN"/>
        </w:rPr>
      </w:pPr>
      <w:r>
        <w:rPr>
          <w:rFonts w:hint="eastAsia" w:ascii="黑体" w:hAnsi="黑体" w:eastAsia="黑体" w:cs="黑体"/>
          <w:b w:val="0"/>
          <w:bCs/>
          <w:color w:val="000000"/>
          <w:kern w:val="0"/>
          <w:sz w:val="32"/>
          <w:szCs w:val="32"/>
          <w:highlight w:val="none"/>
          <w:shd w:val="clear" w:color="auto" w:fill="auto"/>
          <w:lang w:val="en-US" w:eastAsia="zh-CN"/>
        </w:rPr>
        <w:t xml:space="preserve"> </w:t>
      </w:r>
      <w:bookmarkStart w:id="16" w:name="_Toc2967"/>
      <w:bookmarkStart w:id="17" w:name="_Toc1264485393"/>
      <w:r>
        <w:rPr>
          <w:rFonts w:hint="eastAsia" w:ascii="黑体" w:hAnsi="黑体" w:eastAsia="黑体" w:cs="黑体"/>
          <w:b w:val="0"/>
          <w:bCs/>
          <w:color w:val="000000"/>
          <w:sz w:val="32"/>
          <w:szCs w:val="32"/>
          <w:highlight w:val="none"/>
          <w:shd w:val="clear" w:color="auto" w:fill="auto"/>
          <w:lang w:eastAsia="zh-CN"/>
        </w:rPr>
        <w:t>二、产业</w:t>
      </w:r>
      <w:r>
        <w:rPr>
          <w:rFonts w:hint="eastAsia" w:ascii="黑体" w:hAnsi="黑体" w:eastAsia="黑体" w:cs="黑体"/>
          <w:b w:val="0"/>
          <w:bCs/>
          <w:color w:val="000000"/>
          <w:sz w:val="32"/>
          <w:szCs w:val="32"/>
          <w:highlight w:val="none"/>
          <w:shd w:val="clear" w:color="auto" w:fill="auto"/>
        </w:rPr>
        <w:t>发展</w:t>
      </w:r>
      <w:r>
        <w:rPr>
          <w:rFonts w:hint="eastAsia" w:ascii="黑体" w:hAnsi="黑体" w:eastAsia="黑体" w:cs="黑体"/>
          <w:b w:val="0"/>
          <w:bCs/>
          <w:color w:val="000000"/>
          <w:sz w:val="32"/>
          <w:szCs w:val="32"/>
          <w:highlight w:val="none"/>
          <w:shd w:val="clear" w:color="auto" w:fill="auto"/>
          <w:lang w:eastAsia="zh-CN"/>
        </w:rPr>
        <w:t>现状</w:t>
      </w:r>
      <w:bookmarkEnd w:id="16"/>
      <w:r>
        <w:rPr>
          <w:rFonts w:hint="eastAsia" w:ascii="黑体" w:hAnsi="黑体" w:eastAsia="黑体" w:cs="黑体"/>
          <w:b w:val="0"/>
          <w:bCs/>
          <w:color w:val="000000"/>
          <w:sz w:val="32"/>
          <w:szCs w:val="32"/>
          <w:highlight w:val="none"/>
          <w:shd w:val="clear" w:color="auto" w:fill="auto"/>
          <w:lang w:eastAsia="zh-CN"/>
        </w:rPr>
        <w:t>及趋势</w:t>
      </w:r>
      <w:bookmarkEnd w:id="17"/>
      <w:bookmarkStart w:id="18" w:name="_Toc744382353"/>
      <w:bookmarkStart w:id="19" w:name="_Toc4411"/>
    </w:p>
    <w:p>
      <w:pPr>
        <w:pageBreakBefore w:val="0"/>
        <w:widowControl w:val="0"/>
        <w:kinsoku/>
        <w:wordWrap/>
        <w:overflowPunct/>
        <w:topLinePunct w:val="0"/>
        <w:autoSpaceDE/>
        <w:autoSpaceDN/>
        <w:bidi w:val="0"/>
        <w:spacing w:beforeLines="0" w:afterLines="0" w:line="560" w:lineRule="exact"/>
        <w:ind w:firstLine="640" w:firstLineChars="200"/>
        <w:textAlignment w:val="auto"/>
        <w:outlineLvl w:val="1"/>
        <w:rPr>
          <w:rFonts w:hint="eastAsia" w:ascii="楷体" w:hAnsi="楷体" w:eastAsia="楷体" w:cs="楷体"/>
          <w:b w:val="0"/>
          <w:bCs/>
          <w:color w:val="000000"/>
          <w:sz w:val="32"/>
          <w:szCs w:val="32"/>
          <w:highlight w:val="none"/>
          <w:shd w:val="clear" w:color="auto" w:fill="auto"/>
          <w:lang w:eastAsia="zh-CN"/>
        </w:rPr>
      </w:pPr>
      <w:r>
        <w:rPr>
          <w:rFonts w:hint="eastAsia" w:ascii="楷体" w:hAnsi="楷体" w:eastAsia="楷体" w:cs="楷体"/>
          <w:b w:val="0"/>
          <w:bCs/>
          <w:color w:val="000000"/>
          <w:sz w:val="32"/>
          <w:szCs w:val="32"/>
          <w:highlight w:val="none"/>
          <w:shd w:val="clear" w:color="auto" w:fill="auto"/>
          <w:lang w:eastAsia="zh-CN"/>
        </w:rPr>
        <w:t>（一）产业</w:t>
      </w:r>
      <w:r>
        <w:rPr>
          <w:rFonts w:hint="eastAsia" w:ascii="楷体" w:hAnsi="楷体" w:eastAsia="楷体" w:cs="楷体"/>
          <w:b w:val="0"/>
          <w:bCs/>
          <w:color w:val="000000"/>
          <w:sz w:val="32"/>
          <w:szCs w:val="32"/>
          <w:highlight w:val="none"/>
          <w:shd w:val="clear" w:color="auto" w:fill="auto"/>
        </w:rPr>
        <w:t>发展现状</w:t>
      </w:r>
      <w:bookmarkEnd w:id="18"/>
      <w:bookmarkEnd w:id="19"/>
      <w:r>
        <w:rPr>
          <w:rFonts w:hint="eastAsia" w:ascii="楷体" w:hAnsi="楷体" w:eastAsia="楷体" w:cs="楷体"/>
          <w:b w:val="0"/>
          <w:bCs/>
          <w:color w:val="000000"/>
          <w:sz w:val="32"/>
          <w:szCs w:val="32"/>
          <w:highlight w:val="none"/>
          <w:shd w:val="clear" w:color="auto" w:fill="auto"/>
          <w:lang w:eastAsia="zh-CN"/>
        </w:rPr>
        <w:t>。</w:t>
      </w:r>
    </w:p>
    <w:p>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2"/>
        <w:rPr>
          <w:rFonts w:hint="default" w:ascii="Times New Roman" w:hAnsi="Times New Roman" w:eastAsia="仿宋" w:cs="Times New Roman"/>
          <w:b w:val="0"/>
          <w:bCs/>
          <w:color w:val="000000"/>
          <w:kern w:val="0"/>
          <w:sz w:val="32"/>
          <w:szCs w:val="32"/>
          <w:highlight w:val="none"/>
          <w:shd w:val="clear" w:color="auto" w:fill="auto"/>
        </w:rPr>
      </w:pPr>
      <w:r>
        <w:rPr>
          <w:rFonts w:hint="default" w:ascii="Times New Roman" w:hAnsi="Times New Roman" w:eastAsia="仿宋" w:cs="Times New Roman"/>
          <w:b w:val="0"/>
          <w:bCs/>
          <w:color w:val="000000"/>
          <w:sz w:val="32"/>
          <w:szCs w:val="32"/>
          <w:highlight w:val="none"/>
          <w:shd w:val="clear" w:color="auto" w:fill="auto"/>
          <w:lang w:val="en-US" w:eastAsia="zh-CN"/>
        </w:rPr>
        <w:t>1.</w:t>
      </w:r>
      <w:r>
        <w:rPr>
          <w:rFonts w:hint="eastAsia" w:ascii="Times New Roman" w:hAnsi="Times New Roman" w:eastAsia="仿宋" w:cs="Times New Roman"/>
          <w:b w:val="0"/>
          <w:bCs/>
          <w:color w:val="000000"/>
          <w:sz w:val="32"/>
          <w:szCs w:val="32"/>
          <w:highlight w:val="none"/>
          <w:shd w:val="clear" w:color="auto" w:fill="auto"/>
          <w:lang w:val="en-US" w:eastAsia="zh-CN"/>
        </w:rPr>
        <w:t xml:space="preserve"> </w:t>
      </w:r>
      <w:r>
        <w:rPr>
          <w:rFonts w:hint="default" w:ascii="Times New Roman" w:hAnsi="Times New Roman" w:eastAsia="仿宋" w:cs="Times New Roman"/>
          <w:b w:val="0"/>
          <w:bCs/>
          <w:color w:val="000000"/>
          <w:sz w:val="32"/>
          <w:szCs w:val="32"/>
          <w:highlight w:val="none"/>
          <w:shd w:val="clear" w:color="auto" w:fill="auto"/>
        </w:rPr>
        <w:t>回收市场主体情况</w:t>
      </w:r>
      <w:r>
        <w:rPr>
          <w:rFonts w:hint="eastAsia" w:ascii="Times New Roman" w:hAnsi="Times New Roman" w:eastAsia="仿宋" w:cs="Times New Roman"/>
          <w:b w:val="0"/>
          <w:bCs/>
          <w:color w:val="000000"/>
          <w:sz w:val="32"/>
          <w:szCs w:val="32"/>
          <w:highlight w:val="none"/>
          <w:shd w:val="clear" w:color="auto" w:fill="auto"/>
          <w:lang w:eastAsia="zh-CN"/>
        </w:rPr>
        <w:t>。</w:t>
      </w:r>
      <w:r>
        <w:rPr>
          <w:rFonts w:hint="default" w:ascii="Times New Roman" w:hAnsi="Times New Roman" w:eastAsia="仿宋" w:cs="Times New Roman"/>
          <w:b w:val="0"/>
          <w:bCs/>
          <w:color w:val="000000"/>
          <w:kern w:val="0"/>
          <w:sz w:val="32"/>
          <w:szCs w:val="32"/>
          <w:highlight w:val="none"/>
          <w:shd w:val="clear" w:color="auto" w:fill="auto"/>
        </w:rPr>
        <w:t>近年来，惠州再生资源产业随着社会经济的发展而快速发展，再生资源及废旧物资回收行业已经初具规模。2021年，全市再生资源回收行业在市场监管部门注册登记的企业2187家；2022年，注册登记再生资源回收（含废旧物资回收）经营者4253家，其中企业3236家，个体经营者1017家；2023年，注册登记再生资源回收（含废旧物资回收）经营者4647家，其中企业3606家，个体经营者1041家，注册登记企业出现逐年增长趋势。</w:t>
      </w:r>
    </w:p>
    <w:tbl>
      <w:tblPr>
        <w:tblStyle w:val="22"/>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458"/>
        <w:gridCol w:w="2495"/>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6" w:type="pct"/>
            <w:noWrap w:val="0"/>
            <w:vAlign w:val="center"/>
          </w:tcPr>
          <w:p>
            <w:pPr>
              <w:spacing w:line="360" w:lineRule="exact"/>
              <w:jc w:val="center"/>
              <w:rPr>
                <w:rFonts w:hint="default" w:ascii="Times New Roman" w:hAnsi="Times New Roman" w:eastAsia="仿宋" w:cs="Times New Roman"/>
                <w:b/>
                <w:color w:val="000000"/>
                <w:highlight w:val="none"/>
                <w:shd w:val="clear" w:color="auto" w:fill="auto"/>
              </w:rPr>
            </w:pPr>
          </w:p>
        </w:tc>
        <w:tc>
          <w:tcPr>
            <w:tcW w:w="1361" w:type="pct"/>
            <w:noWrap w:val="0"/>
            <w:vAlign w:val="center"/>
          </w:tcPr>
          <w:p>
            <w:pPr>
              <w:spacing w:line="360" w:lineRule="exact"/>
              <w:jc w:val="center"/>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lang w:val="en-US" w:eastAsia="zh-CN"/>
              </w:rPr>
              <w:t>2021年</w:t>
            </w:r>
          </w:p>
        </w:tc>
        <w:tc>
          <w:tcPr>
            <w:tcW w:w="1381" w:type="pct"/>
            <w:noWrap w:val="0"/>
            <w:vAlign w:val="center"/>
          </w:tcPr>
          <w:p>
            <w:pPr>
              <w:spacing w:line="360" w:lineRule="exact"/>
              <w:jc w:val="center"/>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2022年</w:t>
            </w:r>
          </w:p>
        </w:tc>
        <w:tc>
          <w:tcPr>
            <w:tcW w:w="1420" w:type="pct"/>
            <w:noWrap w:val="0"/>
            <w:vAlign w:val="center"/>
          </w:tcPr>
          <w:p>
            <w:pPr>
              <w:spacing w:line="360" w:lineRule="exact"/>
              <w:jc w:val="center"/>
              <w:rPr>
                <w:rFonts w:hint="default" w:ascii="Times New Roman" w:hAnsi="Times New Roman" w:eastAsia="仿宋" w:cs="Times New Roman"/>
                <w:b/>
                <w:color w:val="000000"/>
                <w:highlight w:val="none"/>
                <w:shd w:val="clear" w:color="auto" w:fill="auto"/>
                <w:lang w:val="en-US" w:eastAsia="zh-CN"/>
              </w:rPr>
            </w:pPr>
            <w:r>
              <w:rPr>
                <w:rFonts w:hint="default" w:ascii="Times New Roman" w:hAnsi="Times New Roman" w:eastAsia="仿宋" w:cs="Times New Roman"/>
                <w:b/>
                <w:color w:val="000000"/>
                <w:highlight w:val="none"/>
                <w:shd w:val="clear" w:color="auto" w:fill="auto"/>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36" w:type="pct"/>
            <w:noWrap w:val="0"/>
            <w:vAlign w:val="center"/>
          </w:tcPr>
          <w:p>
            <w:pPr>
              <w:spacing w:line="240" w:lineRule="exact"/>
              <w:jc w:val="center"/>
              <w:rPr>
                <w:rFonts w:hint="default" w:ascii="Times New Roman" w:hAnsi="Times New Roman" w:eastAsia="仿宋" w:cs="Times New Roman"/>
                <w:bCs/>
                <w:color w:val="000000"/>
                <w:highlight w:val="none"/>
                <w:shd w:val="clear" w:color="auto" w:fill="auto"/>
              </w:rPr>
            </w:pPr>
            <w:r>
              <w:rPr>
                <w:rFonts w:hint="default" w:ascii="Times New Roman" w:hAnsi="Times New Roman" w:eastAsia="仿宋" w:cs="Times New Roman"/>
                <w:bCs/>
                <w:color w:val="000000"/>
                <w:highlight w:val="none"/>
                <w:shd w:val="clear" w:color="auto" w:fill="auto"/>
              </w:rPr>
              <w:t>辖 区</w:t>
            </w:r>
          </w:p>
        </w:tc>
        <w:tc>
          <w:tcPr>
            <w:tcW w:w="1361" w:type="pct"/>
            <w:noWrap w:val="0"/>
            <w:vAlign w:val="center"/>
          </w:tcPr>
          <w:p>
            <w:pPr>
              <w:spacing w:line="240" w:lineRule="exact"/>
              <w:jc w:val="center"/>
              <w:rPr>
                <w:rFonts w:hint="default" w:ascii="Times New Roman" w:hAnsi="Times New Roman" w:eastAsia="仿宋" w:cs="Times New Roman"/>
                <w:bCs/>
                <w:color w:val="000000"/>
                <w:highlight w:val="none"/>
                <w:shd w:val="clear" w:color="auto" w:fill="auto"/>
              </w:rPr>
            </w:pPr>
            <w:r>
              <w:rPr>
                <w:rFonts w:hint="default" w:ascii="Times New Roman" w:hAnsi="Times New Roman" w:eastAsia="仿宋" w:cs="Times New Roman"/>
                <w:bCs/>
                <w:color w:val="000000"/>
                <w:highlight w:val="none"/>
                <w:shd w:val="clear" w:color="auto" w:fill="auto"/>
              </w:rPr>
              <w:t>市场监管部门注册登记</w:t>
            </w:r>
          </w:p>
        </w:tc>
        <w:tc>
          <w:tcPr>
            <w:tcW w:w="1381" w:type="pct"/>
            <w:noWrap w:val="0"/>
            <w:vAlign w:val="center"/>
          </w:tcPr>
          <w:p>
            <w:pPr>
              <w:spacing w:line="240" w:lineRule="exact"/>
              <w:jc w:val="center"/>
              <w:rPr>
                <w:rFonts w:hint="default" w:ascii="Times New Roman" w:hAnsi="Times New Roman" w:eastAsia="仿宋" w:cs="Times New Roman"/>
                <w:bCs/>
                <w:color w:val="000000"/>
                <w:kern w:val="2"/>
                <w:sz w:val="21"/>
                <w:szCs w:val="24"/>
                <w:highlight w:val="none"/>
                <w:shd w:val="clear" w:color="auto" w:fill="auto"/>
                <w:lang w:val="en-US" w:eastAsia="zh-CN" w:bidi="ar-SA"/>
              </w:rPr>
            </w:pPr>
            <w:r>
              <w:rPr>
                <w:rFonts w:hint="default" w:ascii="Times New Roman" w:hAnsi="Times New Roman" w:eastAsia="仿宋" w:cs="Times New Roman"/>
                <w:bCs/>
                <w:color w:val="000000"/>
                <w:highlight w:val="none"/>
                <w:shd w:val="clear" w:color="auto" w:fill="auto"/>
              </w:rPr>
              <w:t>市场监管部门注册</w:t>
            </w:r>
            <w:r>
              <w:rPr>
                <w:rFonts w:hint="default" w:ascii="Times New Roman" w:hAnsi="Times New Roman" w:eastAsia="仿宋" w:cs="Times New Roman"/>
                <w:bCs/>
                <w:color w:val="000000"/>
                <w:highlight w:val="none"/>
                <w:shd w:val="clear" w:color="auto" w:fill="auto"/>
                <w:lang w:eastAsia="zh-CN"/>
              </w:rPr>
              <w:t>登记</w:t>
            </w:r>
          </w:p>
        </w:tc>
        <w:tc>
          <w:tcPr>
            <w:tcW w:w="1420" w:type="pct"/>
            <w:noWrap w:val="0"/>
            <w:vAlign w:val="center"/>
          </w:tcPr>
          <w:p>
            <w:pPr>
              <w:spacing w:line="240" w:lineRule="exact"/>
              <w:jc w:val="center"/>
              <w:rPr>
                <w:rFonts w:hint="default" w:ascii="Times New Roman" w:hAnsi="Times New Roman" w:eastAsia="仿宋" w:cs="Times New Roman"/>
                <w:bCs/>
                <w:color w:val="000000"/>
                <w:highlight w:val="none"/>
                <w:shd w:val="clear" w:color="auto" w:fill="auto"/>
              </w:rPr>
            </w:pPr>
            <w:r>
              <w:rPr>
                <w:rFonts w:hint="default" w:ascii="Times New Roman" w:hAnsi="Times New Roman" w:eastAsia="仿宋" w:cs="Times New Roman"/>
                <w:bCs/>
                <w:color w:val="000000"/>
                <w:highlight w:val="none"/>
                <w:shd w:val="clear" w:color="auto" w:fill="auto"/>
              </w:rPr>
              <w:t>市场监管部门注册</w:t>
            </w:r>
            <w:r>
              <w:rPr>
                <w:rFonts w:hint="default" w:ascii="Times New Roman" w:hAnsi="Times New Roman" w:eastAsia="仿宋" w:cs="Times New Roman"/>
                <w:bCs/>
                <w:color w:val="000000"/>
                <w:highlight w:val="none"/>
                <w:shd w:val="clear" w:color="auto" w:fill="auto"/>
                <w:lang w:eastAsia="zh-CN"/>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惠城区</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831</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1388</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惠阳区</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229</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648</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大亚湾</w:t>
            </w:r>
            <w:r>
              <w:rPr>
                <w:rFonts w:hint="default" w:ascii="Times New Roman" w:hAnsi="Times New Roman" w:eastAsia="仿宋" w:cs="Times New Roman"/>
                <w:color w:val="000000"/>
                <w:kern w:val="0"/>
                <w:szCs w:val="21"/>
                <w:highlight w:val="none"/>
                <w:shd w:val="clear" w:color="auto" w:fill="auto"/>
                <w:lang w:eastAsia="zh-CN"/>
              </w:rPr>
              <w:t>开发区</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92</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123</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仲恺</w:t>
            </w:r>
            <w:r>
              <w:rPr>
                <w:rFonts w:hint="default" w:ascii="Times New Roman" w:hAnsi="Times New Roman" w:eastAsia="仿宋" w:cs="Times New Roman"/>
                <w:color w:val="000000"/>
                <w:kern w:val="0"/>
                <w:szCs w:val="21"/>
                <w:highlight w:val="none"/>
                <w:shd w:val="clear" w:color="auto" w:fill="auto"/>
                <w:lang w:eastAsia="zh-CN"/>
              </w:rPr>
              <w:t>高新</w:t>
            </w:r>
            <w:r>
              <w:rPr>
                <w:rFonts w:hint="default" w:ascii="Times New Roman" w:hAnsi="Times New Roman" w:eastAsia="仿宋" w:cs="Times New Roman"/>
                <w:color w:val="000000"/>
                <w:kern w:val="0"/>
                <w:szCs w:val="21"/>
                <w:highlight w:val="none"/>
                <w:shd w:val="clear" w:color="auto" w:fill="auto"/>
              </w:rPr>
              <w:t>区</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149</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313</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惠东县</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253</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498</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博罗县</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590</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1163</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6"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龙门县</w:t>
            </w:r>
          </w:p>
        </w:tc>
        <w:tc>
          <w:tcPr>
            <w:tcW w:w="1361" w:type="pct"/>
            <w:noWrap w:val="0"/>
            <w:vAlign w:val="center"/>
          </w:tcPr>
          <w:p>
            <w:pPr>
              <w:jc w:val="center"/>
              <w:textAlignment w:val="center"/>
              <w:rPr>
                <w:rFonts w:hint="default" w:ascii="Times New Roman" w:hAnsi="Times New Roman" w:eastAsia="仿宋" w:cs="Times New Roman"/>
                <w:color w:val="00000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43</w:t>
            </w:r>
          </w:p>
        </w:tc>
        <w:tc>
          <w:tcPr>
            <w:tcW w:w="1381" w:type="pct"/>
            <w:noWrap w:val="0"/>
            <w:vAlign w:val="center"/>
          </w:tcPr>
          <w:p>
            <w:pPr>
              <w:widowControl/>
              <w:jc w:val="center"/>
              <w:textAlignment w:val="center"/>
              <w:rPr>
                <w:rFonts w:hint="default" w:ascii="Times New Roman" w:hAnsi="Times New Roman" w:eastAsia="仿宋" w:cs="Times New Roman"/>
                <w:color w:val="000000"/>
                <w:kern w:val="0"/>
                <w:sz w:val="21"/>
                <w:szCs w:val="21"/>
                <w:highlight w:val="none"/>
                <w:shd w:val="clear" w:color="auto" w:fill="auto"/>
                <w:lang w:val="en-US" w:eastAsia="zh-CN" w:bidi="ar-SA"/>
              </w:rPr>
            </w:pPr>
            <w:r>
              <w:rPr>
                <w:rFonts w:hint="default" w:ascii="Times New Roman" w:hAnsi="Times New Roman" w:eastAsia="仿宋" w:cs="Times New Roman"/>
                <w:color w:val="000000"/>
                <w:kern w:val="0"/>
                <w:szCs w:val="21"/>
                <w:highlight w:val="none"/>
                <w:shd w:val="clear" w:color="auto" w:fill="auto"/>
                <w:lang w:bidi="ar"/>
              </w:rPr>
              <w:t>120</w:t>
            </w:r>
          </w:p>
        </w:tc>
        <w:tc>
          <w:tcPr>
            <w:tcW w:w="1420" w:type="pct"/>
            <w:noWrap w:val="0"/>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lang w:val="en-US" w:eastAsia="zh-CN"/>
              </w:rPr>
            </w:pPr>
            <w:r>
              <w:rPr>
                <w:rFonts w:hint="default" w:ascii="Times New Roman" w:hAnsi="Times New Roman" w:eastAsia="仿宋" w:cs="Times New Roman"/>
                <w:color w:val="000000"/>
                <w:kern w:val="0"/>
                <w:szCs w:val="21"/>
                <w:highlight w:val="none"/>
                <w:shd w:val="clear" w:color="auto" w:fill="auto"/>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6" w:type="pct"/>
            <w:noWrap w:val="0"/>
            <w:vAlign w:val="center"/>
          </w:tcPr>
          <w:p>
            <w:pPr>
              <w:spacing w:line="360" w:lineRule="exact"/>
              <w:jc w:val="center"/>
              <w:rPr>
                <w:rFonts w:hint="default" w:ascii="Times New Roman" w:hAnsi="Times New Roman" w:eastAsia="仿宋" w:cs="Times New Roman"/>
                <w:bCs/>
                <w:color w:val="000000"/>
                <w:szCs w:val="21"/>
                <w:highlight w:val="none"/>
                <w:shd w:val="clear" w:color="auto" w:fill="auto"/>
              </w:rPr>
            </w:pPr>
            <w:r>
              <w:rPr>
                <w:rFonts w:hint="default" w:ascii="Times New Roman" w:hAnsi="Times New Roman" w:eastAsia="仿宋" w:cs="Times New Roman"/>
                <w:b/>
                <w:bCs w:val="0"/>
                <w:color w:val="000000"/>
                <w:szCs w:val="21"/>
                <w:highlight w:val="none"/>
                <w:shd w:val="clear" w:color="auto" w:fill="auto"/>
              </w:rPr>
              <w:t>合计</w:t>
            </w:r>
          </w:p>
        </w:tc>
        <w:tc>
          <w:tcPr>
            <w:tcW w:w="1361" w:type="pct"/>
            <w:noWrap w:val="0"/>
            <w:vAlign w:val="center"/>
          </w:tcPr>
          <w:p>
            <w:pPr>
              <w:spacing w:line="360" w:lineRule="exact"/>
              <w:jc w:val="center"/>
              <w:rPr>
                <w:rFonts w:hint="default" w:ascii="Times New Roman" w:hAnsi="Times New Roman" w:eastAsia="仿宋" w:cs="Times New Roman"/>
                <w:b/>
                <w:bCs w:val="0"/>
                <w:color w:val="000000"/>
                <w:szCs w:val="21"/>
                <w:highlight w:val="none"/>
                <w:shd w:val="clear" w:color="auto" w:fill="auto"/>
              </w:rPr>
            </w:pPr>
            <w:r>
              <w:rPr>
                <w:rFonts w:hint="default" w:ascii="Times New Roman" w:hAnsi="Times New Roman" w:eastAsia="仿宋" w:cs="Times New Roman"/>
                <w:b/>
                <w:bCs w:val="0"/>
                <w:color w:val="000000"/>
                <w:szCs w:val="21"/>
                <w:highlight w:val="none"/>
                <w:shd w:val="clear" w:color="auto" w:fill="auto"/>
              </w:rPr>
              <w:t>2187</w:t>
            </w:r>
          </w:p>
        </w:tc>
        <w:tc>
          <w:tcPr>
            <w:tcW w:w="1381" w:type="pct"/>
            <w:noWrap w:val="0"/>
            <w:vAlign w:val="center"/>
          </w:tcPr>
          <w:p>
            <w:pPr>
              <w:widowControl/>
              <w:jc w:val="center"/>
              <w:textAlignment w:val="bottom"/>
              <w:rPr>
                <w:rFonts w:hint="default" w:ascii="Times New Roman" w:hAnsi="Times New Roman" w:eastAsia="仿宋" w:cs="Times New Roman"/>
                <w:b/>
                <w:bCs w:val="0"/>
                <w:color w:val="000000"/>
                <w:kern w:val="2"/>
                <w:sz w:val="21"/>
                <w:szCs w:val="21"/>
                <w:highlight w:val="none"/>
                <w:shd w:val="clear" w:color="auto" w:fill="auto"/>
                <w:lang w:val="en-US" w:eastAsia="zh-CN" w:bidi="ar-SA"/>
              </w:rPr>
            </w:pPr>
            <w:r>
              <w:rPr>
                <w:rFonts w:hint="default" w:ascii="Times New Roman" w:hAnsi="Times New Roman" w:eastAsia="仿宋" w:cs="Times New Roman"/>
                <w:b/>
                <w:bCs w:val="0"/>
                <w:color w:val="000000"/>
                <w:kern w:val="0"/>
                <w:szCs w:val="21"/>
                <w:highlight w:val="none"/>
                <w:shd w:val="clear" w:color="auto" w:fill="auto"/>
                <w:lang w:bidi="ar"/>
              </w:rPr>
              <w:t>4253</w:t>
            </w:r>
          </w:p>
        </w:tc>
        <w:tc>
          <w:tcPr>
            <w:tcW w:w="1420" w:type="pct"/>
            <w:noWrap w:val="0"/>
            <w:vAlign w:val="center"/>
          </w:tcPr>
          <w:p>
            <w:pPr>
              <w:spacing w:line="360" w:lineRule="exact"/>
              <w:jc w:val="center"/>
              <w:rPr>
                <w:rFonts w:hint="default" w:ascii="Times New Roman" w:hAnsi="Times New Roman" w:eastAsia="仿宋" w:cs="Times New Roman"/>
                <w:b/>
                <w:bCs w:val="0"/>
                <w:color w:val="000000"/>
                <w:szCs w:val="21"/>
                <w:highlight w:val="none"/>
                <w:shd w:val="clear" w:color="auto" w:fill="auto"/>
                <w:lang w:val="en-US" w:eastAsia="zh-CN"/>
              </w:rPr>
            </w:pPr>
            <w:r>
              <w:rPr>
                <w:rFonts w:hint="default" w:ascii="Times New Roman" w:hAnsi="Times New Roman" w:eastAsia="仿宋" w:cs="Times New Roman"/>
                <w:b/>
                <w:bCs w:val="0"/>
                <w:color w:val="000000"/>
                <w:szCs w:val="21"/>
                <w:highlight w:val="none"/>
                <w:shd w:val="clear" w:color="auto" w:fill="auto"/>
                <w:lang w:val="en-US" w:eastAsia="zh-CN"/>
              </w:rPr>
              <w:t>4647</w:t>
            </w:r>
          </w:p>
        </w:tc>
      </w:tr>
    </w:tbl>
    <w:p>
      <w:pPr>
        <w:pageBreakBefore w:val="0"/>
        <w:widowControl/>
        <w:numPr>
          <w:ilvl w:val="0"/>
          <w:numId w:val="0"/>
        </w:numPr>
        <w:kinsoku/>
        <w:wordWrap/>
        <w:overflowPunct/>
        <w:topLinePunct w:val="0"/>
        <w:autoSpaceDE/>
        <w:autoSpaceDN/>
        <w:bidi w:val="0"/>
        <w:spacing w:before="0" w:beforeLines="0" w:after="0" w:afterLines="0" w:line="560" w:lineRule="exact"/>
        <w:ind w:left="0" w:leftChars="0" w:firstLine="0" w:firstLineChars="0"/>
        <w:jc w:val="center"/>
        <w:textAlignment w:val="auto"/>
        <w:outlineLvl w:val="9"/>
        <w:rPr>
          <w:rFonts w:hint="eastAsia" w:eastAsia="仿宋"/>
          <w:b/>
          <w:bCs/>
          <w:color w:val="000000"/>
          <w:kern w:val="0"/>
          <w:sz w:val="32"/>
          <w:szCs w:val="32"/>
          <w:highlight w:val="none"/>
          <w:shd w:val="clear" w:color="auto" w:fill="auto"/>
          <w:lang w:val="en-US" w:eastAsia="zh-CN"/>
        </w:rPr>
      </w:pPr>
      <w:r>
        <w:rPr>
          <w:rFonts w:eastAsia="仿宋"/>
          <w:b w:val="0"/>
          <w:bCs/>
          <w:color w:val="000000"/>
          <w:sz w:val="24"/>
          <w:highlight w:val="none"/>
          <w:shd w:val="clear" w:color="auto" w:fill="auto"/>
        </w:rPr>
        <w:t>表</w:t>
      </w:r>
      <w:r>
        <w:rPr>
          <w:rFonts w:hint="eastAsia" w:eastAsia="仿宋"/>
          <w:b w:val="0"/>
          <w:bCs/>
          <w:color w:val="000000"/>
          <w:sz w:val="24"/>
          <w:highlight w:val="none"/>
          <w:shd w:val="clear" w:color="auto" w:fill="auto"/>
          <w:lang w:val="en-US" w:eastAsia="zh-CN"/>
        </w:rPr>
        <w:t>1</w:t>
      </w:r>
      <w:r>
        <w:rPr>
          <w:rFonts w:eastAsia="仿宋"/>
          <w:b w:val="0"/>
          <w:bCs/>
          <w:color w:val="000000"/>
          <w:sz w:val="24"/>
          <w:highlight w:val="none"/>
          <w:shd w:val="clear" w:color="auto" w:fill="auto"/>
        </w:rPr>
        <w:t xml:space="preserve"> </w:t>
      </w:r>
      <w:r>
        <w:rPr>
          <w:rFonts w:hint="eastAsia" w:eastAsia="仿宋"/>
          <w:b w:val="0"/>
          <w:bCs/>
          <w:color w:val="000000"/>
          <w:sz w:val="24"/>
          <w:highlight w:val="none"/>
          <w:shd w:val="clear" w:color="auto" w:fill="auto"/>
          <w:lang w:val="en-US" w:eastAsia="zh-CN"/>
        </w:rPr>
        <w:t xml:space="preserve">  </w:t>
      </w:r>
      <w:r>
        <w:rPr>
          <w:rFonts w:eastAsia="仿宋"/>
          <w:b w:val="0"/>
          <w:bCs/>
          <w:color w:val="000000"/>
          <w:sz w:val="24"/>
          <w:highlight w:val="none"/>
          <w:shd w:val="clear" w:color="auto" w:fill="auto"/>
        </w:rPr>
        <w:t>惠州市再生资源回收经营者数量及类型</w:t>
      </w:r>
    </w:p>
    <w:p>
      <w:pPr>
        <w:pageBreakBefore w:val="0"/>
        <w:widowControl w:val="0"/>
        <w:numPr>
          <w:ilvl w:val="0"/>
          <w:numId w:val="0"/>
        </w:numPr>
        <w:kinsoku/>
        <w:wordWrap/>
        <w:overflowPunct/>
        <w:topLinePunct w:val="0"/>
        <w:autoSpaceDE/>
        <w:autoSpaceDN/>
        <w:bidi w:val="0"/>
        <w:spacing w:before="0" w:beforeLines="0" w:after="0" w:afterLines="0" w:line="560" w:lineRule="exact"/>
        <w:ind w:left="0" w:firstLine="640" w:firstLineChars="200"/>
        <w:textAlignment w:val="auto"/>
        <w:outlineLvl w:val="2"/>
        <w:rPr>
          <w:rFonts w:eastAsia="仿宋"/>
          <w:bCs/>
          <w:color w:val="000000"/>
          <w:kern w:val="0"/>
          <w:sz w:val="32"/>
          <w:szCs w:val="32"/>
          <w:highlight w:val="none"/>
          <w:shd w:val="clear" w:color="auto" w:fill="auto"/>
        </w:rPr>
      </w:pPr>
      <w:r>
        <w:rPr>
          <w:rFonts w:hint="eastAsia" w:eastAsia="仿宋" w:cs="仿宋"/>
          <w:b w:val="0"/>
          <w:bCs w:val="0"/>
          <w:color w:val="000000"/>
          <w:sz w:val="32"/>
          <w:szCs w:val="32"/>
          <w:highlight w:val="none"/>
          <w:shd w:val="clear" w:color="auto" w:fill="auto"/>
          <w:lang w:val="en-US" w:eastAsia="zh-CN"/>
        </w:rPr>
        <w:t xml:space="preserve">2. </w:t>
      </w:r>
      <w:r>
        <w:rPr>
          <w:rFonts w:ascii="Times New Roman" w:hAnsi="Times New Roman" w:eastAsia="仿宋" w:cs="仿宋"/>
          <w:b w:val="0"/>
          <w:bCs w:val="0"/>
          <w:color w:val="000000"/>
          <w:sz w:val="32"/>
          <w:szCs w:val="32"/>
          <w:highlight w:val="none"/>
          <w:shd w:val="clear" w:color="auto" w:fill="auto"/>
        </w:rPr>
        <w:t>回收企业总体经营情况</w:t>
      </w:r>
      <w:r>
        <w:rPr>
          <w:rFonts w:hint="eastAsia" w:eastAsia="仿宋" w:cs="仿宋"/>
          <w:b w:val="0"/>
          <w:bCs w:val="0"/>
          <w:color w:val="000000"/>
          <w:sz w:val="32"/>
          <w:szCs w:val="32"/>
          <w:highlight w:val="none"/>
          <w:shd w:val="clear" w:color="auto" w:fill="auto"/>
          <w:lang w:eastAsia="zh-CN"/>
        </w:rPr>
        <w:t>。</w:t>
      </w:r>
      <w:r>
        <w:rPr>
          <w:rFonts w:hint="eastAsia" w:eastAsia="仿宋"/>
          <w:b/>
          <w:bCs/>
          <w:color w:val="000000"/>
          <w:kern w:val="0"/>
          <w:sz w:val="32"/>
          <w:szCs w:val="32"/>
          <w:highlight w:val="none"/>
          <w:shd w:val="clear" w:color="auto" w:fill="auto"/>
          <w:lang w:val="en-US" w:eastAsia="zh-CN"/>
        </w:rPr>
        <w:t xml:space="preserve"> </w:t>
      </w:r>
      <w:r>
        <w:rPr>
          <w:rFonts w:eastAsia="仿宋"/>
          <w:bCs/>
          <w:color w:val="000000"/>
          <w:kern w:val="0"/>
          <w:sz w:val="32"/>
          <w:szCs w:val="32"/>
          <w:highlight w:val="none"/>
          <w:shd w:val="clear" w:color="auto" w:fill="auto"/>
        </w:rPr>
        <w:t>随着行业规模的不断扩大，行业整体上升态势良好：一是政府的引导政策接连出台，贷款、税费方面鼓励措施增多，行业经营发展环境改善；二是惠州市再生资源行业协会等自律组织得到发展，通过宣贯国家政策、制定行规行约、搭建交流合作平台，有效提升了行业诚信经营、规范发展水平；三是产生了TCL环境科技、东江环保、新亿利、杰成、永旺利、恒创睿能、嵩源环保、骏宏环保、世合科技、创星、光远环保、光大环保能源、龙门绿富域、中商锂等再生资源回收和处理的头部企业，行业龙头的示范作用得到发挥，行业品牌化发展提速；四是产业经营逐步向深加工、多领域发展，行业与科技融合发展的态势进一步明朗，再生资源加工利用率持续提高</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再生资源处理能力日益增强。</w:t>
      </w:r>
    </w:p>
    <w:p>
      <w:pPr>
        <w:pageBreakBefore w:val="0"/>
        <w:widowControl w:val="0"/>
        <w:kinsoku/>
        <w:wordWrap/>
        <w:overflowPunct/>
        <w:topLinePunct w:val="0"/>
        <w:autoSpaceDE/>
        <w:autoSpaceDN/>
        <w:bidi w:val="0"/>
        <w:spacing w:before="0" w:beforeLines="0" w:after="0" w:afterLines="0" w:line="560" w:lineRule="exact"/>
        <w:ind w:firstLine="640" w:firstLineChars="200"/>
        <w:textAlignment w:val="auto"/>
        <w:rPr>
          <w:rFonts w:hint="eastAsia" w:ascii="Times New Roman" w:hAnsi="Times New Roman" w:eastAsia="仿宋" w:cs="仿宋"/>
          <w:b w:val="0"/>
          <w:bCs w:val="0"/>
          <w:color w:val="000000"/>
          <w:kern w:val="0"/>
          <w:sz w:val="32"/>
          <w:szCs w:val="32"/>
          <w:highlight w:val="none"/>
          <w:shd w:val="clear" w:color="auto" w:fill="auto"/>
          <w:lang w:val="en-US" w:eastAsia="zh-CN"/>
        </w:rPr>
      </w:pPr>
      <w:r>
        <w:rPr>
          <w:rFonts w:hint="eastAsia" w:eastAsia="仿宋"/>
          <w:bCs/>
          <w:color w:val="000000"/>
          <w:kern w:val="0"/>
          <w:sz w:val="32"/>
          <w:szCs w:val="32"/>
          <w:highlight w:val="none"/>
          <w:shd w:val="clear" w:color="auto" w:fill="auto"/>
          <w:lang w:eastAsia="zh-CN"/>
        </w:rPr>
        <w:t xml:space="preserve">在行业快速发展的基础上，我市各类废旧物资的处置与利用初具规模。2022年，我市一般工业固体废物产生量234.49万吨，城市生活垃圾产生总量为410.25万吨。根据不完全统计和初步估算，2022年惠州市全年再生资源回收量达85万吨，其中废纸约41万吨，废钢铁约29万吨，废有色金属约5万吨，废塑料约7万吨，废玻璃1.2万吨，废橡胶0.6万吨，其他回收量1.2万吨。资源循环利用产业产值达到160亿元，占GDP的比重约2.9%。 </w:t>
      </w:r>
    </w:p>
    <w:p>
      <w:pPr>
        <w:pageBreakBefore w:val="0"/>
        <w:widowControl w:val="0"/>
        <w:kinsoku/>
        <w:wordWrap/>
        <w:overflowPunct/>
        <w:topLinePunct w:val="0"/>
        <w:autoSpaceDE/>
        <w:autoSpaceDN/>
        <w:bidi w:val="0"/>
        <w:spacing w:beforeLines="0" w:afterLines="0" w:line="560" w:lineRule="exact"/>
        <w:ind w:firstLine="640" w:firstLineChars="200"/>
        <w:outlineLvl w:val="1"/>
        <w:rPr>
          <w:rFonts w:hint="default" w:ascii="Times New Roman" w:hAnsi="Times New Roman" w:eastAsia="仿宋" w:cs="仿宋"/>
          <w:b w:val="0"/>
          <w:bCs/>
          <w:color w:val="000000"/>
          <w:kern w:val="0"/>
          <w:sz w:val="32"/>
          <w:szCs w:val="28"/>
          <w:highlight w:val="none"/>
          <w:shd w:val="clear" w:color="auto" w:fill="auto"/>
          <w:lang w:val="en-US" w:eastAsia="zh-CN"/>
        </w:rPr>
      </w:pPr>
      <w:bookmarkStart w:id="20" w:name="_Toc12195"/>
      <w:bookmarkStart w:id="21" w:name="_Toc1151678303"/>
      <w:r>
        <w:rPr>
          <w:rFonts w:hint="eastAsia" w:ascii="楷体" w:hAnsi="楷体" w:eastAsia="楷体" w:cs="楷体"/>
          <w:b w:val="0"/>
          <w:bCs w:val="0"/>
          <w:color w:val="000000"/>
          <w:sz w:val="32"/>
          <w:szCs w:val="32"/>
          <w:highlight w:val="none"/>
          <w:shd w:val="clear" w:color="auto" w:fill="auto"/>
        </w:rPr>
        <w:t>（</w:t>
      </w:r>
      <w:r>
        <w:rPr>
          <w:rFonts w:hint="eastAsia" w:ascii="楷体" w:hAnsi="楷体" w:eastAsia="楷体" w:cs="楷体"/>
          <w:b w:val="0"/>
          <w:bCs w:val="0"/>
          <w:color w:val="000000"/>
          <w:sz w:val="32"/>
          <w:szCs w:val="32"/>
          <w:highlight w:val="none"/>
          <w:shd w:val="clear" w:color="auto" w:fill="auto"/>
          <w:lang w:eastAsia="zh-CN"/>
        </w:rPr>
        <w:t>二</w:t>
      </w:r>
      <w:r>
        <w:rPr>
          <w:rFonts w:hint="eastAsia" w:ascii="楷体" w:hAnsi="楷体" w:eastAsia="楷体" w:cs="楷体"/>
          <w:b w:val="0"/>
          <w:bCs w:val="0"/>
          <w:color w:val="000000"/>
          <w:sz w:val="32"/>
          <w:szCs w:val="32"/>
          <w:highlight w:val="none"/>
          <w:shd w:val="clear" w:color="auto" w:fill="auto"/>
        </w:rPr>
        <w:t>）</w:t>
      </w:r>
      <w:r>
        <w:rPr>
          <w:rFonts w:hint="eastAsia" w:ascii="楷体" w:hAnsi="楷体" w:eastAsia="楷体" w:cs="楷体"/>
          <w:b w:val="0"/>
          <w:bCs w:val="0"/>
          <w:color w:val="000000"/>
          <w:sz w:val="32"/>
          <w:szCs w:val="32"/>
          <w:highlight w:val="none"/>
          <w:shd w:val="clear" w:color="auto" w:fill="auto"/>
          <w:lang w:eastAsia="zh-CN"/>
        </w:rPr>
        <w:t>产业发</w:t>
      </w:r>
      <w:r>
        <w:rPr>
          <w:rFonts w:hint="eastAsia" w:ascii="楷体" w:hAnsi="楷体" w:eastAsia="楷体" w:cs="楷体"/>
          <w:b w:val="0"/>
          <w:bCs w:val="0"/>
          <w:color w:val="000000"/>
          <w:sz w:val="32"/>
          <w:szCs w:val="32"/>
          <w:highlight w:val="none"/>
          <w:shd w:val="clear" w:color="auto" w:fill="auto"/>
        </w:rPr>
        <w:t>展趋势</w:t>
      </w:r>
      <w:bookmarkEnd w:id="20"/>
      <w:bookmarkEnd w:id="21"/>
      <w:r>
        <w:rPr>
          <w:rFonts w:hint="eastAsia" w:ascii="楷体" w:hAnsi="楷体" w:eastAsia="楷体" w:cs="楷体"/>
          <w:b w:val="0"/>
          <w:bCs w:val="0"/>
          <w:color w:val="000000"/>
          <w:sz w:val="32"/>
          <w:szCs w:val="32"/>
          <w:highlight w:val="none"/>
          <w:shd w:val="clear" w:color="auto" w:fill="auto"/>
          <w:lang w:eastAsia="zh-CN"/>
        </w:rPr>
        <w:t>。</w:t>
      </w:r>
      <w:bookmarkEnd w:id="15"/>
      <w:bookmarkStart w:id="22" w:name="_Toc9366"/>
    </w:p>
    <w:p>
      <w:pPr>
        <w:pStyle w:val="3"/>
        <w:pageBreakBefore w:val="0"/>
        <w:widowControl w:val="0"/>
        <w:kinsoku/>
        <w:wordWrap/>
        <w:overflowPunct/>
        <w:topLinePunct w:val="0"/>
        <w:autoSpaceDE/>
        <w:autoSpaceDN/>
        <w:bidi w:val="0"/>
        <w:spacing w:before="0" w:beforeLines="0" w:after="0" w:afterLines="0" w:line="560" w:lineRule="exact"/>
        <w:rPr>
          <w:rFonts w:hint="eastAsia"/>
          <w:b w:val="0"/>
          <w:bCs/>
          <w:color w:val="000000"/>
          <w:highlight w:val="none"/>
          <w:shd w:val="clear" w:color="auto" w:fill="auto"/>
          <w:lang w:eastAsia="zh-CN"/>
        </w:rPr>
      </w:pPr>
      <w:r>
        <w:rPr>
          <w:rFonts w:hint="eastAsia" w:ascii="Times New Roman" w:hAnsi="Times New Roman" w:eastAsia="仿宋" w:cs="仿宋"/>
          <w:b w:val="0"/>
          <w:bCs w:val="0"/>
          <w:i w:val="0"/>
          <w:iCs w:val="0"/>
          <w:caps w:val="0"/>
          <w:color w:val="000000"/>
          <w:spacing w:val="0"/>
          <w:sz w:val="32"/>
          <w:szCs w:val="32"/>
          <w:highlight w:val="none"/>
          <w:shd w:val="clear" w:color="auto" w:fill="auto"/>
        </w:rPr>
        <w:t>作为粤港澳大湾区重要节点城市，</w:t>
      </w:r>
      <w:r>
        <w:rPr>
          <w:rFonts w:hint="eastAsia" w:eastAsia="仿宋" w:cs="仿宋"/>
          <w:b w:val="0"/>
          <w:bCs w:val="0"/>
          <w:i w:val="0"/>
          <w:iCs w:val="0"/>
          <w:caps w:val="0"/>
          <w:color w:val="000000"/>
          <w:spacing w:val="0"/>
          <w:sz w:val="32"/>
          <w:szCs w:val="32"/>
          <w:highlight w:val="none"/>
          <w:shd w:val="clear" w:color="auto" w:fill="auto"/>
          <w:lang w:eastAsia="zh-CN"/>
        </w:rPr>
        <w:t>我</w:t>
      </w:r>
      <w:r>
        <w:rPr>
          <w:rFonts w:hint="eastAsia" w:ascii="Times New Roman" w:hAnsi="Times New Roman" w:eastAsia="仿宋" w:cs="仿宋"/>
          <w:b w:val="0"/>
          <w:bCs w:val="0"/>
          <w:i w:val="0"/>
          <w:iCs w:val="0"/>
          <w:caps w:val="0"/>
          <w:color w:val="000000"/>
          <w:spacing w:val="0"/>
          <w:sz w:val="32"/>
          <w:szCs w:val="32"/>
          <w:highlight w:val="none"/>
          <w:shd w:val="clear" w:color="auto" w:fill="auto"/>
        </w:rPr>
        <w:t>市深入实施制造业当家战略，产业集聚度进一步增强，绿色低碳转型步伐加快，新型储能产业发展势头迅猛，“3+7”产业园区投资逐年增长，园区循环发展模式正在逐步构建。全市以绿色低碳循环发展理念为引领，统筹城市发展与固体废物管理，强化制度、技术、市场、监管等保障体系逐步完善的“无废城市”建设加快推进，再生资源回收及固体废物处置产业逐渐兴起。城市生活垃圾分类推动再生资源回收网络向企业、社区延伸，促进生活垃圾分类与资源回收体系“两网融合”，有效促进可回收垃圾收集效率，提高生活垃圾资源化率。到2025年底，全市工业固体废物综合利用率达到97.70%；危险废物综合利用率提高到62%；生活垃圾回收利用率达到40%；建筑垃圾资源化利用率达到35%，有效带动再生资源回收产业发展。</w:t>
      </w:r>
      <w:bookmarkStart w:id="23" w:name="_Toc1358107393"/>
    </w:p>
    <w:p>
      <w:pPr>
        <w:pStyle w:val="3"/>
        <w:pageBreakBefore w:val="0"/>
        <w:widowControl w:val="0"/>
        <w:kinsoku/>
        <w:wordWrap/>
        <w:overflowPunct/>
        <w:topLinePunct w:val="0"/>
        <w:autoSpaceDE/>
        <w:autoSpaceDN/>
        <w:bidi w:val="0"/>
        <w:spacing w:before="0" w:beforeLines="0" w:after="0" w:afterLines="0" w:line="560" w:lineRule="exact"/>
        <w:rPr>
          <w:rFonts w:hint="eastAsia"/>
          <w:b w:val="0"/>
          <w:bCs/>
          <w:color w:val="000000"/>
          <w:highlight w:val="none"/>
          <w:shd w:val="clear" w:color="auto" w:fill="auto"/>
        </w:rPr>
      </w:pPr>
      <w:r>
        <w:rPr>
          <w:rFonts w:hint="eastAsia"/>
          <w:b w:val="0"/>
          <w:bCs/>
          <w:color w:val="000000"/>
          <w:highlight w:val="none"/>
          <w:shd w:val="clear" w:color="auto" w:fill="auto"/>
          <w:lang w:eastAsia="zh-CN"/>
        </w:rPr>
        <w:t>三</w:t>
      </w:r>
      <w:r>
        <w:rPr>
          <w:rFonts w:hint="eastAsia"/>
          <w:b w:val="0"/>
          <w:bCs/>
          <w:color w:val="000000"/>
          <w:highlight w:val="none"/>
          <w:shd w:val="clear" w:color="auto" w:fill="auto"/>
        </w:rPr>
        <w:t>、规划总体思路</w:t>
      </w:r>
      <w:bookmarkEnd w:id="22"/>
      <w:bookmarkEnd w:id="23"/>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cs="Times New Roman"/>
          <w:b w:val="0"/>
          <w:bCs w:val="0"/>
          <w:color w:val="000000"/>
          <w:kern w:val="2"/>
          <w:sz w:val="32"/>
          <w:szCs w:val="24"/>
          <w:highlight w:val="none"/>
          <w:shd w:val="clear" w:color="auto" w:fill="auto"/>
          <w:lang w:eastAsia="zh-CN"/>
        </w:rPr>
      </w:pPr>
      <w:bookmarkStart w:id="24" w:name="_Toc2094051154"/>
      <w:bookmarkStart w:id="25" w:name="_Toc6194"/>
      <w:r>
        <w:rPr>
          <w:rFonts w:hint="eastAsia" w:ascii="Arial" w:hAnsi="Arial" w:eastAsia="方正楷体_GBK" w:cs="Times New Roman"/>
          <w:b w:val="0"/>
          <w:bCs w:val="0"/>
          <w:color w:val="000000"/>
          <w:kern w:val="2"/>
          <w:sz w:val="32"/>
          <w:szCs w:val="24"/>
          <w:highlight w:val="none"/>
          <w:shd w:val="clear" w:color="auto" w:fill="auto"/>
        </w:rPr>
        <w:t>（一）指导思想</w:t>
      </w:r>
      <w:bookmarkEnd w:id="24"/>
      <w:bookmarkEnd w:id="25"/>
      <w:r>
        <w:rPr>
          <w:rFonts w:hint="eastAsia" w:cs="Times New Roman"/>
          <w:b w:val="0"/>
          <w:bCs w:val="0"/>
          <w:color w:val="000000"/>
          <w:kern w:val="2"/>
          <w:sz w:val="32"/>
          <w:szCs w:val="24"/>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eastAsia="仿宋"/>
          <w:bCs/>
          <w:kern w:val="0"/>
          <w:sz w:val="32"/>
          <w:szCs w:val="32"/>
          <w:highlight w:val="none"/>
          <w:shd w:val="clear" w:color="auto" w:fill="auto"/>
        </w:rPr>
      </w:pPr>
      <w:r>
        <w:rPr>
          <w:rFonts w:eastAsia="仿宋"/>
          <w:bCs/>
          <w:kern w:val="0"/>
          <w:sz w:val="32"/>
          <w:szCs w:val="32"/>
          <w:highlight w:val="none"/>
          <w:shd w:val="clear" w:color="auto" w:fill="auto"/>
        </w:rPr>
        <w:t>以习近平新时代中国特色社会主义思想为指导，坚持创新、协调、绿色、开放、共享的发展理念</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以</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减量化、再利用、资源化</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为导向，根据国土空间规划、城乡建设规划以及再生资源规范发展有关规定和标准，结合</w:t>
      </w:r>
      <w:r>
        <w:rPr>
          <w:rFonts w:hint="eastAsia" w:eastAsia="仿宋"/>
          <w:bCs/>
          <w:kern w:val="0"/>
          <w:sz w:val="32"/>
          <w:szCs w:val="32"/>
          <w:highlight w:val="none"/>
          <w:shd w:val="clear" w:color="auto" w:fill="auto"/>
          <w:lang w:eastAsia="zh-CN"/>
        </w:rPr>
        <w:t>我</w:t>
      </w:r>
      <w:r>
        <w:rPr>
          <w:rFonts w:eastAsia="仿宋"/>
          <w:bCs/>
          <w:kern w:val="0"/>
          <w:sz w:val="32"/>
          <w:szCs w:val="32"/>
          <w:highlight w:val="none"/>
          <w:shd w:val="clear" w:color="auto" w:fill="auto"/>
        </w:rPr>
        <w:t>市实际，在充分整合和利用现有再生资源回收渠道基础上，合理布局，构建科学合理的再生资源回收体系，优化回收网点空间布局和监督管理，促进再生资源回收提质升级，引导行业规范化、集约化、规模化发展，以满足城市服务功能、净化人居环境、促进经济社会可持续发展。</w:t>
      </w:r>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cs="Times New Roman"/>
          <w:b w:val="0"/>
          <w:bCs w:val="0"/>
          <w:kern w:val="2"/>
          <w:sz w:val="32"/>
          <w:szCs w:val="24"/>
          <w:highlight w:val="none"/>
          <w:shd w:val="clear" w:color="auto" w:fill="auto"/>
          <w:lang w:eastAsia="zh-CN"/>
        </w:rPr>
      </w:pPr>
      <w:bookmarkStart w:id="26" w:name="_Toc1942655316"/>
      <w:bookmarkStart w:id="27" w:name="_Toc29226"/>
      <w:r>
        <w:rPr>
          <w:rFonts w:hint="eastAsia" w:ascii="Arial" w:hAnsi="Arial" w:eastAsia="方正楷体_GBK" w:cs="Times New Roman"/>
          <w:b w:val="0"/>
          <w:bCs w:val="0"/>
          <w:kern w:val="2"/>
          <w:sz w:val="32"/>
          <w:szCs w:val="24"/>
          <w:highlight w:val="none"/>
          <w:shd w:val="clear" w:color="auto" w:fill="auto"/>
        </w:rPr>
        <w:t>（二）基本原则</w:t>
      </w:r>
      <w:bookmarkEnd w:id="26"/>
      <w:bookmarkEnd w:id="27"/>
      <w:r>
        <w:rPr>
          <w:rFonts w:hint="eastAsia" w:cs="Times New Roman"/>
          <w:b w:val="0"/>
          <w:bCs w:val="0"/>
          <w:kern w:val="2"/>
          <w:sz w:val="32"/>
          <w:szCs w:val="24"/>
          <w:highlight w:val="none"/>
          <w:shd w:val="clear" w:color="auto" w:fill="auto"/>
          <w:lang w:eastAsia="zh-CN"/>
        </w:rPr>
        <w:t>。</w:t>
      </w:r>
    </w:p>
    <w:p>
      <w:pPr>
        <w:pStyle w:val="5"/>
        <w:ind w:firstLine="640" w:firstLineChars="200"/>
        <w:rPr>
          <w:rFonts w:ascii="Times New Roman" w:hAnsi="Times New Roman" w:eastAsia="仿宋"/>
          <w:b w:val="0"/>
          <w:bCs/>
          <w:color w:val="000000"/>
          <w:kern w:val="2"/>
          <w:sz w:val="32"/>
          <w:szCs w:val="28"/>
          <w:highlight w:val="none"/>
          <w:shd w:val="clear" w:color="auto" w:fill="auto"/>
        </w:rPr>
      </w:pPr>
      <w:r>
        <w:rPr>
          <w:rFonts w:hint="default" w:ascii="Times New Roman" w:hAnsi="Times New Roman" w:eastAsia="仿宋" w:cs="Times New Roman"/>
          <w:b w:val="0"/>
          <w:bCs/>
          <w:color w:val="000000"/>
          <w:szCs w:val="28"/>
          <w:highlight w:val="none"/>
          <w:shd w:val="clear" w:color="auto" w:fill="auto"/>
        </w:rPr>
        <w:t>1</w:t>
      </w:r>
      <w:r>
        <w:rPr>
          <w:rFonts w:hint="default" w:ascii="Times New Roman" w:hAnsi="Times New Roman" w:eastAsia="仿宋" w:cs="Times New Roman"/>
          <w:b w:val="0"/>
          <w:bCs/>
          <w:color w:val="000000"/>
          <w:szCs w:val="28"/>
          <w:highlight w:val="none"/>
          <w:shd w:val="clear" w:color="auto" w:fill="auto"/>
          <w:lang w:val="en-US" w:eastAsia="zh-CN"/>
        </w:rPr>
        <w:t>.</w:t>
      </w:r>
      <w:r>
        <w:rPr>
          <w:rFonts w:hint="default" w:ascii="Times New Roman" w:hAnsi="Times New Roman" w:cs="Times New Roman"/>
          <w:b w:val="0"/>
          <w:bCs/>
          <w:color w:val="000000"/>
          <w:szCs w:val="28"/>
          <w:highlight w:val="none"/>
          <w:shd w:val="clear" w:color="auto" w:fill="auto"/>
          <w:lang w:val="en-US" w:eastAsia="zh-CN"/>
        </w:rPr>
        <w:t xml:space="preserve"> </w:t>
      </w:r>
      <w:r>
        <w:rPr>
          <w:rFonts w:hint="default" w:ascii="Times New Roman" w:hAnsi="Times New Roman" w:eastAsia="仿宋" w:cs="Times New Roman"/>
          <w:b w:val="0"/>
          <w:bCs/>
          <w:color w:val="000000"/>
          <w:szCs w:val="28"/>
          <w:highlight w:val="none"/>
          <w:shd w:val="clear" w:color="auto" w:fill="auto"/>
        </w:rPr>
        <w:t>科学发展、有序竞争、合理布局</w:t>
      </w:r>
      <w:r>
        <w:rPr>
          <w:rFonts w:hint="default" w:ascii="Times New Roman" w:hAnsi="Times New Roman" w:cs="Times New Roman"/>
          <w:b w:val="0"/>
          <w:bCs/>
          <w:color w:val="000000"/>
          <w:szCs w:val="28"/>
          <w:highlight w:val="none"/>
          <w:shd w:val="clear" w:color="auto" w:fill="auto"/>
          <w:lang w:eastAsia="zh-CN"/>
        </w:rPr>
        <w:t>。</w:t>
      </w:r>
      <w:r>
        <w:rPr>
          <w:rFonts w:ascii="Times New Roman" w:hAnsi="Times New Roman" w:eastAsia="仿宋"/>
          <w:b w:val="0"/>
          <w:bCs/>
          <w:color w:val="000000"/>
          <w:kern w:val="2"/>
          <w:sz w:val="32"/>
          <w:szCs w:val="28"/>
          <w:highlight w:val="none"/>
          <w:shd w:val="clear" w:color="auto" w:fill="auto"/>
        </w:rPr>
        <w:t>结合全市行业发展现状、存在问题以及国际国内再生资源产业发展趋势，对回收体系进行整体设计和布局，构建多元化回收、集中分拣和拆解、安全储存运输和无害化处理的科学、完整的回收体系和营运模式。促进再生资源回收行业有序竞争，和谐发展，推动行业从松散粗放型向集约型、规模型、产业型、效益型方向转化。</w:t>
      </w:r>
    </w:p>
    <w:p>
      <w:pPr>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hint="eastAsia" w:eastAsia="仿宋" w:cs="仿宋"/>
          <w:b w:val="0"/>
          <w:bCs/>
          <w:color w:val="000000"/>
          <w:kern w:val="0"/>
          <w:sz w:val="32"/>
          <w:szCs w:val="28"/>
          <w:highlight w:val="none"/>
          <w:shd w:val="clear" w:color="auto" w:fill="auto"/>
          <w:lang w:val="en-US" w:eastAsia="zh-CN"/>
        </w:rPr>
        <w:t xml:space="preserve">2. </w:t>
      </w:r>
      <w:r>
        <w:rPr>
          <w:rFonts w:hint="default" w:ascii="Times New Roman" w:hAnsi="Times New Roman" w:eastAsia="仿宋" w:cs="仿宋"/>
          <w:b w:val="0"/>
          <w:bCs/>
          <w:color w:val="000000"/>
          <w:kern w:val="0"/>
          <w:sz w:val="32"/>
          <w:szCs w:val="28"/>
          <w:highlight w:val="none"/>
          <w:shd w:val="clear" w:color="auto" w:fill="auto"/>
        </w:rPr>
        <w:t>标准化、市场化、减量化、资源化和无害化</w:t>
      </w:r>
      <w:r>
        <w:rPr>
          <w:rFonts w:hint="eastAsia" w:eastAsia="仿宋" w:cs="仿宋"/>
          <w:b w:val="0"/>
          <w:bCs/>
          <w:color w:val="000000"/>
          <w:kern w:val="0"/>
          <w:sz w:val="32"/>
          <w:szCs w:val="28"/>
          <w:highlight w:val="none"/>
          <w:shd w:val="clear" w:color="auto" w:fill="auto"/>
          <w:lang w:eastAsia="zh-CN"/>
        </w:rPr>
        <w:t>。</w:t>
      </w:r>
      <w:r>
        <w:rPr>
          <w:rFonts w:eastAsia="仿宋"/>
          <w:bCs/>
          <w:kern w:val="0"/>
          <w:sz w:val="32"/>
          <w:szCs w:val="32"/>
          <w:highlight w:val="none"/>
          <w:shd w:val="clear" w:color="auto" w:fill="auto"/>
        </w:rPr>
        <w:t>坚持市场化运营管理，发挥市场在资源配置中的决定性作用，激发各类市场主体活力，破除不合理壁垒，规范垃圾处理第三方服务市场行为，着力促进行业自律，营造良好的市场环境，提升再生资源行业市场化水平。鼓励市场主体大胆探索创新模式和提升技术，促进回收行业提质升级。通过再生资源回收，减少废弃物污染，减轻废弃物处理工作量，提升再生资源回收利用效率。通过有效的分拣、清洁处理，将生活和生产过程中产生的固体废弃物转化为有价值的资源，形成完整、通畅的资源再生产供应链。严格再生资源回收处理过程的无害化要求，通过有效设施装备和技术应用，防止废水、废气、废尘及噪声污染，保障回收分拣处理后的再生资源符合规定的安全、卫生要求。</w:t>
      </w:r>
    </w:p>
    <w:p>
      <w:pPr>
        <w:pStyle w:val="5"/>
        <w:numPr>
          <w:ilvl w:val="0"/>
          <w:numId w:val="0"/>
        </w:numPr>
        <w:ind w:firstLine="640" w:firstLineChars="200"/>
        <w:rPr>
          <w:rFonts w:ascii="Times New Roman" w:hAnsi="Times New Roman" w:eastAsia="仿宋" w:cs="仿宋"/>
          <w:b w:val="0"/>
          <w:bCs/>
          <w:color w:val="000000"/>
          <w:kern w:val="2"/>
          <w:sz w:val="32"/>
          <w:szCs w:val="28"/>
          <w:highlight w:val="none"/>
          <w:shd w:val="clear" w:color="auto" w:fill="auto"/>
        </w:rPr>
      </w:pPr>
      <w:r>
        <w:rPr>
          <w:rFonts w:hint="eastAsia" w:ascii="Times New Roman" w:hAnsi="Times New Roman" w:cs="仿宋"/>
          <w:b w:val="0"/>
          <w:bCs/>
          <w:color w:val="000000"/>
          <w:szCs w:val="28"/>
          <w:highlight w:val="none"/>
          <w:shd w:val="clear" w:color="auto" w:fill="auto"/>
          <w:lang w:val="en-US" w:eastAsia="zh-CN"/>
        </w:rPr>
        <w:t xml:space="preserve">3. </w:t>
      </w:r>
      <w:r>
        <w:rPr>
          <w:rFonts w:ascii="Times New Roman" w:hAnsi="Times New Roman" w:eastAsia="仿宋" w:cs="仿宋"/>
          <w:b w:val="0"/>
          <w:bCs/>
          <w:color w:val="000000"/>
          <w:szCs w:val="28"/>
          <w:highlight w:val="none"/>
          <w:shd w:val="clear" w:color="auto" w:fill="auto"/>
        </w:rPr>
        <w:t>政府引导与企业自主发展结合、规划和管理有机结合、前瞻性与现实性相结合</w:t>
      </w:r>
      <w:r>
        <w:rPr>
          <w:rFonts w:hint="default" w:ascii="Times New Roman" w:hAnsi="Times New Roman" w:cs="仿宋"/>
          <w:b w:val="0"/>
          <w:bCs/>
          <w:color w:val="000000"/>
          <w:szCs w:val="28"/>
          <w:highlight w:val="none"/>
          <w:shd w:val="clear" w:color="auto" w:fill="auto"/>
          <w:lang w:eastAsia="zh-CN"/>
        </w:rPr>
        <w:t>。</w:t>
      </w:r>
      <w:r>
        <w:rPr>
          <w:rFonts w:ascii="Times New Roman" w:hAnsi="Times New Roman" w:eastAsia="仿宋" w:cs="仿宋"/>
          <w:b w:val="0"/>
          <w:bCs/>
          <w:color w:val="000000"/>
          <w:kern w:val="2"/>
          <w:sz w:val="32"/>
          <w:szCs w:val="28"/>
          <w:highlight w:val="none"/>
          <w:shd w:val="clear" w:color="auto" w:fill="auto"/>
        </w:rPr>
        <w:t>通过政府宣传引导和产业政策扶持，以及行业组织的自律，营造统一规范、公平、有序的市场环境，吸引更多资本、人才主动进入再生资源回收领域，引导产业集聚和整合发展，促进市场主体自主经营、有序发展。加强再生资源回收全程和全产业链管理，完善市、县（区）、乡镇（街道、园区）三级联合管理机制，创新信息化管理手段，实现再生资源产业的优化布局、规范运营和可持续发展。以国际视野和前瞻眼光把控再生资源产业发展方向和路径，同时结合城市属性和地方产业经济实际，按先易后难、分步实施、以点带面的工作思路，平稳有序推进再生资源回收行业良性发展，避免过于冒进</w:t>
      </w:r>
      <w:r>
        <w:rPr>
          <w:rFonts w:hint="default" w:ascii="Times New Roman" w:hAnsi="Times New Roman" w:eastAsia="仿宋" w:cs="仿宋"/>
          <w:b w:val="0"/>
          <w:bCs/>
          <w:color w:val="000000"/>
          <w:kern w:val="2"/>
          <w:sz w:val="32"/>
          <w:szCs w:val="28"/>
          <w:highlight w:val="none"/>
          <w:shd w:val="clear" w:color="auto" w:fill="auto"/>
          <w:lang w:eastAsia="zh-CN"/>
        </w:rPr>
        <w:t>或</w:t>
      </w:r>
      <w:r>
        <w:rPr>
          <w:rFonts w:ascii="Times New Roman" w:hAnsi="Times New Roman" w:eastAsia="仿宋" w:cs="仿宋"/>
          <w:b w:val="0"/>
          <w:bCs/>
          <w:color w:val="000000"/>
          <w:kern w:val="2"/>
          <w:sz w:val="32"/>
          <w:szCs w:val="28"/>
          <w:highlight w:val="none"/>
          <w:shd w:val="clear" w:color="auto" w:fill="auto"/>
        </w:rPr>
        <w:t>过于保守情形的出现。</w:t>
      </w:r>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cs="Times New Roman"/>
          <w:b w:val="0"/>
          <w:bCs w:val="0"/>
          <w:kern w:val="2"/>
          <w:sz w:val="32"/>
          <w:szCs w:val="24"/>
          <w:highlight w:val="none"/>
          <w:shd w:val="clear" w:color="auto" w:fill="auto"/>
          <w:lang w:eastAsia="zh-CN"/>
        </w:rPr>
      </w:pPr>
      <w:bookmarkStart w:id="28" w:name="_Toc14796"/>
      <w:bookmarkStart w:id="29" w:name="_Toc1494462297"/>
      <w:r>
        <w:rPr>
          <w:rFonts w:hint="eastAsia" w:ascii="Arial" w:hAnsi="Arial" w:eastAsia="方正楷体_GBK" w:cs="Times New Roman"/>
          <w:b w:val="0"/>
          <w:bCs w:val="0"/>
          <w:kern w:val="2"/>
          <w:sz w:val="32"/>
          <w:szCs w:val="24"/>
          <w:highlight w:val="none"/>
          <w:shd w:val="clear" w:color="auto" w:fill="auto"/>
        </w:rPr>
        <w:t>（三）发展目标</w:t>
      </w:r>
      <w:bookmarkEnd w:id="28"/>
      <w:bookmarkEnd w:id="29"/>
      <w:r>
        <w:rPr>
          <w:rFonts w:hint="eastAsia" w:cs="Times New Roman"/>
          <w:b w:val="0"/>
          <w:bCs w:val="0"/>
          <w:kern w:val="2"/>
          <w:sz w:val="32"/>
          <w:szCs w:val="24"/>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完善制度和政策供给，加强机制创新和模式创新，建构和完善以回收点和中转站为基础、以回收企业为核心、以分拣加工为重点，布局合理、管理规范、回收方式多元、重点品种回收率较高的回收体系，推动行业形成专业化经营能力提升、技术水平显著提高、规范运行机制健全、市场竞争有序的良好局面。</w:t>
      </w:r>
    </w:p>
    <w:p>
      <w:pPr>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left"/>
        <w:rPr>
          <w:rFonts w:hint="eastAsia" w:eastAsia="仿宋"/>
          <w:b/>
          <w:kern w:val="0"/>
          <w:sz w:val="32"/>
          <w:szCs w:val="32"/>
          <w:highlight w:val="none"/>
          <w:shd w:val="clear" w:color="auto" w:fill="auto"/>
          <w:lang w:val="en-US" w:eastAsia="zh-CN"/>
        </w:rPr>
      </w:pPr>
      <w:bookmarkStart w:id="30" w:name="_Toc19228"/>
      <w:r>
        <w:rPr>
          <w:rFonts w:hint="eastAsia" w:eastAsia="仿宋"/>
          <w:b w:val="0"/>
          <w:bCs/>
          <w:kern w:val="0"/>
          <w:sz w:val="32"/>
          <w:szCs w:val="32"/>
          <w:highlight w:val="none"/>
          <w:shd w:val="clear" w:color="auto" w:fill="auto"/>
          <w:lang w:val="en-US" w:eastAsia="zh-CN"/>
        </w:rPr>
        <w:t xml:space="preserve">1. </w:t>
      </w:r>
      <w:r>
        <w:rPr>
          <w:rFonts w:eastAsia="仿宋"/>
          <w:b w:val="0"/>
          <w:bCs/>
          <w:kern w:val="0"/>
          <w:sz w:val="32"/>
          <w:szCs w:val="32"/>
          <w:highlight w:val="none"/>
          <w:shd w:val="clear" w:color="auto" w:fill="auto"/>
        </w:rPr>
        <w:t>第一阶段（20</w:t>
      </w:r>
      <w:r>
        <w:rPr>
          <w:rFonts w:hint="eastAsia" w:eastAsia="仿宋"/>
          <w:b w:val="0"/>
          <w:bCs/>
          <w:kern w:val="0"/>
          <w:sz w:val="32"/>
          <w:szCs w:val="32"/>
          <w:highlight w:val="none"/>
          <w:shd w:val="clear" w:color="auto" w:fill="auto"/>
          <w:lang w:val="en-US" w:eastAsia="zh-CN"/>
        </w:rPr>
        <w:t>24</w:t>
      </w:r>
      <w:r>
        <w:rPr>
          <w:rFonts w:eastAsia="仿宋"/>
          <w:b w:val="0"/>
          <w:bCs/>
          <w:kern w:val="0"/>
          <w:sz w:val="32"/>
          <w:szCs w:val="32"/>
          <w:highlight w:val="none"/>
          <w:shd w:val="clear" w:color="auto" w:fill="auto"/>
        </w:rPr>
        <w:t>～2025年）</w:t>
      </w:r>
      <w:bookmarkEnd w:id="30"/>
      <w:r>
        <w:rPr>
          <w:rFonts w:eastAsia="仿宋"/>
          <w:bCs/>
          <w:kern w:val="0"/>
          <w:sz w:val="32"/>
          <w:szCs w:val="32"/>
          <w:highlight w:val="none"/>
          <w:shd w:val="clear" w:color="auto" w:fill="auto"/>
        </w:rPr>
        <w:t>为体系及制度建设、模式探索、经营实体（回收点、中转站、分拣中心）建设试点和稳步推广、规范运营管理经验积累阶段</w:t>
      </w:r>
      <w:r>
        <w:rPr>
          <w:rFonts w:hint="eastAsia" w:eastAsia="仿宋"/>
          <w:bCs/>
          <w:kern w:val="0"/>
          <w:sz w:val="32"/>
          <w:szCs w:val="32"/>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bCs/>
          <w:kern w:val="0"/>
          <w:sz w:val="32"/>
          <w:szCs w:val="32"/>
          <w:highlight w:val="none"/>
          <w:shd w:val="clear" w:color="auto" w:fill="auto"/>
        </w:rPr>
      </w:pPr>
      <w:r>
        <w:rPr>
          <w:rFonts w:eastAsia="仿宋"/>
          <w:bCs/>
          <w:kern w:val="0"/>
          <w:sz w:val="32"/>
          <w:szCs w:val="32"/>
          <w:highlight w:val="none"/>
          <w:shd w:val="clear" w:color="auto" w:fill="auto"/>
        </w:rPr>
        <w:t>（1）在土地利用总体规划和城市总体规划中，落实全市再生资源回收行业建设用地指标规划；</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（2）按照布局要求，完成50%以上的再生资源回收网点建设；</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（3）60%以上回收人员纳入规范化管理；</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（4）主要再生资源回收率达60%以上；</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（5）全市回收服务覆盖率达50%以上；</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（6）引进或培育具备规范收集、安全储运、环保分拣等回收综合服务能力较强的再生资源回收龙头示范企业5-8家。</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hint="eastAsia" w:eastAsia="仿宋"/>
          <w:b/>
          <w:kern w:val="0"/>
          <w:sz w:val="32"/>
          <w:szCs w:val="32"/>
          <w:highlight w:val="none"/>
          <w:shd w:val="clear" w:color="auto" w:fill="auto"/>
          <w:lang w:val="en-US" w:eastAsia="zh-CN"/>
        </w:rPr>
      </w:pPr>
      <w:r>
        <w:rPr>
          <w:rFonts w:hint="eastAsia" w:eastAsia="仿宋"/>
          <w:b w:val="0"/>
          <w:bCs/>
          <w:kern w:val="0"/>
          <w:sz w:val="32"/>
          <w:szCs w:val="32"/>
          <w:highlight w:val="none"/>
          <w:shd w:val="clear" w:color="auto" w:fill="auto"/>
          <w:lang w:val="en-US" w:eastAsia="zh-CN"/>
        </w:rPr>
        <w:t xml:space="preserve">2. </w:t>
      </w:r>
      <w:r>
        <w:rPr>
          <w:rFonts w:eastAsia="仿宋"/>
          <w:b w:val="0"/>
          <w:bCs/>
          <w:kern w:val="0"/>
          <w:sz w:val="32"/>
          <w:szCs w:val="32"/>
          <w:highlight w:val="none"/>
          <w:shd w:val="clear" w:color="auto" w:fill="auto"/>
        </w:rPr>
        <w:t>第二阶段（202</w:t>
      </w:r>
      <w:r>
        <w:rPr>
          <w:rFonts w:hint="eastAsia" w:eastAsia="仿宋"/>
          <w:b w:val="0"/>
          <w:bCs/>
          <w:kern w:val="0"/>
          <w:sz w:val="32"/>
          <w:szCs w:val="32"/>
          <w:highlight w:val="none"/>
          <w:shd w:val="clear" w:color="auto" w:fill="auto"/>
          <w:lang w:val="en-US" w:eastAsia="zh-CN"/>
        </w:rPr>
        <w:t>6</w:t>
      </w:r>
      <w:r>
        <w:rPr>
          <w:rFonts w:eastAsia="仿宋"/>
          <w:b w:val="0"/>
          <w:bCs/>
          <w:kern w:val="0"/>
          <w:sz w:val="32"/>
          <w:szCs w:val="32"/>
          <w:highlight w:val="none"/>
          <w:shd w:val="clear" w:color="auto" w:fill="auto"/>
        </w:rPr>
        <w:t>～202</w:t>
      </w:r>
      <w:r>
        <w:rPr>
          <w:rFonts w:hint="eastAsia" w:eastAsia="仿宋"/>
          <w:b w:val="0"/>
          <w:bCs/>
          <w:kern w:val="0"/>
          <w:sz w:val="32"/>
          <w:szCs w:val="32"/>
          <w:highlight w:val="none"/>
          <w:shd w:val="clear" w:color="auto" w:fill="auto"/>
          <w:lang w:val="en-US" w:eastAsia="zh-CN"/>
        </w:rPr>
        <w:t>8</w:t>
      </w:r>
      <w:r>
        <w:rPr>
          <w:rFonts w:eastAsia="仿宋"/>
          <w:b w:val="0"/>
          <w:bCs/>
          <w:kern w:val="0"/>
          <w:sz w:val="32"/>
          <w:szCs w:val="32"/>
          <w:highlight w:val="none"/>
          <w:shd w:val="clear" w:color="auto" w:fill="auto"/>
        </w:rPr>
        <w:t>年）</w:t>
      </w:r>
      <w:r>
        <w:rPr>
          <w:rFonts w:eastAsia="仿宋"/>
          <w:bCs/>
          <w:kern w:val="0"/>
          <w:sz w:val="32"/>
          <w:szCs w:val="32"/>
          <w:highlight w:val="none"/>
          <w:shd w:val="clear" w:color="auto" w:fill="auto"/>
        </w:rPr>
        <w:t>为体系及制度完善、模式复制、经营实体建设落地推进和全面铺开阶段。</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（1）在乡镇（街道、园区）总体规划和控制性详细规划中，落实乡镇（街道、园区）再生资源回收行业建设用地指标规划；</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（2）按照布局要求，完成80%再生资源回收网点建设；</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（3）85%以上回收人员纳入规范化管理；</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（4）主要再生资源回收率达85%以上；</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（5）全市回收服务覆盖率达80%；</w:t>
      </w:r>
    </w:p>
    <w:p>
      <w:pPr>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rPr>
          <w:rFonts w:eastAsia="仿宋"/>
          <w:bCs/>
          <w:kern w:val="0"/>
          <w:sz w:val="32"/>
          <w:szCs w:val="32"/>
          <w:highlight w:val="none"/>
          <w:shd w:val="clear" w:color="auto" w:fill="auto"/>
        </w:rPr>
      </w:pPr>
      <w:r>
        <w:rPr>
          <w:rFonts w:eastAsia="仿宋"/>
          <w:bCs/>
          <w:kern w:val="0"/>
          <w:sz w:val="32"/>
          <w:szCs w:val="32"/>
          <w:highlight w:val="none"/>
          <w:shd w:val="clear" w:color="auto" w:fill="auto"/>
        </w:rPr>
        <w:t>（6）引进或培育具备规范收集、安全储运、环保分拣等回收综合服务能力较强的再生资源回收龙头示范企业10-15家。</w:t>
      </w:r>
    </w:p>
    <w:p>
      <w:pPr>
        <w:pStyle w:val="4"/>
        <w:pageBreakBefore w:val="0"/>
        <w:widowControl w:val="0"/>
        <w:kinsoku/>
        <w:wordWrap/>
        <w:overflowPunct/>
        <w:topLinePunct w:val="0"/>
        <w:autoSpaceDE/>
        <w:autoSpaceDN/>
        <w:bidi w:val="0"/>
        <w:spacing w:before="0" w:beforeLines="0" w:after="0" w:afterLines="0" w:line="560" w:lineRule="exact"/>
        <w:ind w:firstLine="0"/>
        <w:rPr>
          <w:rFonts w:hint="eastAsia" w:ascii="Arial" w:hAnsi="Arial" w:eastAsia="方正楷体_GBK"/>
          <w:b w:val="0"/>
          <w:bCs w:val="0"/>
          <w:highlight w:val="none"/>
          <w:shd w:val="clear" w:color="auto" w:fill="auto"/>
          <w:lang w:eastAsia="zh-CN"/>
        </w:rPr>
      </w:pPr>
      <w:bookmarkStart w:id="31" w:name="_Toc1112710541"/>
      <w:r>
        <w:rPr>
          <w:rFonts w:hint="eastAsia" w:ascii="Arial" w:hAnsi="Arial"/>
          <w:b w:val="0"/>
          <w:bCs w:val="0"/>
          <w:highlight w:val="none"/>
          <w:shd w:val="clear" w:color="auto" w:fill="auto"/>
        </w:rPr>
        <w:t>（</w:t>
      </w:r>
      <w:r>
        <w:rPr>
          <w:rFonts w:hint="eastAsia" w:ascii="Arial" w:hAnsi="Arial"/>
          <w:b w:val="0"/>
          <w:bCs w:val="0"/>
          <w:highlight w:val="none"/>
          <w:shd w:val="clear" w:color="auto" w:fill="auto"/>
          <w:lang w:eastAsia="zh-CN"/>
        </w:rPr>
        <w:t>四</w:t>
      </w:r>
      <w:r>
        <w:rPr>
          <w:rFonts w:hint="eastAsia" w:ascii="Arial" w:hAnsi="Arial"/>
          <w:b w:val="0"/>
          <w:bCs w:val="0"/>
          <w:highlight w:val="none"/>
          <w:shd w:val="clear" w:color="auto" w:fill="auto"/>
        </w:rPr>
        <w:t>）</w:t>
      </w:r>
      <w:r>
        <w:rPr>
          <w:rFonts w:hint="eastAsia" w:ascii="楷体" w:hAnsi="楷体" w:eastAsia="楷体" w:cs="楷体"/>
          <w:b w:val="0"/>
          <w:bCs w:val="0"/>
          <w:highlight w:val="none"/>
          <w:shd w:val="clear" w:color="auto" w:fill="auto"/>
          <w:lang w:eastAsia="zh-CN"/>
        </w:rPr>
        <w:t>网点</w:t>
      </w:r>
      <w:r>
        <w:rPr>
          <w:rFonts w:hint="eastAsia" w:ascii="楷体" w:hAnsi="楷体" w:eastAsia="楷体" w:cs="楷体"/>
          <w:b w:val="0"/>
          <w:bCs w:val="0"/>
          <w:highlight w:val="none"/>
          <w:shd w:val="clear" w:color="auto" w:fill="auto"/>
        </w:rPr>
        <w:t>规划范围</w:t>
      </w:r>
      <w:r>
        <w:rPr>
          <w:rFonts w:hint="eastAsia" w:ascii="楷体" w:hAnsi="楷体" w:eastAsia="楷体" w:cs="楷体"/>
          <w:b w:val="0"/>
          <w:bCs w:val="0"/>
          <w:highlight w:val="none"/>
          <w:shd w:val="clear" w:color="auto" w:fill="auto"/>
          <w:lang w:eastAsia="zh-CN"/>
        </w:rPr>
        <w:t>及</w:t>
      </w:r>
      <w:r>
        <w:rPr>
          <w:rFonts w:hint="eastAsia" w:ascii="楷体" w:hAnsi="楷体" w:eastAsia="楷体" w:cs="楷体"/>
          <w:b w:val="0"/>
          <w:bCs w:val="0"/>
          <w:highlight w:val="none"/>
          <w:shd w:val="clear" w:color="auto" w:fill="auto"/>
        </w:rPr>
        <w:t>层次</w:t>
      </w:r>
      <w:bookmarkEnd w:id="31"/>
      <w:r>
        <w:rPr>
          <w:rFonts w:hint="eastAsia"/>
          <w:b w:val="0"/>
          <w:bCs w:val="0"/>
          <w:highlight w:val="none"/>
          <w:shd w:val="clear" w:color="auto" w:fill="auto"/>
          <w:lang w:eastAsia="zh-CN"/>
        </w:rPr>
        <w:t>。</w:t>
      </w:r>
    </w:p>
    <w:p>
      <w:pPr>
        <w:pageBreakBefore w:val="0"/>
        <w:widowControl w:val="0"/>
        <w:kinsoku/>
        <w:wordWrap/>
        <w:overflowPunct/>
        <w:topLinePunct w:val="0"/>
        <w:autoSpaceDE/>
        <w:autoSpaceDN/>
        <w:bidi w:val="0"/>
        <w:spacing w:beforeLines="0" w:afterLines="0" w:line="560" w:lineRule="exact"/>
        <w:ind w:firstLine="641"/>
        <w:rPr>
          <w:rFonts w:hint="eastAsia" w:ascii="Times New Roman" w:hAnsi="Times New Roman" w:eastAsia="仿宋" w:cs="仿宋"/>
          <w:kern w:val="0"/>
          <w:sz w:val="32"/>
          <w:szCs w:val="32"/>
          <w:highlight w:val="none"/>
          <w:shd w:val="clear" w:color="auto" w:fill="auto"/>
        </w:rPr>
      </w:pPr>
      <w:r>
        <w:rPr>
          <w:rFonts w:hint="eastAsia" w:ascii="Times New Roman" w:hAnsi="Times New Roman" w:eastAsia="仿宋" w:cs="仿宋"/>
          <w:kern w:val="0"/>
          <w:sz w:val="32"/>
          <w:szCs w:val="32"/>
          <w:highlight w:val="none"/>
          <w:shd w:val="clear" w:color="auto" w:fill="auto"/>
        </w:rPr>
        <w:t>本规划适用范围包含惠城区、惠阳区、大亚湾开发区</w:t>
      </w:r>
      <w:r>
        <w:rPr>
          <w:rFonts w:hint="eastAsia" w:eastAsia="仿宋" w:cs="仿宋"/>
          <w:kern w:val="0"/>
          <w:sz w:val="32"/>
          <w:szCs w:val="32"/>
          <w:highlight w:val="none"/>
          <w:shd w:val="clear" w:color="auto" w:fill="auto"/>
          <w:lang w:eastAsia="zh-CN"/>
        </w:rPr>
        <w:t>、</w:t>
      </w:r>
      <w:r>
        <w:rPr>
          <w:rFonts w:hint="eastAsia" w:ascii="Times New Roman" w:hAnsi="Times New Roman" w:eastAsia="仿宋" w:cs="仿宋"/>
          <w:kern w:val="0"/>
          <w:sz w:val="32"/>
          <w:szCs w:val="32"/>
          <w:highlight w:val="none"/>
          <w:shd w:val="clear" w:color="auto" w:fill="auto"/>
        </w:rPr>
        <w:t>仲恺高</w:t>
      </w:r>
      <w:r>
        <w:rPr>
          <w:rFonts w:hint="eastAsia" w:eastAsia="仿宋" w:cs="仿宋"/>
          <w:kern w:val="0"/>
          <w:sz w:val="32"/>
          <w:szCs w:val="32"/>
          <w:highlight w:val="none"/>
          <w:shd w:val="clear" w:color="auto" w:fill="auto"/>
          <w:lang w:eastAsia="zh-CN"/>
        </w:rPr>
        <w:t>新</w:t>
      </w:r>
      <w:r>
        <w:rPr>
          <w:rFonts w:hint="eastAsia" w:ascii="Times New Roman" w:hAnsi="Times New Roman" w:eastAsia="仿宋" w:cs="仿宋"/>
          <w:kern w:val="0"/>
          <w:sz w:val="32"/>
          <w:szCs w:val="32"/>
          <w:highlight w:val="none"/>
          <w:shd w:val="clear" w:color="auto" w:fill="auto"/>
        </w:rPr>
        <w:t>区、惠东县、博罗县、龙门县，</w:t>
      </w:r>
      <w:r>
        <w:rPr>
          <w:rFonts w:hint="eastAsia" w:ascii="Times New Roman" w:hAnsi="Times New Roman" w:eastAsia="仿宋" w:cs="仿宋"/>
          <w:sz w:val="32"/>
          <w:szCs w:val="32"/>
          <w:highlight w:val="none"/>
          <w:shd w:val="clear" w:color="auto" w:fill="auto"/>
        </w:rPr>
        <w:t>总面积为</w:t>
      </w:r>
      <w:r>
        <w:rPr>
          <w:rFonts w:hint="eastAsia" w:ascii="Times New Roman" w:hAnsi="Times New Roman" w:eastAsia="仿宋" w:cs="仿宋"/>
          <w:sz w:val="32"/>
          <w:szCs w:val="32"/>
          <w:highlight w:val="none"/>
          <w:shd w:val="clear" w:color="auto" w:fill="auto"/>
          <w:lang w:val="en-US" w:eastAsia="zh-CN"/>
        </w:rPr>
        <w:t>11347</w:t>
      </w:r>
      <w:r>
        <w:rPr>
          <w:rFonts w:hint="eastAsia" w:ascii="Times New Roman" w:hAnsi="Times New Roman" w:eastAsia="仿宋" w:cs="仿宋"/>
          <w:sz w:val="32"/>
          <w:szCs w:val="32"/>
          <w:highlight w:val="none"/>
          <w:shd w:val="clear" w:color="auto" w:fill="auto"/>
        </w:rPr>
        <w:t>平方公里。</w:t>
      </w:r>
    </w:p>
    <w:p>
      <w:pPr>
        <w:pageBreakBefore w:val="0"/>
        <w:widowControl w:val="0"/>
        <w:kinsoku/>
        <w:wordWrap/>
        <w:overflowPunct/>
        <w:topLinePunct w:val="0"/>
        <w:autoSpaceDE/>
        <w:autoSpaceDN/>
        <w:bidi w:val="0"/>
        <w:spacing w:before="0" w:beforeLines="0" w:afterLines="0" w:line="560" w:lineRule="exact"/>
        <w:ind w:firstLine="640" w:firstLineChars="200"/>
        <w:rPr>
          <w:rFonts w:eastAsia="仿宋"/>
          <w:sz w:val="32"/>
          <w:szCs w:val="32"/>
          <w:highlight w:val="none"/>
          <w:shd w:val="clear" w:color="auto" w:fill="auto"/>
        </w:rPr>
      </w:pPr>
      <w:r>
        <w:rPr>
          <w:rFonts w:hint="eastAsia" w:eastAsia="仿宋"/>
          <w:sz w:val="32"/>
          <w:szCs w:val="32"/>
          <w:highlight w:val="none"/>
          <w:shd w:val="clear" w:color="auto" w:fill="auto"/>
        </w:rPr>
        <w:t>本规划分为市域、县（区）中心区、中心区以外其他地区</w:t>
      </w:r>
      <w:r>
        <w:rPr>
          <w:rFonts w:hint="eastAsia" w:eastAsia="仿宋"/>
          <w:sz w:val="32"/>
          <w:szCs w:val="32"/>
          <w:highlight w:val="none"/>
          <w:shd w:val="clear" w:color="auto" w:fill="auto"/>
          <w:lang w:eastAsia="zh-CN"/>
        </w:rPr>
        <w:t>等</w:t>
      </w:r>
      <w:r>
        <w:rPr>
          <w:rFonts w:hint="eastAsia" w:eastAsia="仿宋"/>
          <w:sz w:val="32"/>
          <w:szCs w:val="32"/>
          <w:highlight w:val="none"/>
          <w:shd w:val="clear" w:color="auto" w:fill="auto"/>
        </w:rPr>
        <w:t>三个空间层次。市域指惠州市行政辖区全域，县（区）中心区指街道办事处，中心区以外其他地区指县（区）中心区街道以外的所有乡镇。</w:t>
      </w:r>
    </w:p>
    <w:p>
      <w:pPr>
        <w:pStyle w:val="4"/>
        <w:pageBreakBefore w:val="0"/>
        <w:widowControl w:val="0"/>
        <w:kinsoku/>
        <w:wordWrap/>
        <w:overflowPunct/>
        <w:topLinePunct w:val="0"/>
        <w:autoSpaceDE/>
        <w:autoSpaceDN/>
        <w:bidi w:val="0"/>
        <w:spacing w:before="0" w:beforeLines="0" w:after="0" w:afterLines="0" w:line="560" w:lineRule="exact"/>
        <w:ind w:firstLine="0"/>
        <w:rPr>
          <w:rFonts w:hint="eastAsia" w:ascii="Arial" w:hAnsi="Arial" w:eastAsia="方正楷体_GBK"/>
          <w:b w:val="0"/>
          <w:bCs w:val="0"/>
          <w:highlight w:val="none"/>
          <w:shd w:val="clear" w:color="auto" w:fill="auto"/>
          <w:lang w:eastAsia="zh-CN"/>
        </w:rPr>
      </w:pPr>
      <w:bookmarkStart w:id="32" w:name="_Toc2013598647"/>
      <w:r>
        <w:rPr>
          <w:rFonts w:hint="eastAsia" w:ascii="楷体" w:hAnsi="楷体" w:eastAsia="楷体" w:cs="楷体"/>
          <w:b w:val="0"/>
          <w:bCs w:val="0"/>
          <w:highlight w:val="none"/>
          <w:shd w:val="clear" w:color="auto" w:fill="auto"/>
        </w:rPr>
        <w:t>（</w:t>
      </w:r>
      <w:r>
        <w:rPr>
          <w:rFonts w:hint="eastAsia" w:ascii="楷体" w:hAnsi="楷体" w:eastAsia="楷体" w:cs="楷体"/>
          <w:b w:val="0"/>
          <w:bCs w:val="0"/>
          <w:highlight w:val="none"/>
          <w:shd w:val="clear" w:color="auto" w:fill="auto"/>
          <w:lang w:eastAsia="zh-CN"/>
        </w:rPr>
        <w:t>五</w:t>
      </w:r>
      <w:r>
        <w:rPr>
          <w:rFonts w:hint="eastAsia" w:ascii="楷体" w:hAnsi="楷体" w:eastAsia="楷体" w:cs="楷体"/>
          <w:b w:val="0"/>
          <w:bCs w:val="0"/>
          <w:highlight w:val="none"/>
          <w:shd w:val="clear" w:color="auto" w:fill="auto"/>
        </w:rPr>
        <w:t>）</w:t>
      </w:r>
      <w:r>
        <w:rPr>
          <w:rFonts w:hint="eastAsia" w:ascii="楷体" w:hAnsi="楷体" w:eastAsia="楷体" w:cs="楷体"/>
          <w:b w:val="0"/>
          <w:bCs w:val="0"/>
          <w:highlight w:val="none"/>
          <w:shd w:val="clear" w:color="auto" w:fill="auto"/>
          <w:lang w:eastAsia="zh-CN"/>
        </w:rPr>
        <w:t>网点</w:t>
      </w:r>
      <w:r>
        <w:rPr>
          <w:rFonts w:hint="eastAsia" w:ascii="楷体" w:hAnsi="楷体" w:eastAsia="楷体" w:cs="楷体"/>
          <w:b w:val="0"/>
          <w:bCs w:val="0"/>
          <w:highlight w:val="none"/>
          <w:shd w:val="clear" w:color="auto" w:fill="auto"/>
        </w:rPr>
        <w:t>规划对象</w:t>
      </w:r>
      <w:bookmarkEnd w:id="32"/>
      <w:r>
        <w:rPr>
          <w:rFonts w:hint="eastAsia"/>
          <w:b w:val="0"/>
          <w:bCs w:val="0"/>
          <w:highlight w:val="none"/>
          <w:shd w:val="clear" w:color="auto" w:fill="auto"/>
          <w:lang w:eastAsia="zh-CN"/>
        </w:rPr>
        <w:t>。</w:t>
      </w:r>
    </w:p>
    <w:p>
      <w:pPr>
        <w:spacing w:line="560" w:lineRule="exact"/>
        <w:ind w:firstLine="640" w:firstLineChars="200"/>
        <w:rPr>
          <w:rFonts w:eastAsia="仿宋"/>
          <w:bCs/>
          <w:kern w:val="0"/>
          <w:sz w:val="32"/>
          <w:szCs w:val="32"/>
          <w:highlight w:val="none"/>
          <w:shd w:val="clear" w:color="auto" w:fill="auto"/>
        </w:rPr>
      </w:pPr>
      <w:r>
        <w:rPr>
          <w:rFonts w:eastAsia="仿宋"/>
          <w:bCs/>
          <w:kern w:val="0"/>
          <w:sz w:val="32"/>
          <w:szCs w:val="32"/>
          <w:highlight w:val="none"/>
          <w:shd w:val="clear" w:color="auto" w:fill="auto"/>
        </w:rPr>
        <w:t>本规划对象包括</w:t>
      </w:r>
      <w:r>
        <w:rPr>
          <w:rFonts w:eastAsia="仿宋"/>
          <w:sz w:val="32"/>
          <w:szCs w:val="32"/>
          <w:highlight w:val="none"/>
          <w:shd w:val="clear" w:color="auto" w:fill="auto"/>
        </w:rPr>
        <w:t>业态和业种两方面</w:t>
      </w:r>
      <w:r>
        <w:rPr>
          <w:rFonts w:hint="eastAsia" w:eastAsia="仿宋"/>
          <w:sz w:val="32"/>
          <w:szCs w:val="32"/>
          <w:highlight w:val="none"/>
          <w:shd w:val="clear" w:color="auto" w:fill="auto"/>
          <w:lang w:eastAsia="zh-CN"/>
        </w:rPr>
        <w:t>。</w:t>
      </w:r>
      <w:r>
        <w:rPr>
          <w:rFonts w:eastAsia="仿宋"/>
          <w:sz w:val="32"/>
          <w:szCs w:val="32"/>
          <w:highlight w:val="none"/>
          <w:shd w:val="clear" w:color="auto" w:fill="auto"/>
        </w:rPr>
        <w:t>业态方面主要包括回收点、中转站、分拣中心等从事再生资源回收经营活动等。业种方面主要为固体废弃物，</w:t>
      </w:r>
      <w:r>
        <w:rPr>
          <w:rFonts w:eastAsia="仿宋"/>
          <w:bCs/>
          <w:kern w:val="0"/>
          <w:sz w:val="32"/>
          <w:szCs w:val="32"/>
          <w:highlight w:val="none"/>
          <w:shd w:val="clear" w:color="auto" w:fill="auto"/>
        </w:rPr>
        <w:t>具体包括废旧金属、报废电子产品、报废</w:t>
      </w:r>
      <w:r>
        <w:rPr>
          <w:rFonts w:eastAsia="仿宋"/>
          <w:bCs/>
          <w:color w:val="000000"/>
          <w:kern w:val="0"/>
          <w:sz w:val="32"/>
          <w:szCs w:val="32"/>
          <w:highlight w:val="none"/>
          <w:shd w:val="clear" w:color="auto" w:fill="auto"/>
        </w:rPr>
        <w:t>机电设备及其零部件、废造纸原料（如废纸、废棉、废木等）、废轻化工原料（如橡胶、塑料等）、废玻璃、废软包装等固体废弃物的回收。</w:t>
      </w:r>
      <w:r>
        <w:rPr>
          <w:rFonts w:eastAsia="仿宋"/>
          <w:color w:val="000000"/>
          <w:sz w:val="32"/>
          <w:szCs w:val="32"/>
          <w:highlight w:val="none"/>
          <w:shd w:val="clear" w:color="auto" w:fill="auto"/>
        </w:rPr>
        <w:t>重点是废旧日用品、生活垃圾、工业垃圾等固体废弃物中的可回收加工利用再生资源回收。不包括气体和液体；也</w:t>
      </w:r>
      <w:r>
        <w:rPr>
          <w:rFonts w:eastAsia="仿宋"/>
          <w:sz w:val="32"/>
          <w:szCs w:val="32"/>
          <w:highlight w:val="none"/>
          <w:shd w:val="clear" w:color="auto" w:fill="auto"/>
        </w:rPr>
        <w:t>不包括危险废物、医疗废物、建筑垃圾、餐厨垃圾、大件垃圾等需专业闭环收运的特殊处理处置废弃物回收。</w:t>
      </w:r>
    </w:p>
    <w:p>
      <w:pPr>
        <w:pStyle w:val="3"/>
        <w:pageBreakBefore w:val="0"/>
        <w:widowControl w:val="0"/>
        <w:kinsoku/>
        <w:wordWrap/>
        <w:overflowPunct/>
        <w:topLinePunct w:val="0"/>
        <w:autoSpaceDE/>
        <w:autoSpaceDN/>
        <w:bidi w:val="0"/>
        <w:spacing w:before="0" w:beforeLines="0" w:after="0" w:afterLines="0" w:line="560" w:lineRule="exact"/>
        <w:rPr>
          <w:rFonts w:hint="eastAsia" w:eastAsia="黑体"/>
          <w:b w:val="0"/>
          <w:bCs/>
          <w:highlight w:val="none"/>
          <w:shd w:val="clear" w:color="auto" w:fill="auto"/>
          <w:lang w:eastAsia="zh-CN"/>
        </w:rPr>
      </w:pPr>
      <w:bookmarkStart w:id="33" w:name="_Toc18036"/>
      <w:bookmarkStart w:id="34" w:name="_Toc1012264984"/>
      <w:r>
        <w:rPr>
          <w:rFonts w:hint="eastAsia"/>
          <w:b w:val="0"/>
          <w:bCs/>
          <w:highlight w:val="none"/>
          <w:shd w:val="clear" w:color="auto" w:fill="auto"/>
          <w:lang w:eastAsia="zh-CN"/>
        </w:rPr>
        <w:t>四</w:t>
      </w:r>
      <w:r>
        <w:rPr>
          <w:rFonts w:hint="eastAsia"/>
          <w:b w:val="0"/>
          <w:bCs/>
          <w:highlight w:val="none"/>
          <w:shd w:val="clear" w:color="auto" w:fill="auto"/>
        </w:rPr>
        <w:t>、再生资源回收体系</w:t>
      </w:r>
      <w:bookmarkEnd w:id="33"/>
      <w:r>
        <w:rPr>
          <w:rFonts w:hint="eastAsia"/>
          <w:b w:val="0"/>
          <w:bCs/>
          <w:highlight w:val="none"/>
          <w:shd w:val="clear" w:color="auto" w:fill="auto"/>
          <w:lang w:eastAsia="zh-CN"/>
        </w:rPr>
        <w:t>规划</w:t>
      </w:r>
      <w:bookmarkEnd w:id="34"/>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cs="Times New Roman"/>
          <w:b w:val="0"/>
          <w:bCs w:val="0"/>
          <w:kern w:val="2"/>
          <w:sz w:val="32"/>
          <w:szCs w:val="24"/>
          <w:highlight w:val="none"/>
          <w:shd w:val="clear" w:color="auto" w:fill="auto"/>
          <w:lang w:eastAsia="zh-CN"/>
        </w:rPr>
      </w:pPr>
      <w:bookmarkStart w:id="35" w:name="_Toc2369"/>
      <w:bookmarkStart w:id="36" w:name="_Toc1430600384"/>
      <w:r>
        <w:rPr>
          <w:rFonts w:hint="eastAsia" w:ascii="Arial" w:hAnsi="Arial" w:eastAsia="方正楷体_GBK" w:cs="Times New Roman"/>
          <w:b w:val="0"/>
          <w:bCs w:val="0"/>
          <w:kern w:val="2"/>
          <w:sz w:val="32"/>
          <w:szCs w:val="24"/>
          <w:highlight w:val="none"/>
          <w:shd w:val="clear" w:color="auto" w:fill="auto"/>
        </w:rPr>
        <w:t>（一）“两网融合”的回收体系设置</w:t>
      </w:r>
      <w:bookmarkEnd w:id="35"/>
      <w:bookmarkEnd w:id="36"/>
      <w:r>
        <w:rPr>
          <w:rFonts w:hint="eastAsia" w:cs="Times New Roman"/>
          <w:b w:val="0"/>
          <w:bCs w:val="0"/>
          <w:kern w:val="2"/>
          <w:sz w:val="32"/>
          <w:szCs w:val="24"/>
          <w:highlight w:val="none"/>
          <w:shd w:val="clear" w:color="auto" w:fill="auto"/>
          <w:lang w:eastAsia="zh-CN"/>
        </w:rPr>
        <w:t>。</w:t>
      </w:r>
    </w:p>
    <w:p>
      <w:pPr>
        <w:pStyle w:val="35"/>
        <w:pageBreakBefore w:val="0"/>
        <w:widowControl w:val="0"/>
        <w:kinsoku/>
        <w:wordWrap/>
        <w:overflowPunct/>
        <w:topLinePunct w:val="0"/>
        <w:autoSpaceDE/>
        <w:autoSpaceDN/>
        <w:bidi w:val="0"/>
        <w:spacing w:beforeLines="0" w:afterLines="0" w:line="560" w:lineRule="exact"/>
        <w:ind w:firstLine="640" w:firstLineChars="200"/>
        <w:rPr>
          <w:rFonts w:eastAsia="仿宋"/>
          <w:bCs/>
          <w:kern w:val="0"/>
          <w:sz w:val="32"/>
          <w:szCs w:val="32"/>
          <w:highlight w:val="none"/>
          <w:shd w:val="clear" w:color="auto" w:fill="auto"/>
        </w:rPr>
      </w:pPr>
      <w:r>
        <w:rPr>
          <w:rFonts w:eastAsia="仿宋"/>
          <w:sz w:val="32"/>
          <w:szCs w:val="32"/>
          <w:highlight w:val="none"/>
          <w:shd w:val="clear" w:color="auto" w:fill="auto"/>
        </w:rPr>
        <w:t>在城市，巩固和提升以回收网点、中转站和分拣中心为代表的三级回收网络，并根据城市发展需要调整网络构成；在农村，建立城乡一体化、县域一盘棋的规划管理和实施机制，鼓励龙头企业延伸回收网点，以城带乡，城乡互动，建设与城镇化进程相适应的再生资源回收体系。同时，</w:t>
      </w:r>
      <w:r>
        <w:rPr>
          <w:rFonts w:eastAsia="仿宋"/>
          <w:bCs/>
          <w:kern w:val="0"/>
          <w:sz w:val="32"/>
          <w:szCs w:val="32"/>
          <w:highlight w:val="none"/>
          <w:shd w:val="clear" w:color="auto" w:fill="auto"/>
        </w:rPr>
        <w:t>根据再生资源产生来源不同，针对生活性再生资源和生产性再生资源设立回收体系，并通过城市生活垃圾回收网点的共享，实现</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两网融合</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发展。</w:t>
      </w:r>
    </w:p>
    <w:p>
      <w:pPr>
        <w:pStyle w:val="35"/>
        <w:pageBreakBefore w:val="0"/>
        <w:widowControl w:val="0"/>
        <w:kinsoku/>
        <w:wordWrap/>
        <w:overflowPunct/>
        <w:topLinePunct w:val="0"/>
        <w:autoSpaceDE/>
        <w:autoSpaceDN/>
        <w:bidi w:val="0"/>
        <w:spacing w:beforeLines="0" w:afterLines="0" w:line="560" w:lineRule="exact"/>
        <w:ind w:firstLine="640" w:firstLineChars="200"/>
        <w:rPr>
          <w:rFonts w:eastAsia="仿宋"/>
          <w:bCs/>
          <w:kern w:val="0"/>
          <w:sz w:val="32"/>
          <w:szCs w:val="32"/>
          <w:highlight w:val="none"/>
          <w:shd w:val="clear" w:color="auto" w:fill="auto"/>
        </w:rPr>
      </w:pPr>
    </w:p>
    <w:p>
      <w:pPr>
        <w:pStyle w:val="19"/>
        <w:spacing w:beforeAutospacing="0" w:afterAutospacing="0"/>
        <w:rPr>
          <w:highlight w:val="none"/>
          <w:shd w:val="clear" w:color="auto" w:fill="auto"/>
        </w:rPr>
      </w:pPr>
      <w:r>
        <w:rPr>
          <w:highlight w:val="none"/>
          <w:shd w:val="clear" w:color="auto" w:fill="auto"/>
        </w:rPr>
        <w:drawing>
          <wp:inline distT="0" distB="0" distL="114300" distR="114300">
            <wp:extent cx="5463540" cy="2847340"/>
            <wp:effectExtent l="9525" t="9525" r="13335" b="196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63540" cy="2847340"/>
                    </a:xfrm>
                    <a:prstGeom prst="rect">
                      <a:avLst/>
                    </a:prstGeom>
                    <a:noFill/>
                    <a:ln w="3175" cap="flat" cmpd="sng">
                      <a:solidFill>
                        <a:srgbClr val="BFBFBF"/>
                      </a:solidFill>
                      <a:prstDash val="solid"/>
                      <a:round/>
                      <a:headEnd type="none" w="med" len="med"/>
                      <a:tailEnd type="none" w="med" len="med"/>
                    </a:ln>
                  </pic:spPr>
                </pic:pic>
              </a:graphicData>
            </a:graphic>
          </wp:inline>
        </w:drawing>
      </w:r>
    </w:p>
    <w:p>
      <w:pPr>
        <w:pStyle w:val="19"/>
        <w:spacing w:beforeAutospacing="0" w:afterAutospacing="0"/>
        <w:jc w:val="center"/>
        <w:rPr>
          <w:rFonts w:eastAsia="仿宋"/>
          <w:bCs/>
          <w:color w:val="000000"/>
          <w:kern w:val="2"/>
          <w:highlight w:val="none"/>
          <w:shd w:val="clear" w:color="auto" w:fill="auto"/>
        </w:rPr>
      </w:pPr>
      <w:r>
        <w:rPr>
          <w:rFonts w:eastAsia="仿宋"/>
          <w:bCs/>
          <w:color w:val="000000"/>
          <w:kern w:val="2"/>
          <w:highlight w:val="none"/>
          <w:shd w:val="clear" w:color="auto" w:fill="auto"/>
        </w:rPr>
        <w:t>图</w:t>
      </w:r>
      <w:r>
        <w:rPr>
          <w:rFonts w:hint="eastAsia" w:eastAsia="仿宋"/>
          <w:bCs/>
          <w:color w:val="000000"/>
          <w:kern w:val="2"/>
          <w:highlight w:val="none"/>
          <w:shd w:val="clear" w:color="auto" w:fill="auto"/>
          <w:lang w:val="en-US" w:eastAsia="zh-CN"/>
        </w:rPr>
        <w:t>1</w:t>
      </w:r>
      <w:r>
        <w:rPr>
          <w:rFonts w:eastAsia="仿宋"/>
          <w:bCs/>
          <w:color w:val="000000"/>
          <w:kern w:val="2"/>
          <w:highlight w:val="none"/>
          <w:shd w:val="clear" w:color="auto" w:fill="auto"/>
        </w:rPr>
        <w:t xml:space="preserve">  再生资源回收路径</w:t>
      </w:r>
    </w:p>
    <w:p>
      <w:pPr>
        <w:pStyle w:val="5"/>
        <w:numPr>
          <w:ilvl w:val="0"/>
          <w:numId w:val="0"/>
        </w:numPr>
        <w:ind w:firstLine="640" w:firstLineChars="200"/>
        <w:rPr>
          <w:rFonts w:hint="eastAsia" w:eastAsia="仿宋"/>
          <w:sz w:val="32"/>
          <w:szCs w:val="32"/>
          <w:highlight w:val="none"/>
          <w:shd w:val="clear" w:color="auto" w:fill="auto"/>
          <w:lang w:val="en-US" w:eastAsia="zh-CN"/>
        </w:rPr>
      </w:pPr>
      <w:r>
        <w:rPr>
          <w:rFonts w:hint="eastAsia" w:ascii="Times New Roman" w:hAnsi="Times New Roman" w:cs="仿宋"/>
          <w:b w:val="0"/>
          <w:bCs/>
          <w:color w:val="000000"/>
          <w:szCs w:val="28"/>
          <w:highlight w:val="none"/>
          <w:shd w:val="clear" w:color="auto" w:fill="auto"/>
          <w:lang w:val="en-US" w:eastAsia="zh-CN"/>
        </w:rPr>
        <w:t xml:space="preserve">1. </w:t>
      </w:r>
      <w:r>
        <w:rPr>
          <w:rFonts w:ascii="Times New Roman" w:hAnsi="Times New Roman" w:eastAsia="仿宋" w:cs="仿宋"/>
          <w:b w:val="0"/>
          <w:bCs/>
          <w:color w:val="000000"/>
          <w:szCs w:val="28"/>
          <w:highlight w:val="none"/>
          <w:shd w:val="clear" w:color="auto" w:fill="auto"/>
        </w:rPr>
        <w:t>生活性再生资源回收体系设置</w:t>
      </w:r>
      <w:r>
        <w:rPr>
          <w:rFonts w:hint="default" w:ascii="Times New Roman" w:hAnsi="Times New Roman" w:cs="仿宋"/>
          <w:b w:val="0"/>
          <w:bCs/>
          <w:color w:val="000000"/>
          <w:szCs w:val="28"/>
          <w:highlight w:val="none"/>
          <w:shd w:val="clear" w:color="auto" w:fill="auto"/>
          <w:lang w:eastAsia="zh-CN"/>
        </w:rPr>
        <w:t>。</w:t>
      </w:r>
      <w:r>
        <w:rPr>
          <w:rFonts w:ascii="Times New Roman" w:hAnsi="Times New Roman" w:eastAsia="仿宋" w:cs="仿宋"/>
          <w:b w:val="0"/>
          <w:bCs/>
          <w:color w:val="000000"/>
          <w:kern w:val="2"/>
          <w:sz w:val="32"/>
          <w:szCs w:val="28"/>
          <w:highlight w:val="none"/>
          <w:shd w:val="clear" w:color="auto" w:fill="auto"/>
        </w:rPr>
        <w:t>在居民生活和商业区域，建立以社区回收点、流动回收车为基层收购点，以中转站为转运中心，向回收企业和分拣中心集中，再转运至再利用企业处理的生活性再生资源回收体系。主要回收生活过程中产生的废旧金属、塑料、纸张、玻璃、橡胶等废旧物资。生活性再生资源回收体系建设，主要按人口规模、区域面积、交通状况、人居环境等因素来考虑，构建畅通有效的回收渠道体系，便于城乡居民将更多的生活垃圾转化为再生资源，提升回收率。</w:t>
      </w:r>
      <w:r>
        <w:rPr>
          <w:rFonts w:ascii="Times New Roman" w:hAnsi="Times New Roman" w:eastAsia="仿宋" w:cs="仿宋"/>
          <w:b w:val="0"/>
          <w:color w:val="000000"/>
          <w:sz w:val="32"/>
          <w:szCs w:val="28"/>
          <w:highlight w:val="none"/>
          <w:shd w:val="clear" w:color="auto" w:fill="auto"/>
        </w:rPr>
        <w:t>组织有资质、实力强的回收企业与公共机构对接，通过开展义务回收、协议回收、定期回收、流动回收等多种方式，建设规范收集、安全储运、环保处理的示范模式。建立以逆向物流为特点的服务消费类再生资源回收体系。充分发挥流通企业面向广大消费者分散销售且便于集中回收的优势，倡导销售者责任，推动绿色商场建设，利用销售配送网络，试点建立逆向物流回收渠道。</w:t>
      </w:r>
      <w:r>
        <w:rPr>
          <w:rFonts w:hint="default" w:ascii="Times New Roman" w:hAnsi="Times New Roman" w:eastAsia="仿宋" w:cs="仿宋"/>
          <w:b w:val="0"/>
          <w:color w:val="000000"/>
          <w:sz w:val="32"/>
          <w:szCs w:val="28"/>
          <w:highlight w:val="none"/>
          <w:shd w:val="clear" w:color="auto" w:fill="auto"/>
          <w:lang w:val="en-US" w:eastAsia="zh-CN"/>
        </w:rPr>
        <w:t xml:space="preserve"> </w:t>
      </w:r>
      <w:r>
        <w:rPr>
          <w:rFonts w:hint="eastAsia" w:eastAsia="仿宋"/>
          <w:sz w:val="32"/>
          <w:szCs w:val="32"/>
          <w:highlight w:val="none"/>
          <w:shd w:val="clear" w:color="auto" w:fill="auto"/>
          <w:lang w:val="en-US" w:eastAsia="zh-CN"/>
        </w:rPr>
        <w:t xml:space="preserve">   </w:t>
      </w:r>
    </w:p>
    <w:p>
      <w:pPr>
        <w:pStyle w:val="35"/>
        <w:pageBreakBefore w:val="0"/>
        <w:widowControl w:val="0"/>
        <w:numPr>
          <w:ilvl w:val="0"/>
          <w:numId w:val="0"/>
        </w:numPr>
        <w:kinsoku/>
        <w:wordWrap/>
        <w:overflowPunct/>
        <w:topLinePunct w:val="0"/>
        <w:autoSpaceDE/>
        <w:autoSpaceDN/>
        <w:bidi w:val="0"/>
        <w:spacing w:beforeLines="0" w:afterLines="0" w:line="560" w:lineRule="exact"/>
        <w:ind w:firstLine="640" w:firstLineChars="200"/>
        <w:outlineLvl w:val="2"/>
        <w:rPr>
          <w:rFonts w:eastAsia="仿宋"/>
          <w:color w:val="000000"/>
          <w:sz w:val="32"/>
          <w:szCs w:val="32"/>
          <w:highlight w:val="none"/>
          <w:shd w:val="clear" w:color="auto" w:fill="auto"/>
        </w:rPr>
      </w:pPr>
      <w:r>
        <w:rPr>
          <w:rFonts w:hint="eastAsia" w:eastAsia="仿宋" w:cs="仿宋"/>
          <w:b w:val="0"/>
          <w:bCs/>
          <w:color w:val="000000"/>
          <w:sz w:val="32"/>
          <w:szCs w:val="28"/>
          <w:highlight w:val="none"/>
          <w:shd w:val="clear" w:color="auto" w:fill="auto"/>
          <w:lang w:val="en-US" w:eastAsia="zh-CN"/>
        </w:rPr>
        <w:t xml:space="preserve">2. </w:t>
      </w:r>
      <w:r>
        <w:rPr>
          <w:rFonts w:hint="default" w:ascii="Times New Roman" w:hAnsi="Times New Roman" w:eastAsia="仿宋" w:cs="仿宋"/>
          <w:b w:val="0"/>
          <w:bCs/>
          <w:color w:val="000000"/>
          <w:sz w:val="32"/>
          <w:szCs w:val="28"/>
          <w:highlight w:val="none"/>
          <w:shd w:val="clear" w:color="auto" w:fill="auto"/>
        </w:rPr>
        <w:t>生产性再生资源回收体系设置</w:t>
      </w:r>
      <w:r>
        <w:rPr>
          <w:rFonts w:hint="eastAsia" w:eastAsia="仿宋" w:cs="仿宋"/>
          <w:b w:val="0"/>
          <w:bCs/>
          <w:color w:val="000000"/>
          <w:sz w:val="32"/>
          <w:szCs w:val="28"/>
          <w:highlight w:val="none"/>
          <w:shd w:val="clear" w:color="auto" w:fill="auto"/>
          <w:lang w:eastAsia="zh-CN"/>
        </w:rPr>
        <w:t>。</w:t>
      </w:r>
      <w:r>
        <w:rPr>
          <w:rFonts w:eastAsia="仿宋"/>
          <w:bCs/>
          <w:color w:val="000000"/>
          <w:kern w:val="0"/>
          <w:sz w:val="32"/>
          <w:szCs w:val="32"/>
          <w:highlight w:val="none"/>
          <w:shd w:val="clear" w:color="auto" w:fill="auto"/>
        </w:rPr>
        <w:t>生产性再生资源主要回收生产过程中产生的边角料、报废电子产品、报废机电设备及其零部件、废旧包装物等。由专业回收网点或再生资源回收企业直接与生产企业签订合同来实现收购</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再转运至回收企业或分拣中心，经分拣及打包处理后流向再利用企业处理，建立</w:t>
      </w:r>
      <w:r>
        <w:rPr>
          <w:rFonts w:eastAsia="仿宋"/>
          <w:color w:val="000000"/>
          <w:sz w:val="32"/>
          <w:szCs w:val="32"/>
          <w:highlight w:val="none"/>
          <w:shd w:val="clear" w:color="auto" w:fill="auto"/>
        </w:rPr>
        <w:t>厂商直挂，</w:t>
      </w:r>
      <w:r>
        <w:rPr>
          <w:rFonts w:eastAsia="仿宋"/>
          <w:bCs/>
          <w:color w:val="000000"/>
          <w:kern w:val="0"/>
          <w:sz w:val="32"/>
          <w:szCs w:val="32"/>
          <w:highlight w:val="none"/>
          <w:shd w:val="clear" w:color="auto" w:fill="auto"/>
        </w:rPr>
        <w:t>形成更加集中、垂直的</w:t>
      </w:r>
      <w:r>
        <w:rPr>
          <w:rFonts w:eastAsia="仿宋"/>
          <w:color w:val="000000"/>
          <w:sz w:val="32"/>
          <w:szCs w:val="32"/>
          <w:highlight w:val="none"/>
          <w:shd w:val="clear" w:color="auto" w:fill="auto"/>
        </w:rPr>
        <w:t>产业类再生资源回收体系。</w:t>
      </w:r>
    </w:p>
    <w:p>
      <w:pPr>
        <w:pStyle w:val="35"/>
        <w:pageBreakBefore w:val="0"/>
        <w:widowControl w:val="0"/>
        <w:kinsoku/>
        <w:wordWrap/>
        <w:overflowPunct/>
        <w:topLinePunct w:val="0"/>
        <w:autoSpaceDE/>
        <w:autoSpaceDN/>
        <w:bidi w:val="0"/>
        <w:spacing w:beforeLines="0" w:afterLines="0" w:line="560" w:lineRule="exact"/>
        <w:ind w:firstLine="640" w:firstLineChars="200"/>
        <w:rPr>
          <w:rFonts w:eastAsia="仿宋"/>
          <w:bCs/>
          <w:color w:val="000000"/>
          <w:kern w:val="2"/>
          <w:highlight w:val="none"/>
          <w:shd w:val="clear" w:color="auto" w:fill="auto"/>
        </w:rPr>
      </w:pPr>
      <w:r>
        <w:rPr>
          <w:rFonts w:eastAsia="仿宋"/>
          <w:bCs/>
          <w:color w:val="000000"/>
          <w:kern w:val="0"/>
          <w:sz w:val="32"/>
          <w:szCs w:val="32"/>
          <w:highlight w:val="none"/>
          <w:shd w:val="clear" w:color="auto" w:fill="auto"/>
        </w:rPr>
        <w:t>生产性再生资源回收体系建设与惠州市产业分布和经济社会发展规划相适应，尽可能保障生产企业产生的再生资源及时、快速、安全地运送到各种回收企业或分拣中心，尽力减少中间环节，减少再生资源的流失与损耗，为企业节省成本。</w:t>
      </w:r>
      <w:r>
        <w:rPr>
          <w:rFonts w:eastAsia="仿宋"/>
          <w:color w:val="000000"/>
          <w:sz w:val="32"/>
          <w:szCs w:val="32"/>
          <w:highlight w:val="none"/>
          <w:shd w:val="clear" w:color="auto" w:fill="auto"/>
        </w:rPr>
        <w:t>鼓励回收企业与各类产废企业和产业集聚区建立战略合作关系，建立适合产业特点的回收模式。同时，鼓励有条件的企业将分拣和加工的再生资源直接配送给利用企业和国家城市矿产示范基地，通过厂（企）商直挂，减少中间环节，满足下游利用企业的需求，提高回收利用率。</w:t>
      </w:r>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cs="Times New Roman"/>
          <w:b w:val="0"/>
          <w:bCs w:val="0"/>
          <w:color w:val="000000"/>
          <w:kern w:val="2"/>
          <w:sz w:val="32"/>
          <w:szCs w:val="24"/>
          <w:highlight w:val="none"/>
          <w:shd w:val="clear" w:color="auto" w:fill="auto"/>
          <w:lang w:eastAsia="zh-CN"/>
        </w:rPr>
      </w:pPr>
      <w:bookmarkStart w:id="37" w:name="_Toc107506226"/>
      <w:bookmarkStart w:id="38" w:name="_Toc3129"/>
      <w:r>
        <w:rPr>
          <w:rFonts w:hint="eastAsia" w:ascii="Arial" w:hAnsi="Arial" w:eastAsia="方正楷体_GBK" w:cs="Times New Roman"/>
          <w:b w:val="0"/>
          <w:bCs w:val="0"/>
          <w:color w:val="000000"/>
          <w:kern w:val="2"/>
          <w:sz w:val="32"/>
          <w:szCs w:val="24"/>
          <w:highlight w:val="none"/>
          <w:shd w:val="clear" w:color="auto" w:fill="auto"/>
        </w:rPr>
        <w:t>（二）</w:t>
      </w:r>
      <w:r>
        <w:rPr>
          <w:rFonts w:hint="eastAsia" w:ascii="Arial" w:hAnsi="Arial" w:cs="Times New Roman"/>
          <w:bCs w:val="0"/>
          <w:color w:val="000000"/>
          <w:highlight w:val="none"/>
          <w:shd w:val="clear" w:color="auto" w:fill="auto"/>
        </w:rPr>
        <w:fldChar w:fldCharType="begin"/>
      </w:r>
      <w:r>
        <w:rPr>
          <w:rFonts w:hint="eastAsia" w:ascii="Arial" w:hAnsi="Arial" w:cs="Times New Roman"/>
          <w:bCs w:val="0"/>
          <w:color w:val="000000"/>
          <w:highlight w:val="none"/>
          <w:shd w:val="clear" w:color="auto" w:fill="auto"/>
        </w:rPr>
        <w:instrText xml:space="preserve"> HYPERLINK "https://huanbao.bjx.com.cn/topics/zaishengziyuanhuishou/" \t "https://huanbao.bjx.com.cn/news/20190731/_blank" </w:instrText>
      </w:r>
      <w:r>
        <w:rPr>
          <w:rFonts w:hint="eastAsia" w:ascii="Arial" w:hAnsi="Arial" w:cs="Times New Roman"/>
          <w:bCs w:val="0"/>
          <w:color w:val="000000"/>
          <w:highlight w:val="none"/>
          <w:shd w:val="clear" w:color="auto" w:fill="auto"/>
        </w:rPr>
        <w:fldChar w:fldCharType="separate"/>
      </w:r>
      <w:r>
        <w:rPr>
          <w:rFonts w:hint="eastAsia" w:ascii="Arial" w:hAnsi="Arial" w:eastAsia="方正楷体_GBK" w:cs="Times New Roman"/>
          <w:b w:val="0"/>
          <w:bCs w:val="0"/>
          <w:color w:val="000000"/>
          <w:kern w:val="2"/>
          <w:sz w:val="32"/>
          <w:szCs w:val="24"/>
          <w:highlight w:val="none"/>
          <w:shd w:val="clear" w:color="auto" w:fill="auto"/>
        </w:rPr>
        <w:t>回收</w:t>
      </w:r>
      <w:r>
        <w:rPr>
          <w:rFonts w:hint="eastAsia" w:ascii="Arial" w:hAnsi="Arial" w:eastAsia="方正楷体_GBK" w:cs="Times New Roman"/>
          <w:b w:val="0"/>
          <w:bCs w:val="0"/>
          <w:color w:val="000000"/>
          <w:kern w:val="2"/>
          <w:sz w:val="32"/>
          <w:szCs w:val="24"/>
          <w:highlight w:val="none"/>
          <w:shd w:val="clear" w:color="auto" w:fill="auto"/>
        </w:rPr>
        <w:fldChar w:fldCharType="end"/>
      </w:r>
      <w:r>
        <w:rPr>
          <w:rFonts w:hint="eastAsia" w:ascii="Arial" w:hAnsi="Arial" w:eastAsia="方正楷体_GBK" w:cs="Times New Roman"/>
          <w:b w:val="0"/>
          <w:bCs w:val="0"/>
          <w:color w:val="000000"/>
          <w:kern w:val="2"/>
          <w:sz w:val="32"/>
          <w:szCs w:val="24"/>
          <w:highlight w:val="none"/>
          <w:shd w:val="clear" w:color="auto" w:fill="auto"/>
        </w:rPr>
        <w:t>体系网点构成</w:t>
      </w:r>
      <w:bookmarkEnd w:id="37"/>
      <w:bookmarkEnd w:id="38"/>
      <w:r>
        <w:rPr>
          <w:rFonts w:hint="eastAsia" w:cs="Times New Roman"/>
          <w:b w:val="0"/>
          <w:bCs w:val="0"/>
          <w:color w:val="00000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eastAsia="仿宋"/>
          <w:bCs/>
          <w:color w:val="000000"/>
          <w:kern w:val="0"/>
          <w:sz w:val="32"/>
          <w:szCs w:val="32"/>
          <w:highlight w:val="none"/>
        </w:rPr>
      </w:pPr>
      <w:r>
        <w:rPr>
          <w:rFonts w:hint="eastAsia" w:eastAsia="仿宋"/>
          <w:bCs/>
          <w:color w:val="000000"/>
          <w:kern w:val="0"/>
          <w:sz w:val="32"/>
          <w:szCs w:val="32"/>
          <w:highlight w:val="none"/>
          <w:lang w:eastAsia="zh-CN"/>
        </w:rPr>
        <w:t>我市</w:t>
      </w:r>
      <w:r>
        <w:rPr>
          <w:rFonts w:eastAsia="仿宋"/>
          <w:bCs/>
          <w:color w:val="000000"/>
          <w:kern w:val="0"/>
          <w:sz w:val="32"/>
          <w:szCs w:val="32"/>
          <w:highlight w:val="none"/>
        </w:rPr>
        <w:t>2021年再生资源回收量为60万吨，</w:t>
      </w:r>
      <w:r>
        <w:rPr>
          <w:rFonts w:hint="eastAsia" w:eastAsia="仿宋"/>
          <w:bCs/>
          <w:color w:val="000000"/>
          <w:kern w:val="0"/>
          <w:sz w:val="32"/>
          <w:szCs w:val="32"/>
          <w:highlight w:val="none"/>
          <w:lang w:val="en-US" w:eastAsia="zh-CN"/>
        </w:rPr>
        <w:t>2022年回收量为85万吨，</w:t>
      </w:r>
      <w:r>
        <w:rPr>
          <w:rFonts w:eastAsia="仿宋"/>
          <w:bCs/>
          <w:color w:val="000000"/>
          <w:kern w:val="0"/>
          <w:sz w:val="32"/>
          <w:szCs w:val="32"/>
          <w:highlight w:val="none"/>
        </w:rPr>
        <w:t>考虑到受新冠疫情的影响导致回收量萎缩情形，参考全国再生资源回收结构中各类主要再生资源比例构成及回收率情况，我市2023年再生资源回收形势回归正常后，年回收量在90万吨左右。按照年增长率10%的发展速度测算，则202</w:t>
      </w:r>
      <w:r>
        <w:rPr>
          <w:rFonts w:hint="eastAsia" w:eastAsia="仿宋"/>
          <w:bCs/>
          <w:color w:val="000000"/>
          <w:kern w:val="0"/>
          <w:sz w:val="32"/>
          <w:szCs w:val="32"/>
          <w:highlight w:val="none"/>
          <w:lang w:val="en-US" w:eastAsia="zh-CN"/>
        </w:rPr>
        <w:t>8</w:t>
      </w:r>
      <w:r>
        <w:rPr>
          <w:rFonts w:eastAsia="仿宋"/>
          <w:bCs/>
          <w:color w:val="000000"/>
          <w:kern w:val="0"/>
          <w:sz w:val="32"/>
          <w:szCs w:val="32"/>
          <w:highlight w:val="none"/>
        </w:rPr>
        <w:t>年我市再生资源回收量将达到1</w:t>
      </w:r>
      <w:r>
        <w:rPr>
          <w:rFonts w:hint="eastAsia" w:eastAsia="仿宋"/>
          <w:bCs/>
          <w:color w:val="000000"/>
          <w:kern w:val="0"/>
          <w:sz w:val="32"/>
          <w:szCs w:val="32"/>
          <w:highlight w:val="none"/>
          <w:lang w:val="en-US" w:eastAsia="zh-CN"/>
        </w:rPr>
        <w:t>45</w:t>
      </w:r>
      <w:r>
        <w:rPr>
          <w:rFonts w:eastAsia="仿宋"/>
          <w:bCs/>
          <w:color w:val="000000"/>
          <w:kern w:val="0"/>
          <w:sz w:val="32"/>
          <w:szCs w:val="32"/>
          <w:highlight w:val="none"/>
        </w:rPr>
        <w:t>万吨左右。相关网点设置尤其分拣中心的设置，应参照该回收量实施。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color w:val="000000"/>
          <w:sz w:val="30"/>
          <w:szCs w:val="30"/>
          <w:highlight w:val="none"/>
          <w:shd w:val="clear" w:color="auto" w:fill="auto"/>
        </w:rPr>
      </w:pPr>
      <w:r>
        <w:rPr>
          <w:rFonts w:eastAsia="仿宋"/>
          <w:bCs/>
          <w:color w:val="000000"/>
          <w:kern w:val="0"/>
          <w:sz w:val="32"/>
          <w:szCs w:val="32"/>
          <w:highlight w:val="none"/>
          <w:shd w:val="clear" w:color="auto" w:fill="auto"/>
        </w:rPr>
        <w:t>我市再生资源回收网点的构成</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包括社区回收、中转、集散、加工处理等回收过程中再生资源停留的各类场所，主要是指回收点、中转站、分拣中心。构建以</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社区回收站点—中转站—分拣加工中心—回收利用企业</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以及垃圾分类减量建设与逆向配送回收体系相结合的</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两网整合</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回收模式。再生资源回收网点规划要纳入城市整体规划和控制性详细规划。市商务</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会同市发展改革</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、工业和信息化</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、公安</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、自然资源</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、生态环境</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、住房城乡建设</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、市场监管</w:t>
      </w:r>
      <w:r>
        <w:rPr>
          <w:rFonts w:hint="eastAsia" w:eastAsia="仿宋"/>
          <w:bCs/>
          <w:color w:val="000000"/>
          <w:kern w:val="0"/>
          <w:sz w:val="32"/>
          <w:szCs w:val="32"/>
          <w:highlight w:val="none"/>
          <w:shd w:val="clear" w:color="auto" w:fill="auto"/>
          <w:lang w:eastAsia="zh-CN"/>
        </w:rPr>
        <w:t>局</w:t>
      </w:r>
      <w:r>
        <w:rPr>
          <w:rFonts w:eastAsia="仿宋"/>
          <w:bCs/>
          <w:color w:val="000000"/>
          <w:kern w:val="0"/>
          <w:sz w:val="32"/>
          <w:szCs w:val="32"/>
          <w:highlight w:val="none"/>
          <w:shd w:val="clear" w:color="auto" w:fill="auto"/>
        </w:rPr>
        <w:t>、城</w:t>
      </w:r>
      <w:r>
        <w:rPr>
          <w:rFonts w:hint="eastAsia" w:eastAsia="仿宋"/>
          <w:bCs/>
          <w:color w:val="000000"/>
          <w:kern w:val="0"/>
          <w:sz w:val="32"/>
          <w:szCs w:val="32"/>
          <w:highlight w:val="none"/>
          <w:shd w:val="clear" w:color="auto" w:fill="auto"/>
          <w:lang w:eastAsia="zh-CN"/>
        </w:rPr>
        <w:t>管执法局</w:t>
      </w:r>
      <w:r>
        <w:rPr>
          <w:rFonts w:eastAsia="仿宋"/>
          <w:bCs/>
          <w:color w:val="000000"/>
          <w:kern w:val="0"/>
          <w:sz w:val="32"/>
          <w:szCs w:val="32"/>
          <w:highlight w:val="none"/>
          <w:shd w:val="clear" w:color="auto" w:fill="auto"/>
        </w:rPr>
        <w:t>、市容环境卫生</w:t>
      </w:r>
      <w:r>
        <w:rPr>
          <w:rFonts w:hint="eastAsia" w:eastAsia="仿宋"/>
          <w:bCs/>
          <w:color w:val="000000"/>
          <w:kern w:val="0"/>
          <w:sz w:val="32"/>
          <w:szCs w:val="32"/>
          <w:highlight w:val="none"/>
          <w:shd w:val="clear" w:color="auto" w:fill="auto"/>
          <w:lang w:eastAsia="zh-CN"/>
        </w:rPr>
        <w:t>事务中心</w:t>
      </w:r>
      <w:r>
        <w:rPr>
          <w:rFonts w:eastAsia="仿宋"/>
          <w:bCs/>
          <w:color w:val="000000"/>
          <w:kern w:val="0"/>
          <w:sz w:val="32"/>
          <w:szCs w:val="32"/>
          <w:highlight w:val="none"/>
          <w:shd w:val="clear" w:color="auto" w:fill="auto"/>
        </w:rPr>
        <w:t>等相关单位，根据国家《再生资源回收站点建设管理规范（SB/T 10719—2012）》《再生资源绿色分拣中心建设管理规范（SB/T 10720—2021）》等标准，结合2020年出台的《</w:t>
      </w:r>
      <w:r>
        <w:rPr>
          <w:rFonts w:eastAsia="仿宋"/>
          <w:color w:val="000000"/>
          <w:sz w:val="32"/>
          <w:szCs w:val="32"/>
          <w:highlight w:val="none"/>
          <w:shd w:val="clear" w:color="auto" w:fill="auto"/>
        </w:rPr>
        <w:t>惠州市城乡环境卫生专项规划》，</w:t>
      </w:r>
      <w:r>
        <w:rPr>
          <w:rFonts w:hint="eastAsia" w:eastAsia="仿宋"/>
          <w:color w:val="000000"/>
          <w:sz w:val="32"/>
          <w:szCs w:val="32"/>
          <w:highlight w:val="none"/>
          <w:shd w:val="clear" w:color="auto" w:fill="auto"/>
        </w:rPr>
        <w:t>以及</w:t>
      </w:r>
      <w:r>
        <w:rPr>
          <w:rFonts w:eastAsia="仿宋"/>
          <w:color w:val="000000"/>
          <w:sz w:val="32"/>
          <w:szCs w:val="32"/>
          <w:highlight w:val="none"/>
          <w:shd w:val="clear" w:color="auto" w:fill="auto"/>
        </w:rPr>
        <w:t>我市经济发展水平、人口密度、环境资源、再生资源生产量和回收量等具体情况，进行再生资源回收网点规划设置。同时，</w:t>
      </w:r>
      <w:r>
        <w:rPr>
          <w:rFonts w:eastAsia="仿宋"/>
          <w:bCs/>
          <w:color w:val="000000"/>
          <w:kern w:val="0"/>
          <w:sz w:val="32"/>
          <w:szCs w:val="32"/>
          <w:highlight w:val="none"/>
          <w:shd w:val="clear" w:color="auto" w:fill="auto"/>
        </w:rPr>
        <w:t>再生资源回收网点要同城市生活垃圾分类布局结合设置，推进生活垃圾分类和再生资源综合利用，做到合理布局，便民利产。</w:t>
      </w:r>
    </w:p>
    <w:p>
      <w:pPr>
        <w:spacing w:line="560" w:lineRule="exact"/>
        <w:ind w:firstLine="640" w:firstLineChars="200"/>
        <w:rPr>
          <w:rFonts w:hint="eastAsia" w:ascii="Times New Roman" w:hAnsi="Times New Roman" w:eastAsia="仿宋" w:cs="Times New Roman"/>
          <w:b w:val="0"/>
          <w:bCs/>
          <w:color w:val="000000"/>
          <w:kern w:val="0"/>
          <w:sz w:val="32"/>
          <w:szCs w:val="32"/>
          <w:highlight w:val="none"/>
          <w:shd w:val="clear" w:color="auto" w:fill="auto"/>
        </w:rPr>
      </w:pPr>
      <w:r>
        <w:rPr>
          <w:rFonts w:hint="eastAsia" w:eastAsia="仿宋" w:cs="Times New Roman"/>
          <w:b w:val="0"/>
          <w:bCs/>
          <w:color w:val="000000"/>
          <w:kern w:val="0"/>
          <w:sz w:val="32"/>
          <w:szCs w:val="32"/>
          <w:highlight w:val="none"/>
          <w:shd w:val="clear" w:color="auto" w:fill="auto"/>
          <w:lang w:val="en-US" w:eastAsia="zh-CN"/>
        </w:rPr>
        <w:t xml:space="preserve">1. </w:t>
      </w:r>
      <w:r>
        <w:rPr>
          <w:rFonts w:hint="eastAsia" w:ascii="Times New Roman" w:hAnsi="Times New Roman" w:eastAsia="仿宋" w:cs="Times New Roman"/>
          <w:b w:val="0"/>
          <w:bCs/>
          <w:color w:val="000000"/>
          <w:kern w:val="0"/>
          <w:sz w:val="32"/>
          <w:szCs w:val="32"/>
          <w:highlight w:val="none"/>
          <w:shd w:val="clear" w:color="auto" w:fill="auto"/>
        </w:rPr>
        <w:t>回收点</w:t>
      </w:r>
      <w:r>
        <w:rPr>
          <w:rFonts w:hint="eastAsia" w:ascii="Times New Roman" w:hAnsi="Times New Roman" w:eastAsia="仿宋" w:cs="Times New Roman"/>
          <w:b w:val="0"/>
          <w:bCs/>
          <w:color w:val="000000"/>
          <w:kern w:val="0"/>
          <w:sz w:val="32"/>
          <w:szCs w:val="32"/>
          <w:highlight w:val="none"/>
          <w:shd w:val="clear" w:color="auto" w:fill="auto"/>
          <w:lang w:eastAsia="zh-CN"/>
        </w:rPr>
        <w:t>。</w:t>
      </w:r>
    </w:p>
    <w:p>
      <w:pPr>
        <w:spacing w:line="560" w:lineRule="exact"/>
        <w:ind w:firstLine="640" w:firstLineChars="200"/>
        <w:rPr>
          <w:rFonts w:hint="eastAsia" w:eastAsia="仿宋"/>
          <w:bCs/>
          <w:color w:val="000000"/>
          <w:kern w:val="0"/>
          <w:sz w:val="32"/>
          <w:szCs w:val="32"/>
          <w:highlight w:val="none"/>
          <w:shd w:val="clear" w:color="auto" w:fill="auto"/>
        </w:rPr>
      </w:pPr>
      <w:r>
        <w:rPr>
          <w:rFonts w:hint="eastAsia" w:eastAsia="仿宋" w:cs="Times New Roman"/>
          <w:b w:val="0"/>
          <w:bCs/>
          <w:color w:val="000000"/>
          <w:kern w:val="0"/>
          <w:sz w:val="32"/>
          <w:szCs w:val="32"/>
          <w:highlight w:val="none"/>
          <w:shd w:val="clear" w:color="auto" w:fill="auto"/>
          <w:lang w:eastAsia="zh-CN"/>
        </w:rPr>
        <w:t>（</w:t>
      </w:r>
      <w:r>
        <w:rPr>
          <w:rFonts w:hint="eastAsia" w:eastAsia="仿宋" w:cs="Times New Roman"/>
          <w:b w:val="0"/>
          <w:bCs/>
          <w:color w:val="000000"/>
          <w:kern w:val="0"/>
          <w:sz w:val="32"/>
          <w:szCs w:val="32"/>
          <w:highlight w:val="none"/>
          <w:shd w:val="clear" w:color="auto" w:fill="auto"/>
          <w:lang w:val="en-US" w:eastAsia="zh-CN"/>
        </w:rPr>
        <w:t>1</w:t>
      </w:r>
      <w:r>
        <w:rPr>
          <w:rFonts w:hint="eastAsia" w:eastAsia="仿宋" w:cs="Times New Roman"/>
          <w:b w:val="0"/>
          <w:bCs/>
          <w:color w:val="000000"/>
          <w:kern w:val="0"/>
          <w:sz w:val="32"/>
          <w:szCs w:val="32"/>
          <w:highlight w:val="none"/>
          <w:shd w:val="clear" w:color="auto" w:fill="auto"/>
          <w:lang w:eastAsia="zh-CN"/>
        </w:rPr>
        <w:t>）</w:t>
      </w:r>
      <w:r>
        <w:rPr>
          <w:rFonts w:hint="eastAsia" w:ascii="Times New Roman" w:hAnsi="Times New Roman" w:eastAsia="仿宋" w:cs="Times New Roman"/>
          <w:b w:val="0"/>
          <w:bCs/>
          <w:color w:val="000000"/>
          <w:kern w:val="0"/>
          <w:sz w:val="32"/>
          <w:szCs w:val="32"/>
          <w:highlight w:val="none"/>
          <w:shd w:val="clear" w:color="auto" w:fill="auto"/>
        </w:rPr>
        <w:t>设置要点</w:t>
      </w:r>
      <w:r>
        <w:rPr>
          <w:rFonts w:hint="default" w:ascii="Times New Roman" w:hAnsi="Times New Roman" w:eastAsia="仿宋" w:cs="Times New Roman"/>
          <w:b w:val="0"/>
          <w:bCs/>
          <w:color w:val="000000"/>
          <w:kern w:val="0"/>
          <w:sz w:val="32"/>
          <w:szCs w:val="32"/>
          <w:highlight w:val="none"/>
          <w:shd w:val="clear" w:color="auto" w:fill="auto"/>
          <w:lang w:eastAsia="zh-CN"/>
        </w:rPr>
        <w:t>。</w:t>
      </w:r>
      <w:r>
        <w:rPr>
          <w:rFonts w:hint="default" w:ascii="Times New Roman" w:hAnsi="Times New Roman" w:eastAsia="仿宋" w:cs="Times New Roman"/>
          <w:bCs/>
          <w:color w:val="000000"/>
          <w:kern w:val="0"/>
          <w:sz w:val="32"/>
          <w:szCs w:val="32"/>
          <w:highlight w:val="none"/>
          <w:shd w:val="clear" w:color="auto" w:fill="auto"/>
        </w:rPr>
        <w:t>回收点是指在县（区）中心区各街道设置的再生资源回收设备或固定场所，包括桶箱式、传统式、永久式。具体划分为三级三类：居民区可回收物回收点</w:t>
      </w:r>
      <w:r>
        <w:rPr>
          <w:rFonts w:hint="default" w:eastAsia="仿宋" w:cs="Times New Roman"/>
          <w:b w:val="0"/>
          <w:bCs/>
          <w:color w:val="000000"/>
          <w:kern w:val="0"/>
          <w:sz w:val="32"/>
          <w:szCs w:val="32"/>
          <w:highlight w:val="none"/>
          <w:shd w:val="clear" w:color="auto" w:fill="auto"/>
          <w:lang w:eastAsia="zh-CN"/>
        </w:rPr>
        <w:t>（</w:t>
      </w:r>
      <w:r>
        <w:rPr>
          <w:rFonts w:hint="eastAsia" w:ascii="Times New Roman" w:hAnsi="Times New Roman" w:eastAsia="仿宋" w:cs="Times New Roman"/>
          <w:b w:val="0"/>
          <w:bCs/>
          <w:color w:val="000000"/>
          <w:kern w:val="0"/>
          <w:sz w:val="32"/>
          <w:szCs w:val="32"/>
          <w:highlight w:val="none"/>
          <w:shd w:val="clear" w:color="auto" w:fill="auto"/>
        </w:rPr>
        <w:t>箱</w:t>
      </w:r>
      <w:r>
        <w:rPr>
          <w:rFonts w:hint="default" w:eastAsia="仿宋" w:cs="Times New Roman"/>
          <w:b w:val="0"/>
          <w:bCs/>
          <w:color w:val="000000"/>
          <w:kern w:val="0"/>
          <w:sz w:val="32"/>
          <w:szCs w:val="32"/>
          <w:highlight w:val="none"/>
          <w:shd w:val="clear" w:color="auto" w:fill="auto"/>
          <w:lang w:eastAsia="zh-CN"/>
        </w:rPr>
        <w:t>）</w:t>
      </w:r>
      <w:r>
        <w:rPr>
          <w:rFonts w:hint="default" w:ascii="Times New Roman" w:hAnsi="Times New Roman" w:eastAsia="仿宋" w:cs="Times New Roman"/>
          <w:bCs/>
          <w:color w:val="000000"/>
          <w:kern w:val="0"/>
          <w:sz w:val="32"/>
          <w:szCs w:val="32"/>
          <w:highlight w:val="none"/>
          <w:shd w:val="clear" w:color="auto" w:fill="auto"/>
        </w:rPr>
        <w:t>、社区级便民回收点（交售点）、</w:t>
      </w:r>
      <w:r>
        <w:rPr>
          <w:rFonts w:hint="default" w:ascii="Times New Roman" w:hAnsi="Times New Roman" w:eastAsia="仿宋" w:cs="Times New Roman"/>
          <w:bCs/>
          <w:color w:val="000000"/>
          <w:kern w:val="0"/>
          <w:sz w:val="32"/>
          <w:szCs w:val="32"/>
          <w:highlight w:val="none"/>
          <w:shd w:val="clear" w:color="auto" w:fill="auto"/>
          <w:lang w:eastAsia="zh-CN"/>
        </w:rPr>
        <w:t>社区</w:t>
      </w:r>
      <w:r>
        <w:rPr>
          <w:rFonts w:hint="default" w:ascii="Times New Roman" w:hAnsi="Times New Roman" w:eastAsia="仿宋" w:cs="Times New Roman"/>
          <w:bCs/>
          <w:color w:val="000000"/>
          <w:kern w:val="0"/>
          <w:sz w:val="32"/>
          <w:szCs w:val="32"/>
          <w:highlight w:val="none"/>
          <w:shd w:val="clear" w:color="auto" w:fill="auto"/>
        </w:rPr>
        <w:t>级“垃圾分类+可回收物”两网融合点（垃圾转运站）的设置</w:t>
      </w:r>
      <w:r>
        <w:rPr>
          <w:rFonts w:hint="default" w:ascii="Times New Roman" w:hAnsi="Times New Roman" w:eastAsia="仿宋" w:cs="Times New Roman"/>
          <w:bCs/>
          <w:color w:val="000000"/>
          <w:kern w:val="0"/>
          <w:sz w:val="32"/>
          <w:szCs w:val="32"/>
          <w:highlight w:val="none"/>
          <w:shd w:val="clear" w:color="auto" w:fill="auto"/>
          <w:lang w:eastAsia="zh-CN"/>
        </w:rPr>
        <w:t>。回收点的设置</w:t>
      </w:r>
      <w:r>
        <w:rPr>
          <w:rFonts w:hint="default" w:ascii="Times New Roman" w:hAnsi="Times New Roman" w:eastAsia="仿宋" w:cs="Times New Roman"/>
          <w:bCs/>
          <w:color w:val="000000"/>
          <w:kern w:val="0"/>
          <w:sz w:val="32"/>
          <w:szCs w:val="32"/>
          <w:highlight w:val="none"/>
          <w:shd w:val="clear" w:color="auto" w:fill="auto"/>
        </w:rPr>
        <w:t>要按照《</w:t>
      </w:r>
      <w:r>
        <w:rPr>
          <w:rFonts w:hint="eastAsia" w:eastAsia="仿宋"/>
          <w:bCs/>
          <w:color w:val="000000"/>
          <w:kern w:val="0"/>
          <w:sz w:val="32"/>
          <w:szCs w:val="32"/>
          <w:highlight w:val="none"/>
          <w:shd w:val="clear" w:color="auto" w:fill="auto"/>
        </w:rPr>
        <w:t>再生资源回收站点建设管理规范（SB/T 10719—2012）》</w:t>
      </w:r>
      <w:r>
        <w:rPr>
          <w:rFonts w:hint="default" w:eastAsia="仿宋"/>
          <w:bCs/>
          <w:color w:val="000000"/>
          <w:kern w:val="0"/>
          <w:sz w:val="32"/>
          <w:szCs w:val="32"/>
          <w:highlight w:val="none"/>
          <w:shd w:val="clear" w:color="auto" w:fill="auto"/>
          <w:lang w:eastAsia="zh-CN"/>
        </w:rPr>
        <w:t>等相关文件</w:t>
      </w:r>
      <w:r>
        <w:rPr>
          <w:rFonts w:hint="eastAsia" w:eastAsia="仿宋"/>
          <w:bCs/>
          <w:color w:val="000000"/>
          <w:kern w:val="0"/>
          <w:sz w:val="32"/>
          <w:szCs w:val="32"/>
          <w:highlight w:val="none"/>
          <w:shd w:val="clear" w:color="auto" w:fill="auto"/>
        </w:rPr>
        <w:t>执行。</w:t>
      </w:r>
    </w:p>
    <w:p>
      <w:pPr>
        <w:pageBreakBefore w:val="0"/>
        <w:widowControl w:val="0"/>
        <w:numPr>
          <w:ilvl w:val="0"/>
          <w:numId w:val="7"/>
        </w:numPr>
        <w:kinsoku/>
        <w:wordWrap/>
        <w:overflowPunct/>
        <w:topLinePunct w:val="0"/>
        <w:autoSpaceDE/>
        <w:autoSpaceDN/>
        <w:bidi w:val="0"/>
        <w:spacing w:before="0" w:beforeLines="0" w:after="0" w:afterLines="0" w:line="560" w:lineRule="exact"/>
        <w:ind w:firstLine="640" w:firstLineChars="200"/>
        <w:textAlignment w:val="auto"/>
        <w:rPr>
          <w:rFonts w:eastAsia="仿宋"/>
          <w:bCs/>
          <w:color w:val="000000"/>
          <w:kern w:val="0"/>
          <w:sz w:val="32"/>
          <w:szCs w:val="32"/>
          <w:highlight w:val="none"/>
          <w:shd w:val="clear" w:color="auto" w:fill="auto"/>
        </w:rPr>
      </w:pPr>
      <w:r>
        <w:rPr>
          <w:rFonts w:ascii="Times New Roman" w:hAnsi="Times New Roman" w:eastAsia="仿宋" w:cs="仿宋"/>
          <w:b w:val="0"/>
          <w:bCs w:val="0"/>
          <w:color w:val="000000"/>
          <w:sz w:val="32"/>
          <w:szCs w:val="28"/>
          <w:highlight w:val="none"/>
          <w:shd w:val="clear" w:color="auto" w:fill="auto"/>
        </w:rPr>
        <w:t>面积</w:t>
      </w:r>
      <w:r>
        <w:rPr>
          <w:rFonts w:hint="eastAsia" w:eastAsia="仿宋" w:cs="仿宋"/>
          <w:b w:val="0"/>
          <w:bCs w:val="0"/>
          <w:color w:val="000000"/>
          <w:sz w:val="32"/>
          <w:szCs w:val="28"/>
          <w:highlight w:val="none"/>
          <w:shd w:val="clear" w:color="auto" w:fill="auto"/>
          <w:lang w:eastAsia="zh-CN"/>
        </w:rPr>
        <w:t>。</w:t>
      </w:r>
      <w:r>
        <w:rPr>
          <w:rFonts w:eastAsia="仿宋"/>
          <w:bCs/>
          <w:color w:val="000000"/>
          <w:kern w:val="0"/>
          <w:sz w:val="32"/>
          <w:szCs w:val="32"/>
          <w:highlight w:val="none"/>
          <w:shd w:val="clear" w:color="auto" w:fill="auto"/>
        </w:rPr>
        <w:t>回收点面积不少于10平方米。</w:t>
      </w:r>
    </w:p>
    <w:p>
      <w:pPr>
        <w:numPr>
          <w:ilvl w:val="0"/>
          <w:numId w:val="0"/>
        </w:numPr>
        <w:spacing w:before="0" w:after="0" w:line="560" w:lineRule="exact"/>
        <w:ind w:firstLine="640" w:firstLineChars="200"/>
        <w:rPr>
          <w:color w:val="000000"/>
          <w:sz w:val="32"/>
          <w:szCs w:val="32"/>
          <w:highlight w:val="none"/>
          <w:shd w:val="clear" w:color="auto" w:fill="auto"/>
        </w:rPr>
      </w:pPr>
      <w:r>
        <w:rPr>
          <w:rFonts w:ascii="Times New Roman" w:hAnsi="Times New Roman" w:eastAsia="仿宋" w:cs="仿宋"/>
          <w:b w:val="0"/>
          <w:bCs/>
          <w:color w:val="000000"/>
          <w:sz w:val="32"/>
          <w:szCs w:val="28"/>
          <w:highlight w:val="none"/>
          <w:shd w:val="clear" w:color="auto" w:fill="auto"/>
        </w:rPr>
        <w:t>（3）布局</w:t>
      </w:r>
      <w:r>
        <w:rPr>
          <w:rFonts w:hint="eastAsia" w:ascii="Times New Roman" w:hAnsi="Times New Roman" w:eastAsia="仿宋" w:cs="仿宋"/>
          <w:b w:val="0"/>
          <w:bCs/>
          <w:color w:val="000000"/>
          <w:sz w:val="32"/>
          <w:szCs w:val="28"/>
          <w:highlight w:val="none"/>
          <w:shd w:val="clear" w:color="auto" w:fill="auto"/>
          <w:lang w:eastAsia="zh-CN"/>
        </w:rPr>
        <w:t>。</w:t>
      </w:r>
      <w:r>
        <w:rPr>
          <w:rFonts w:eastAsia="仿宋"/>
          <w:bCs/>
          <w:color w:val="000000"/>
          <w:kern w:val="0"/>
          <w:sz w:val="32"/>
          <w:szCs w:val="32"/>
          <w:highlight w:val="none"/>
          <w:shd w:val="clear" w:color="auto" w:fill="auto"/>
        </w:rPr>
        <w:t>按照</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便于交售</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的原则，城区每2000户居民设置1个回收站</w:t>
      </w:r>
      <w:r>
        <w:rPr>
          <w:rFonts w:hint="eastAsia" w:eastAsia="仿宋"/>
          <w:bCs/>
          <w:color w:val="000000"/>
          <w:kern w:val="0"/>
          <w:sz w:val="32"/>
          <w:szCs w:val="32"/>
          <w:highlight w:val="none"/>
          <w:shd w:val="clear" w:color="auto" w:fill="auto"/>
          <w:lang w:eastAsia="zh-CN"/>
        </w:rPr>
        <w:t>点</w:t>
      </w:r>
      <w:r>
        <w:rPr>
          <w:rFonts w:eastAsia="仿宋"/>
          <w:bCs/>
          <w:color w:val="000000"/>
          <w:kern w:val="0"/>
          <w:sz w:val="32"/>
          <w:szCs w:val="32"/>
          <w:highlight w:val="none"/>
          <w:shd w:val="clear" w:color="auto" w:fill="auto"/>
        </w:rPr>
        <w:t>，乡镇每2500户居民设置一个回收站</w:t>
      </w:r>
      <w:r>
        <w:rPr>
          <w:rFonts w:hint="eastAsia" w:eastAsia="仿宋"/>
          <w:bCs/>
          <w:color w:val="000000"/>
          <w:kern w:val="0"/>
          <w:sz w:val="32"/>
          <w:szCs w:val="32"/>
          <w:highlight w:val="none"/>
          <w:shd w:val="clear" w:color="auto" w:fill="auto"/>
          <w:lang w:eastAsia="zh-CN"/>
        </w:rPr>
        <w:t>点</w:t>
      </w:r>
      <w:r>
        <w:rPr>
          <w:rFonts w:eastAsia="仿宋"/>
          <w:bCs/>
          <w:color w:val="000000"/>
          <w:kern w:val="0"/>
          <w:sz w:val="32"/>
          <w:szCs w:val="32"/>
          <w:highlight w:val="none"/>
          <w:shd w:val="clear" w:color="auto" w:fill="auto"/>
        </w:rPr>
        <w:t>，条件不具备的地区可设立流动回收车。同时，根据居民小区密度，附近商圈范围按实际情况设定1-2个或者2-3个</w:t>
      </w:r>
      <w:r>
        <w:rPr>
          <w:color w:val="000000"/>
          <w:sz w:val="32"/>
          <w:szCs w:val="32"/>
          <w:highlight w:val="none"/>
          <w:shd w:val="clear" w:color="auto" w:fill="auto"/>
        </w:rPr>
        <w:t>。</w:t>
      </w:r>
    </w:p>
    <w:p>
      <w:pPr>
        <w:pStyle w:val="8"/>
        <w:pageBreakBefore w:val="0"/>
        <w:widowControl w:val="0"/>
        <w:kinsoku/>
        <w:wordWrap/>
        <w:overflowPunct/>
        <w:topLinePunct w:val="0"/>
        <w:autoSpaceDE/>
        <w:autoSpaceDN/>
        <w:bidi w:val="0"/>
        <w:spacing w:beforeLines="0" w:afterLines="0" w:line="560" w:lineRule="exact"/>
        <w:ind w:firstLine="640"/>
        <w:textAlignment w:val="auto"/>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全市现有1946个物业小区，皆设置</w:t>
      </w:r>
      <w:r>
        <w:rPr>
          <w:rFonts w:ascii="Times New Roman" w:hAnsi="Times New Roman" w:eastAsia="仿宋" w:cs="仿宋"/>
          <w:color w:val="000000"/>
          <w:sz w:val="32"/>
          <w:szCs w:val="32"/>
          <w:highlight w:val="none"/>
          <w:shd w:val="clear" w:color="auto" w:fill="auto"/>
        </w:rPr>
        <w:t>居民区可回收物回收点</w:t>
      </w:r>
      <w:r>
        <w:rPr>
          <w:rFonts w:hint="eastAsia" w:eastAsia="仿宋" w:cs="仿宋"/>
          <w:b w:val="0"/>
          <w:bCs w:val="0"/>
          <w:color w:val="000000"/>
          <w:sz w:val="32"/>
          <w:szCs w:val="32"/>
          <w:highlight w:val="none"/>
          <w:shd w:val="clear" w:color="auto" w:fill="auto"/>
          <w:lang w:eastAsia="zh-CN"/>
        </w:rPr>
        <w:t>（</w:t>
      </w:r>
      <w:r>
        <w:rPr>
          <w:rFonts w:ascii="Times New Roman" w:hAnsi="Times New Roman" w:eastAsia="仿宋" w:cs="仿宋"/>
          <w:b w:val="0"/>
          <w:bCs w:val="0"/>
          <w:color w:val="000000"/>
          <w:sz w:val="32"/>
          <w:szCs w:val="32"/>
          <w:highlight w:val="none"/>
          <w:shd w:val="clear" w:color="auto" w:fill="auto"/>
        </w:rPr>
        <w:t>箱</w:t>
      </w:r>
      <w:r>
        <w:rPr>
          <w:rFonts w:hint="eastAsia" w:eastAsia="仿宋" w:cs="仿宋"/>
          <w:b w:val="0"/>
          <w:bCs w:val="0"/>
          <w:color w:val="000000"/>
          <w:sz w:val="32"/>
          <w:szCs w:val="32"/>
          <w:highlight w:val="none"/>
          <w:shd w:val="clear" w:color="auto" w:fill="auto"/>
          <w:lang w:eastAsia="zh-CN"/>
        </w:rPr>
        <w:t>）</w:t>
      </w:r>
      <w:r>
        <w:rPr>
          <w:rFonts w:hint="eastAsia" w:eastAsia="仿宋"/>
          <w:bCs/>
          <w:color w:val="000000"/>
          <w:kern w:val="0"/>
          <w:sz w:val="32"/>
          <w:szCs w:val="32"/>
          <w:highlight w:val="none"/>
          <w:shd w:val="clear" w:color="auto" w:fill="auto"/>
        </w:rPr>
        <w:t>，</w:t>
      </w:r>
      <w:r>
        <w:rPr>
          <w:rFonts w:eastAsia="仿宋"/>
          <w:bCs/>
          <w:color w:val="000000"/>
          <w:kern w:val="0"/>
          <w:sz w:val="32"/>
          <w:szCs w:val="32"/>
          <w:highlight w:val="none"/>
          <w:shd w:val="clear" w:color="auto" w:fill="auto"/>
        </w:rPr>
        <w:t>另设街道便民回收点（交售点）1280个、</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垃圾分类+可回收物</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两网融合点</w:t>
      </w:r>
      <w:r>
        <w:rPr>
          <w:rFonts w:hint="eastAsia" w:eastAsia="仿宋"/>
          <w:bCs/>
          <w:color w:val="000000"/>
          <w:kern w:val="0"/>
          <w:sz w:val="32"/>
          <w:szCs w:val="32"/>
          <w:highlight w:val="none"/>
          <w:shd w:val="clear" w:color="auto" w:fill="auto"/>
        </w:rPr>
        <w:t>（</w:t>
      </w:r>
      <w:r>
        <w:rPr>
          <w:rFonts w:ascii="Times New Roman" w:hAnsi="Times New Roman" w:eastAsia="仿宋" w:cs="仿宋"/>
          <w:color w:val="000000"/>
          <w:sz w:val="32"/>
          <w:szCs w:val="32"/>
          <w:highlight w:val="none"/>
          <w:shd w:val="clear" w:color="auto" w:fill="auto"/>
        </w:rPr>
        <w:t>垃圾转运站</w:t>
      </w:r>
      <w:r>
        <w:rPr>
          <w:rFonts w:hint="eastAsia" w:eastAsia="仿宋"/>
          <w:bCs/>
          <w:color w:val="000000"/>
          <w:kern w:val="0"/>
          <w:sz w:val="32"/>
          <w:szCs w:val="32"/>
          <w:highlight w:val="none"/>
          <w:shd w:val="clear" w:color="auto" w:fill="auto"/>
        </w:rPr>
        <w:t>）</w:t>
      </w:r>
      <w:r>
        <w:rPr>
          <w:rFonts w:eastAsia="仿宋"/>
          <w:bCs/>
          <w:color w:val="000000"/>
          <w:kern w:val="0"/>
          <w:sz w:val="32"/>
          <w:szCs w:val="32"/>
          <w:highlight w:val="none"/>
          <w:shd w:val="clear" w:color="auto" w:fill="auto"/>
        </w:rPr>
        <w:t>194个。</w:t>
      </w:r>
    </w:p>
    <w:p>
      <w:pPr>
        <w:pStyle w:val="10"/>
        <w:pageBreakBefore w:val="0"/>
        <w:widowControl w:val="0"/>
        <w:kinsoku/>
        <w:wordWrap/>
        <w:overflowPunct/>
        <w:topLinePunct w:val="0"/>
        <w:autoSpaceDE/>
        <w:autoSpaceDN/>
        <w:bidi w:val="0"/>
        <w:adjustRightInd w:val="0"/>
        <w:snapToGrid w:val="0"/>
        <w:spacing w:beforeLines="0" w:beforeAutospacing="0" w:afterLines="0" w:afterAutospacing="0" w:line="560" w:lineRule="exact"/>
        <w:ind w:firstLine="640" w:firstLineChars="200"/>
        <w:jc w:val="both"/>
        <w:textAlignment w:val="auto"/>
        <w:rPr>
          <w:rFonts w:eastAsia="仿宋"/>
          <w:bCs/>
          <w:color w:val="000000"/>
          <w:kern w:val="2"/>
          <w:highlight w:val="none"/>
          <w:shd w:val="clear" w:color="auto" w:fill="auto"/>
        </w:rPr>
      </w:pPr>
      <w:r>
        <w:rPr>
          <w:rFonts w:eastAsia="仿宋"/>
          <w:bCs/>
          <w:color w:val="000000"/>
          <w:kern w:val="0"/>
          <w:sz w:val="32"/>
          <w:szCs w:val="32"/>
          <w:highlight w:val="none"/>
          <w:shd w:val="clear" w:color="auto" w:fill="auto"/>
        </w:rPr>
        <w:t>回收点的建设要根据</w:t>
      </w:r>
      <w:r>
        <w:rPr>
          <w:rFonts w:hint="eastAsia" w:eastAsia="仿宋"/>
          <w:bCs/>
          <w:color w:val="000000"/>
          <w:kern w:val="0"/>
          <w:sz w:val="32"/>
          <w:szCs w:val="32"/>
          <w:highlight w:val="none"/>
          <w:shd w:val="clear" w:color="auto" w:fill="auto"/>
          <w:lang w:eastAsia="zh-CN"/>
        </w:rPr>
        <w:t>各</w:t>
      </w:r>
      <w:r>
        <w:rPr>
          <w:rFonts w:eastAsia="仿宋"/>
          <w:bCs/>
          <w:color w:val="000000"/>
          <w:kern w:val="0"/>
          <w:sz w:val="32"/>
          <w:szCs w:val="32"/>
          <w:highlight w:val="none"/>
          <w:shd w:val="clear" w:color="auto" w:fill="auto"/>
        </w:rPr>
        <w:t>县</w:t>
      </w:r>
      <w:r>
        <w:rPr>
          <w:rFonts w:hint="eastAsia" w:eastAsia="仿宋"/>
          <w:bCs/>
          <w:color w:val="000000"/>
          <w:kern w:val="0"/>
          <w:sz w:val="32"/>
          <w:szCs w:val="32"/>
          <w:highlight w:val="none"/>
          <w:shd w:val="clear" w:color="auto" w:fill="auto"/>
          <w:lang w:eastAsia="zh-CN"/>
        </w:rPr>
        <w:t>（区）</w:t>
      </w:r>
      <w:r>
        <w:rPr>
          <w:rFonts w:hint="eastAsia" w:ascii="Times New Roman" w:hAnsi="Times New Roman" w:eastAsia="方正仿宋_GBK" w:cs="方正仿宋_GBK"/>
          <w:b w:val="0"/>
          <w:bCs w:val="0"/>
          <w:color w:val="000000"/>
          <w:sz w:val="32"/>
          <w:szCs w:val="32"/>
          <w:highlight w:val="none"/>
          <w:shd w:val="clear" w:color="auto" w:fill="auto"/>
        </w:rPr>
        <w:t>辖区经济发展水平、人口密度、环境和资源等具体情况</w:t>
      </w:r>
      <w:r>
        <w:rPr>
          <w:rFonts w:eastAsia="仿宋"/>
          <w:bCs/>
          <w:color w:val="000000"/>
          <w:kern w:val="0"/>
          <w:sz w:val="32"/>
          <w:szCs w:val="32"/>
          <w:highlight w:val="none"/>
          <w:shd w:val="clear" w:color="auto" w:fill="auto"/>
        </w:rPr>
        <w:t>与再生资源产生量情况进行调整设置，</w:t>
      </w:r>
      <w:r>
        <w:rPr>
          <w:rFonts w:eastAsia="仿宋"/>
          <w:bCs/>
          <w:color w:val="000000"/>
          <w:sz w:val="32"/>
          <w:szCs w:val="32"/>
          <w:highlight w:val="none"/>
          <w:shd w:val="clear" w:color="auto" w:fill="auto"/>
        </w:rPr>
        <w:t>可优先考虑选在公共设施及绿地区域新建配套</w:t>
      </w:r>
      <w:r>
        <w:rPr>
          <w:rFonts w:hint="eastAsia" w:eastAsia="仿宋"/>
          <w:bCs/>
          <w:color w:val="000000"/>
          <w:sz w:val="32"/>
          <w:szCs w:val="32"/>
          <w:highlight w:val="none"/>
          <w:shd w:val="clear" w:color="auto" w:fill="auto"/>
          <w:lang w:eastAsia="zh-CN"/>
        </w:rPr>
        <w:t>“</w:t>
      </w:r>
      <w:r>
        <w:rPr>
          <w:rFonts w:eastAsia="仿宋"/>
          <w:bCs/>
          <w:color w:val="000000"/>
          <w:sz w:val="32"/>
          <w:szCs w:val="32"/>
          <w:highlight w:val="none"/>
          <w:shd w:val="clear" w:color="auto" w:fill="auto"/>
        </w:rPr>
        <w:t>垃圾分类+可回收物</w:t>
      </w:r>
      <w:r>
        <w:rPr>
          <w:rFonts w:hint="eastAsia" w:eastAsia="仿宋"/>
          <w:bCs/>
          <w:color w:val="000000"/>
          <w:sz w:val="32"/>
          <w:szCs w:val="32"/>
          <w:highlight w:val="none"/>
          <w:shd w:val="clear" w:color="auto" w:fill="auto"/>
          <w:lang w:eastAsia="zh-CN"/>
        </w:rPr>
        <w:t>”</w:t>
      </w:r>
      <w:r>
        <w:rPr>
          <w:rFonts w:eastAsia="仿宋"/>
          <w:bCs/>
          <w:color w:val="000000"/>
          <w:sz w:val="32"/>
          <w:szCs w:val="32"/>
          <w:highlight w:val="none"/>
          <w:shd w:val="clear" w:color="auto" w:fill="auto"/>
        </w:rPr>
        <w:t>两网融合点。</w:t>
      </w:r>
    </w:p>
    <w:p>
      <w:pPr>
        <w:spacing w:line="560" w:lineRule="exact"/>
        <w:ind w:firstLine="640" w:firstLineChars="200"/>
        <w:rPr>
          <w:rFonts w:eastAsia="仿宋"/>
          <w:bCs/>
          <w:color w:val="000000"/>
          <w:sz w:val="32"/>
          <w:szCs w:val="32"/>
          <w:highlight w:val="none"/>
          <w:shd w:val="clear" w:color="auto" w:fill="auto"/>
        </w:rPr>
      </w:pPr>
      <w:r>
        <w:rPr>
          <w:rFonts w:hint="eastAsia" w:ascii="Times New Roman" w:hAnsi="Times New Roman" w:eastAsia="仿宋" w:cs="仿宋"/>
          <w:b w:val="0"/>
          <w:bCs w:val="0"/>
          <w:color w:val="000000"/>
          <w:sz w:val="32"/>
          <w:szCs w:val="32"/>
          <w:highlight w:val="none"/>
          <w:shd w:val="clear" w:color="auto" w:fill="auto"/>
        </w:rPr>
        <w:t xml:space="preserve">① </w:t>
      </w:r>
      <w:r>
        <w:rPr>
          <w:rFonts w:ascii="Times New Roman" w:hAnsi="Times New Roman" w:eastAsia="仿宋" w:cs="仿宋"/>
          <w:b w:val="0"/>
          <w:bCs w:val="0"/>
          <w:color w:val="000000"/>
          <w:sz w:val="32"/>
          <w:szCs w:val="32"/>
          <w:highlight w:val="none"/>
          <w:shd w:val="clear" w:color="auto" w:fill="auto"/>
        </w:rPr>
        <w:t>居民区可回收物回收点</w:t>
      </w:r>
      <w:r>
        <w:rPr>
          <w:rFonts w:hint="eastAsia" w:eastAsia="仿宋" w:cs="仿宋"/>
          <w:b w:val="0"/>
          <w:bCs w:val="0"/>
          <w:color w:val="000000"/>
          <w:sz w:val="32"/>
          <w:szCs w:val="32"/>
          <w:highlight w:val="none"/>
          <w:shd w:val="clear" w:color="auto" w:fill="auto"/>
          <w:lang w:eastAsia="zh-CN"/>
        </w:rPr>
        <w:t>（</w:t>
      </w:r>
      <w:r>
        <w:rPr>
          <w:rFonts w:ascii="Times New Roman" w:hAnsi="Times New Roman" w:eastAsia="仿宋" w:cs="仿宋"/>
          <w:b w:val="0"/>
          <w:bCs w:val="0"/>
          <w:color w:val="000000"/>
          <w:sz w:val="32"/>
          <w:szCs w:val="32"/>
          <w:highlight w:val="none"/>
          <w:shd w:val="clear" w:color="auto" w:fill="auto"/>
        </w:rPr>
        <w:t>箱</w:t>
      </w:r>
      <w:r>
        <w:rPr>
          <w:rFonts w:hint="eastAsia" w:eastAsia="仿宋" w:cs="仿宋"/>
          <w:b w:val="0"/>
          <w:bCs w:val="0"/>
          <w:color w:val="000000"/>
          <w:sz w:val="32"/>
          <w:szCs w:val="32"/>
          <w:highlight w:val="none"/>
          <w:shd w:val="clear" w:color="auto" w:fill="auto"/>
          <w:lang w:eastAsia="zh-CN"/>
        </w:rPr>
        <w:t>）。</w:t>
      </w:r>
      <w:r>
        <w:rPr>
          <w:rFonts w:hint="eastAsia" w:eastAsia="仿宋"/>
          <w:bCs/>
          <w:color w:val="000000"/>
          <w:sz w:val="32"/>
          <w:szCs w:val="32"/>
          <w:highlight w:val="none"/>
          <w:shd w:val="clear" w:color="auto" w:fill="auto"/>
          <w:lang w:eastAsia="zh-CN"/>
        </w:rPr>
        <w:t>目前</w:t>
      </w:r>
      <w:r>
        <w:rPr>
          <w:rFonts w:eastAsia="仿宋"/>
          <w:bCs/>
          <w:color w:val="000000"/>
          <w:sz w:val="32"/>
          <w:szCs w:val="32"/>
          <w:highlight w:val="none"/>
          <w:shd w:val="clear" w:color="auto" w:fill="auto"/>
        </w:rPr>
        <w:t>全市已有物业小区1946个，均</w:t>
      </w:r>
      <w:r>
        <w:rPr>
          <w:rFonts w:hint="eastAsia" w:eastAsia="仿宋"/>
          <w:bCs/>
          <w:color w:val="000000"/>
          <w:sz w:val="32"/>
          <w:szCs w:val="32"/>
          <w:highlight w:val="none"/>
          <w:shd w:val="clear" w:color="auto" w:fill="auto"/>
        </w:rPr>
        <w:t>在垃圾投放点内</w:t>
      </w:r>
      <w:r>
        <w:rPr>
          <w:rFonts w:hint="eastAsia" w:eastAsia="仿宋"/>
          <w:bCs/>
          <w:color w:val="000000"/>
          <w:sz w:val="32"/>
          <w:szCs w:val="32"/>
          <w:highlight w:val="none"/>
          <w:shd w:val="clear" w:color="auto" w:fill="auto"/>
          <w:lang w:eastAsia="zh-CN"/>
        </w:rPr>
        <w:t>合适位置</w:t>
      </w:r>
      <w:r>
        <w:rPr>
          <w:rFonts w:eastAsia="仿宋"/>
          <w:bCs/>
          <w:color w:val="000000"/>
          <w:sz w:val="32"/>
          <w:szCs w:val="32"/>
          <w:highlight w:val="none"/>
          <w:shd w:val="clear" w:color="auto" w:fill="auto"/>
        </w:rPr>
        <w:t>设置</w:t>
      </w:r>
      <w:r>
        <w:rPr>
          <w:rFonts w:ascii="Times New Roman" w:hAnsi="Times New Roman" w:eastAsia="仿宋" w:cs="仿宋"/>
          <w:color w:val="000000"/>
          <w:sz w:val="32"/>
          <w:szCs w:val="32"/>
          <w:highlight w:val="none"/>
          <w:shd w:val="clear" w:color="auto" w:fill="auto"/>
        </w:rPr>
        <w:t>可回收物回收点</w:t>
      </w:r>
      <w:r>
        <w:rPr>
          <w:rFonts w:hint="eastAsia" w:eastAsia="仿宋" w:cs="仿宋"/>
          <w:b w:val="0"/>
          <w:bCs w:val="0"/>
          <w:color w:val="000000"/>
          <w:sz w:val="32"/>
          <w:szCs w:val="32"/>
          <w:highlight w:val="none"/>
          <w:shd w:val="clear" w:color="auto" w:fill="auto"/>
          <w:lang w:eastAsia="zh-CN"/>
        </w:rPr>
        <w:t>（</w:t>
      </w:r>
      <w:r>
        <w:rPr>
          <w:rFonts w:ascii="Times New Roman" w:hAnsi="Times New Roman" w:eastAsia="仿宋" w:cs="仿宋"/>
          <w:b w:val="0"/>
          <w:bCs w:val="0"/>
          <w:color w:val="000000"/>
          <w:sz w:val="32"/>
          <w:szCs w:val="32"/>
          <w:highlight w:val="none"/>
          <w:shd w:val="clear" w:color="auto" w:fill="auto"/>
        </w:rPr>
        <w:t>箱</w:t>
      </w:r>
      <w:r>
        <w:rPr>
          <w:rFonts w:hint="eastAsia" w:eastAsia="仿宋" w:cs="仿宋"/>
          <w:b w:val="0"/>
          <w:bCs w:val="0"/>
          <w:color w:val="000000"/>
          <w:sz w:val="32"/>
          <w:szCs w:val="32"/>
          <w:highlight w:val="none"/>
          <w:shd w:val="clear" w:color="auto" w:fill="auto"/>
          <w:lang w:eastAsia="zh-CN"/>
        </w:rPr>
        <w:t>）</w:t>
      </w:r>
      <w:r>
        <w:rPr>
          <w:rFonts w:eastAsia="仿宋"/>
          <w:bCs/>
          <w:color w:val="000000"/>
          <w:sz w:val="32"/>
          <w:szCs w:val="32"/>
          <w:highlight w:val="none"/>
          <w:shd w:val="clear" w:color="auto" w:fill="auto"/>
        </w:rPr>
        <w:t>，</w:t>
      </w:r>
      <w:r>
        <w:rPr>
          <w:rFonts w:hint="eastAsia" w:eastAsia="仿宋"/>
          <w:bCs/>
          <w:color w:val="000000"/>
          <w:sz w:val="32"/>
          <w:szCs w:val="32"/>
          <w:highlight w:val="none"/>
          <w:shd w:val="clear" w:color="auto" w:fill="auto"/>
          <w:lang w:eastAsia="zh-CN"/>
        </w:rPr>
        <w:t>便利居民投售个人集攒的可回收物，</w:t>
      </w:r>
      <w:r>
        <w:rPr>
          <w:rFonts w:eastAsia="仿宋"/>
          <w:bCs/>
          <w:color w:val="000000"/>
          <w:sz w:val="32"/>
          <w:szCs w:val="32"/>
          <w:highlight w:val="none"/>
          <w:shd w:val="clear" w:color="auto" w:fill="auto"/>
        </w:rPr>
        <w:t>由专业回收</w:t>
      </w:r>
      <w:r>
        <w:rPr>
          <w:rFonts w:hint="eastAsia" w:eastAsia="仿宋"/>
          <w:bCs/>
          <w:color w:val="000000"/>
          <w:sz w:val="32"/>
          <w:szCs w:val="32"/>
          <w:highlight w:val="none"/>
          <w:shd w:val="clear" w:color="auto" w:fill="auto"/>
          <w:lang w:eastAsia="zh-CN"/>
        </w:rPr>
        <w:t>经营</w:t>
      </w:r>
      <w:r>
        <w:rPr>
          <w:rFonts w:eastAsia="仿宋"/>
          <w:bCs/>
          <w:color w:val="000000"/>
          <w:sz w:val="32"/>
          <w:szCs w:val="32"/>
          <w:highlight w:val="none"/>
          <w:shd w:val="clear" w:color="auto" w:fill="auto"/>
        </w:rPr>
        <w:t>企业</w:t>
      </w:r>
      <w:r>
        <w:rPr>
          <w:rFonts w:hint="eastAsia" w:eastAsia="仿宋"/>
          <w:bCs/>
          <w:color w:val="000000"/>
          <w:sz w:val="32"/>
          <w:szCs w:val="32"/>
          <w:highlight w:val="none"/>
          <w:shd w:val="clear" w:color="auto" w:fill="auto"/>
          <w:lang w:eastAsia="zh-CN"/>
        </w:rPr>
        <w:t>每天定点</w:t>
      </w:r>
      <w:r>
        <w:rPr>
          <w:rFonts w:eastAsia="仿宋"/>
          <w:bCs/>
          <w:color w:val="000000"/>
          <w:sz w:val="32"/>
          <w:szCs w:val="32"/>
          <w:highlight w:val="none"/>
          <w:shd w:val="clear" w:color="auto" w:fill="auto"/>
        </w:rPr>
        <w:t>进行纵向网格化管理及清运。2023年以后新建立小区配套设置垃圾分类投放回收点，实行同步设计、同步建设、同步竣工验收。</w:t>
      </w:r>
    </w:p>
    <w:p>
      <w:pPr>
        <w:pStyle w:val="10"/>
        <w:rPr>
          <w:rFonts w:eastAsia="仿宋"/>
          <w:color w:val="000000"/>
          <w:sz w:val="32"/>
          <w:szCs w:val="32"/>
          <w:highlight w:val="none"/>
          <w:shd w:val="clear" w:color="auto" w:fill="auto"/>
        </w:rPr>
      </w:pPr>
      <w:r>
        <w:rPr>
          <w:rFonts w:eastAsia="仿宋"/>
          <w:color w:val="000000"/>
          <w:sz w:val="32"/>
          <w:szCs w:val="32"/>
          <w:highlight w:val="none"/>
          <w:shd w:val="clear" w:color="auto" w:fill="auto"/>
        </w:rPr>
        <w:drawing>
          <wp:inline distT="0" distB="0" distL="114300" distR="114300">
            <wp:extent cx="2760980" cy="2781300"/>
            <wp:effectExtent l="0" t="0" r="1270" b="0"/>
            <wp:docPr id="2" name="图片 2" descr="微信图片_2022051809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518094952"/>
                    <pic:cNvPicPr>
                      <a:picLocks noChangeAspect="1"/>
                    </pic:cNvPicPr>
                  </pic:nvPicPr>
                  <pic:blipFill>
                    <a:blip r:embed="rId7"/>
                    <a:srcRect l="-491" t="291" r="-491" b="291"/>
                    <a:stretch>
                      <a:fillRect/>
                    </a:stretch>
                  </pic:blipFill>
                  <pic:spPr>
                    <a:xfrm>
                      <a:off x="0" y="0"/>
                      <a:ext cx="2760980" cy="2781300"/>
                    </a:xfrm>
                    <a:prstGeom prst="rect">
                      <a:avLst/>
                    </a:prstGeom>
                    <a:noFill/>
                    <a:ln>
                      <a:noFill/>
                    </a:ln>
                  </pic:spPr>
                </pic:pic>
              </a:graphicData>
            </a:graphic>
          </wp:inline>
        </w:drawing>
      </w:r>
      <w:r>
        <w:rPr>
          <w:rFonts w:eastAsia="仿宋"/>
          <w:color w:val="000000"/>
          <w:sz w:val="32"/>
          <w:szCs w:val="32"/>
          <w:highlight w:val="none"/>
          <w:shd w:val="clear" w:color="auto" w:fill="auto"/>
        </w:rPr>
        <w:drawing>
          <wp:inline distT="0" distB="0" distL="114300" distR="114300">
            <wp:extent cx="2844165" cy="2792730"/>
            <wp:effectExtent l="0" t="0" r="13335" b="7620"/>
            <wp:docPr id="3" name="图片 3" descr="微信图片_2023041323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13234230"/>
                    <pic:cNvPicPr>
                      <a:picLocks noChangeAspect="1"/>
                    </pic:cNvPicPr>
                  </pic:nvPicPr>
                  <pic:blipFill>
                    <a:blip r:embed="rId8"/>
                    <a:srcRect t="9399" b="5211"/>
                    <a:stretch>
                      <a:fillRect/>
                    </a:stretch>
                  </pic:blipFill>
                  <pic:spPr>
                    <a:xfrm>
                      <a:off x="0" y="0"/>
                      <a:ext cx="2844165" cy="2792730"/>
                    </a:xfrm>
                    <a:prstGeom prst="rect">
                      <a:avLst/>
                    </a:prstGeom>
                    <a:noFill/>
                    <a:ln>
                      <a:noFill/>
                    </a:ln>
                  </pic:spPr>
                </pic:pic>
              </a:graphicData>
            </a:graphic>
          </wp:inline>
        </w:drawing>
      </w:r>
    </w:p>
    <w:p>
      <w:pPr>
        <w:pStyle w:val="10"/>
        <w:adjustRightInd w:val="0"/>
        <w:snapToGrid w:val="0"/>
        <w:spacing w:beforeLines="0" w:beforeAutospacing="0" w:afterLines="0" w:afterAutospacing="0" w:line="480" w:lineRule="exact"/>
        <w:ind w:firstLine="2730" w:firstLineChars="1300"/>
        <w:jc w:val="both"/>
        <w:rPr>
          <w:rFonts w:eastAsia="仿宋"/>
          <w:bCs/>
          <w:color w:val="000000"/>
          <w:kern w:val="2"/>
          <w:highlight w:val="none"/>
          <w:shd w:val="clear" w:color="auto" w:fill="auto"/>
        </w:rPr>
      </w:pPr>
      <w:r>
        <w:rPr>
          <w:rFonts w:eastAsia="仿宋"/>
          <w:bCs/>
          <w:color w:val="000000"/>
          <w:kern w:val="2"/>
          <w:highlight w:val="none"/>
          <w:shd w:val="clear" w:color="auto" w:fill="auto"/>
        </w:rPr>
        <w:t>图</w:t>
      </w:r>
      <w:r>
        <w:rPr>
          <w:rFonts w:hint="eastAsia" w:eastAsia="仿宋"/>
          <w:bCs/>
          <w:color w:val="000000"/>
          <w:kern w:val="2"/>
          <w:highlight w:val="none"/>
          <w:shd w:val="clear" w:color="auto" w:fill="auto"/>
          <w:lang w:val="en-US" w:eastAsia="zh-CN"/>
        </w:rPr>
        <w:t>2</w:t>
      </w:r>
      <w:r>
        <w:rPr>
          <w:rFonts w:eastAsia="仿宋"/>
          <w:bCs/>
          <w:color w:val="000000"/>
          <w:kern w:val="2"/>
          <w:highlight w:val="none"/>
          <w:shd w:val="clear" w:color="auto" w:fill="auto"/>
        </w:rPr>
        <w:t xml:space="preserve">  居民区可回收物回收点（箱）示意图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eastAsia="仿宋"/>
          <w:bCs/>
          <w:color w:val="000000"/>
          <w:kern w:val="0"/>
          <w:sz w:val="32"/>
          <w:szCs w:val="32"/>
          <w:highlight w:val="none"/>
          <w:shd w:val="clear" w:color="auto" w:fill="auto"/>
        </w:rPr>
      </w:pPr>
      <w:r>
        <w:rPr>
          <w:rFonts w:hint="eastAsia" w:ascii="Times New Roman" w:hAnsi="Times New Roman" w:eastAsia="仿宋" w:cs="仿宋"/>
          <w:b w:val="0"/>
          <w:bCs w:val="0"/>
          <w:color w:val="000000"/>
          <w:sz w:val="32"/>
          <w:szCs w:val="32"/>
          <w:highlight w:val="none"/>
          <w:shd w:val="clear" w:color="auto" w:fill="auto"/>
        </w:rPr>
        <w:t xml:space="preserve">② </w:t>
      </w:r>
      <w:r>
        <w:rPr>
          <w:rFonts w:ascii="Times New Roman" w:hAnsi="Times New Roman" w:eastAsia="仿宋" w:cs="仿宋"/>
          <w:b w:val="0"/>
          <w:bCs w:val="0"/>
          <w:color w:val="000000"/>
          <w:sz w:val="32"/>
          <w:szCs w:val="32"/>
          <w:highlight w:val="none"/>
          <w:shd w:val="clear" w:color="auto" w:fill="auto"/>
        </w:rPr>
        <w:t>社区级便民回收点（交售点）</w:t>
      </w:r>
      <w:r>
        <w:rPr>
          <w:rFonts w:hint="eastAsia" w:eastAsia="仿宋" w:cs="仿宋"/>
          <w:b w:val="0"/>
          <w:bCs w:val="0"/>
          <w:color w:val="000000"/>
          <w:sz w:val="32"/>
          <w:szCs w:val="32"/>
          <w:highlight w:val="none"/>
          <w:shd w:val="clear" w:color="auto" w:fill="auto"/>
          <w:lang w:eastAsia="zh-CN"/>
        </w:rPr>
        <w:t>。</w:t>
      </w:r>
      <w:r>
        <w:rPr>
          <w:rFonts w:eastAsia="仿宋"/>
          <w:bCs/>
          <w:color w:val="000000"/>
          <w:kern w:val="0"/>
          <w:sz w:val="32"/>
          <w:szCs w:val="32"/>
          <w:highlight w:val="none"/>
          <w:shd w:val="clear" w:color="auto" w:fill="auto"/>
        </w:rPr>
        <w:t>社区级回收</w:t>
      </w:r>
      <w:r>
        <w:rPr>
          <w:rFonts w:eastAsia="仿宋"/>
          <w:bCs/>
          <w:color w:val="000000"/>
          <w:sz w:val="32"/>
          <w:szCs w:val="32"/>
          <w:highlight w:val="none"/>
          <w:shd w:val="clear" w:color="auto" w:fill="auto"/>
        </w:rPr>
        <w:t>点（</w:t>
      </w:r>
      <w:r>
        <w:rPr>
          <w:rFonts w:eastAsia="仿宋"/>
          <w:bCs/>
          <w:color w:val="000000"/>
          <w:kern w:val="0"/>
          <w:sz w:val="32"/>
          <w:szCs w:val="32"/>
          <w:highlight w:val="none"/>
          <w:shd w:val="clear" w:color="auto" w:fill="auto"/>
        </w:rPr>
        <w:t>便民</w:t>
      </w:r>
      <w:r>
        <w:rPr>
          <w:rFonts w:eastAsia="仿宋"/>
          <w:bCs/>
          <w:color w:val="000000"/>
          <w:sz w:val="32"/>
          <w:szCs w:val="32"/>
          <w:highlight w:val="none"/>
          <w:shd w:val="clear" w:color="auto" w:fill="auto"/>
        </w:rPr>
        <w:t>交售点）指以</w:t>
      </w:r>
      <w:r>
        <w:rPr>
          <w:rFonts w:eastAsia="仿宋"/>
          <w:bCs/>
          <w:color w:val="000000"/>
          <w:kern w:val="0"/>
          <w:sz w:val="32"/>
          <w:szCs w:val="32"/>
          <w:highlight w:val="none"/>
          <w:shd w:val="clear" w:color="auto" w:fill="auto"/>
        </w:rPr>
        <w:t>在</w:t>
      </w:r>
      <w:r>
        <w:rPr>
          <w:rFonts w:hint="eastAsia" w:eastAsia="仿宋"/>
          <w:bCs/>
          <w:color w:val="000000"/>
          <w:kern w:val="0"/>
          <w:sz w:val="32"/>
          <w:szCs w:val="32"/>
          <w:highlight w:val="none"/>
          <w:shd w:val="clear" w:color="auto" w:fill="auto"/>
          <w:lang w:eastAsia="zh-CN"/>
        </w:rPr>
        <w:t>物业</w:t>
      </w:r>
      <w:r>
        <w:rPr>
          <w:rFonts w:eastAsia="仿宋"/>
          <w:bCs/>
          <w:color w:val="000000"/>
          <w:kern w:val="0"/>
          <w:sz w:val="32"/>
          <w:szCs w:val="32"/>
          <w:highlight w:val="none"/>
          <w:shd w:val="clear" w:color="auto" w:fill="auto"/>
        </w:rPr>
        <w:t>小区之外</w:t>
      </w:r>
      <w:r>
        <w:rPr>
          <w:rFonts w:hint="eastAsia" w:eastAsia="仿宋"/>
          <w:bCs/>
          <w:color w:val="000000"/>
          <w:kern w:val="0"/>
          <w:sz w:val="32"/>
          <w:szCs w:val="32"/>
          <w:highlight w:val="none"/>
          <w:shd w:val="clear" w:color="auto" w:fill="auto"/>
          <w:lang w:eastAsia="zh-CN"/>
        </w:rPr>
        <w:t>以废品“</w:t>
      </w:r>
      <w:r>
        <w:rPr>
          <w:rFonts w:eastAsia="仿宋"/>
          <w:bCs/>
          <w:color w:val="000000"/>
          <w:kern w:val="0"/>
          <w:sz w:val="32"/>
          <w:szCs w:val="32"/>
          <w:highlight w:val="none"/>
          <w:shd w:val="clear" w:color="auto" w:fill="auto"/>
        </w:rPr>
        <w:t>回收店</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收购站</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经营部</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等命名</w:t>
      </w:r>
      <w:r>
        <w:rPr>
          <w:rFonts w:hint="eastAsia" w:eastAsia="仿宋"/>
          <w:bCs/>
          <w:color w:val="000000"/>
          <w:kern w:val="0"/>
          <w:sz w:val="32"/>
          <w:szCs w:val="32"/>
          <w:highlight w:val="none"/>
          <w:shd w:val="clear" w:color="auto" w:fill="auto"/>
          <w:lang w:eastAsia="zh-CN"/>
        </w:rPr>
        <w:t>，由</w:t>
      </w:r>
      <w:r>
        <w:rPr>
          <w:rFonts w:eastAsia="仿宋"/>
          <w:bCs/>
          <w:color w:val="000000"/>
          <w:sz w:val="32"/>
          <w:szCs w:val="32"/>
          <w:highlight w:val="none"/>
          <w:shd w:val="clear" w:color="auto" w:fill="auto"/>
        </w:rPr>
        <w:t>个体工商户</w:t>
      </w:r>
      <w:r>
        <w:rPr>
          <w:rFonts w:eastAsia="仿宋"/>
          <w:bCs/>
          <w:color w:val="000000"/>
          <w:kern w:val="0"/>
          <w:sz w:val="32"/>
          <w:szCs w:val="32"/>
          <w:highlight w:val="none"/>
          <w:shd w:val="clear" w:color="auto" w:fill="auto"/>
        </w:rPr>
        <w:t>自主设置的固定</w:t>
      </w:r>
      <w:r>
        <w:rPr>
          <w:rFonts w:hint="eastAsia" w:eastAsia="仿宋"/>
          <w:bCs/>
          <w:color w:val="000000"/>
          <w:kern w:val="0"/>
          <w:sz w:val="32"/>
          <w:szCs w:val="32"/>
          <w:highlight w:val="none"/>
          <w:shd w:val="clear" w:color="auto" w:fill="auto"/>
          <w:lang w:eastAsia="zh-CN"/>
        </w:rPr>
        <w:t>回收</w:t>
      </w:r>
      <w:r>
        <w:rPr>
          <w:rFonts w:eastAsia="仿宋"/>
          <w:bCs/>
          <w:color w:val="000000"/>
          <w:kern w:val="0"/>
          <w:sz w:val="32"/>
          <w:szCs w:val="32"/>
          <w:highlight w:val="none"/>
          <w:shd w:val="clear" w:color="auto" w:fill="auto"/>
        </w:rPr>
        <w:t>场所。</w:t>
      </w:r>
      <w:r>
        <w:rPr>
          <w:rFonts w:hint="eastAsia" w:eastAsia="仿宋"/>
          <w:bCs/>
          <w:color w:val="000000"/>
          <w:kern w:val="0"/>
          <w:sz w:val="32"/>
          <w:szCs w:val="32"/>
          <w:highlight w:val="none"/>
          <w:shd w:val="clear" w:color="auto" w:fill="auto"/>
          <w:lang w:eastAsia="zh-CN"/>
        </w:rPr>
        <w:t>在</w:t>
      </w:r>
      <w:r>
        <w:rPr>
          <w:rFonts w:eastAsia="仿宋"/>
          <w:bCs/>
          <w:color w:val="000000"/>
          <w:kern w:val="0"/>
          <w:sz w:val="32"/>
          <w:szCs w:val="32"/>
          <w:highlight w:val="none"/>
          <w:shd w:val="clear" w:color="auto" w:fill="auto"/>
        </w:rPr>
        <w:t>县（区）中心区街道设置社区级便民</w:t>
      </w:r>
      <w:r>
        <w:rPr>
          <w:rFonts w:eastAsia="仿宋"/>
          <w:bCs/>
          <w:color w:val="000000"/>
          <w:sz w:val="32"/>
          <w:szCs w:val="32"/>
          <w:highlight w:val="none"/>
          <w:shd w:val="clear" w:color="auto" w:fill="auto"/>
        </w:rPr>
        <w:t>回收点</w:t>
      </w:r>
      <w:r>
        <w:rPr>
          <w:rFonts w:hint="eastAsia" w:eastAsia="仿宋"/>
          <w:bCs/>
          <w:color w:val="000000"/>
          <w:sz w:val="32"/>
          <w:szCs w:val="32"/>
          <w:highlight w:val="none"/>
          <w:shd w:val="clear" w:color="auto" w:fill="auto"/>
          <w:lang w:eastAsia="zh-CN"/>
        </w:rPr>
        <w:t>，</w:t>
      </w:r>
      <w:r>
        <w:rPr>
          <w:rFonts w:eastAsia="仿宋"/>
          <w:bCs/>
          <w:color w:val="000000"/>
          <w:sz w:val="32"/>
          <w:szCs w:val="32"/>
          <w:highlight w:val="none"/>
          <w:shd w:val="clear" w:color="auto" w:fill="auto"/>
        </w:rPr>
        <w:t>主要便利商业网点、社区周边商户交售再生资源可回收物</w:t>
      </w:r>
      <w:r>
        <w:rPr>
          <w:rFonts w:hint="eastAsia" w:eastAsia="仿宋"/>
          <w:bCs/>
          <w:color w:val="000000"/>
          <w:sz w:val="32"/>
          <w:szCs w:val="32"/>
          <w:highlight w:val="none"/>
          <w:shd w:val="clear" w:color="auto" w:fill="auto"/>
          <w:lang w:eastAsia="zh-CN"/>
        </w:rPr>
        <w:t>。</w:t>
      </w:r>
      <w:r>
        <w:rPr>
          <w:rFonts w:eastAsia="仿宋"/>
          <w:bCs/>
          <w:color w:val="000000"/>
          <w:sz w:val="32"/>
          <w:szCs w:val="32"/>
          <w:highlight w:val="none"/>
          <w:shd w:val="clear" w:color="auto" w:fill="auto"/>
        </w:rPr>
        <w:t>回收点内</w:t>
      </w:r>
      <w:r>
        <w:rPr>
          <w:rFonts w:eastAsia="仿宋"/>
          <w:bCs/>
          <w:color w:val="000000"/>
          <w:kern w:val="0"/>
          <w:sz w:val="32"/>
          <w:szCs w:val="32"/>
          <w:highlight w:val="none"/>
          <w:shd w:val="clear" w:color="auto" w:fill="auto"/>
        </w:rPr>
        <w:t>只能对再生资源可回收物进行简单分类，不得从事再生资源拆解、清洗等可能产生环境污染的加工业务。回收点可吸纳流动回收人员，为居住较分散的社区提供流动回收服务。回收点与中转站直接对接，将可回收物直接交售给中转站或由中转站当日清收，不能在回收点储存，要做到</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日收日清</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社区级便民回收</w:t>
      </w:r>
      <w:r>
        <w:rPr>
          <w:rFonts w:eastAsia="仿宋"/>
          <w:bCs/>
          <w:color w:val="000000"/>
          <w:sz w:val="32"/>
          <w:szCs w:val="32"/>
          <w:highlight w:val="none"/>
          <w:shd w:val="clear" w:color="auto" w:fill="auto"/>
        </w:rPr>
        <w:t>点（交售点）</w:t>
      </w:r>
      <w:r>
        <w:rPr>
          <w:rFonts w:eastAsia="仿宋"/>
          <w:bCs/>
          <w:color w:val="000000"/>
          <w:kern w:val="0"/>
          <w:sz w:val="32"/>
          <w:szCs w:val="32"/>
          <w:highlight w:val="none"/>
          <w:shd w:val="clear" w:color="auto" w:fill="auto"/>
        </w:rPr>
        <w:t>门面招牌采用统一规范的站名和设计</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站点的建筑、设计、外部装修应与社区环境协调，原则上要求全封闭。经营面积不少于10平方米。</w:t>
      </w:r>
    </w:p>
    <w:p>
      <w:pPr>
        <w:pStyle w:val="2"/>
        <w:rPr>
          <w:rFonts w:eastAsia="仿宋"/>
          <w:bCs/>
          <w:color w:val="000000"/>
          <w:kern w:val="0"/>
          <w:sz w:val="32"/>
          <w:szCs w:val="32"/>
          <w:highlight w:val="none"/>
          <w:shd w:val="clear" w:color="auto" w:fill="auto"/>
        </w:rPr>
      </w:pPr>
      <w:r>
        <w:rPr>
          <w:color w:val="000000"/>
          <w:highlight w:val="none"/>
          <w:shd w:val="clear" w:color="auto" w:fill="auto"/>
        </w:rPr>
        <w:drawing>
          <wp:inline distT="0" distB="0" distL="114300" distR="114300">
            <wp:extent cx="5523865" cy="2146935"/>
            <wp:effectExtent l="0" t="0" r="63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523865" cy="2146935"/>
                    </a:xfrm>
                    <a:prstGeom prst="rect">
                      <a:avLst/>
                    </a:prstGeom>
                    <a:noFill/>
                    <a:ln>
                      <a:noFill/>
                    </a:ln>
                  </pic:spPr>
                </pic:pic>
              </a:graphicData>
            </a:graphic>
          </wp:inline>
        </w:drawing>
      </w:r>
    </w:p>
    <w:p>
      <w:pPr>
        <w:pStyle w:val="2"/>
        <w:ind w:firstLine="2160" w:firstLineChars="900"/>
        <w:rPr>
          <w:rFonts w:hint="eastAsia" w:eastAsia="仿宋"/>
          <w:bCs/>
          <w:color w:val="000000"/>
          <w:highlight w:val="none"/>
          <w:shd w:val="clear" w:color="auto" w:fill="auto"/>
          <w:lang w:eastAsia="zh-CN"/>
        </w:rPr>
      </w:pPr>
      <w:r>
        <w:rPr>
          <w:rFonts w:eastAsia="仿宋"/>
          <w:bCs/>
          <w:color w:val="000000"/>
          <w:highlight w:val="none"/>
          <w:shd w:val="clear" w:color="auto" w:fill="auto"/>
        </w:rPr>
        <w:t>图</w:t>
      </w:r>
      <w:r>
        <w:rPr>
          <w:rFonts w:hint="eastAsia" w:eastAsia="仿宋"/>
          <w:bCs/>
          <w:color w:val="000000"/>
          <w:highlight w:val="none"/>
          <w:shd w:val="clear" w:color="auto" w:fill="auto"/>
          <w:lang w:val="en-US" w:eastAsia="zh-CN"/>
        </w:rPr>
        <w:t>3</w:t>
      </w:r>
      <w:r>
        <w:rPr>
          <w:rFonts w:eastAsia="仿宋"/>
          <w:bCs/>
          <w:color w:val="000000"/>
          <w:highlight w:val="none"/>
          <w:shd w:val="clear" w:color="auto" w:fill="auto"/>
        </w:rPr>
        <w:t xml:space="preserve">  传统型</w:t>
      </w:r>
      <w:r>
        <w:rPr>
          <w:rFonts w:hint="eastAsia" w:eastAsia="仿宋"/>
          <w:bCs/>
          <w:color w:val="000000"/>
          <w:highlight w:val="none"/>
          <w:shd w:val="clear" w:color="auto" w:fill="auto"/>
          <w:lang w:eastAsia="zh-CN"/>
        </w:rPr>
        <w:t>社区</w:t>
      </w:r>
      <w:r>
        <w:rPr>
          <w:rFonts w:eastAsia="仿宋"/>
          <w:bCs/>
          <w:color w:val="000000"/>
          <w:highlight w:val="none"/>
          <w:shd w:val="clear" w:color="auto" w:fill="auto"/>
        </w:rPr>
        <w:t>便民回收点标牌标识示例</w:t>
      </w:r>
      <w:r>
        <w:rPr>
          <w:rFonts w:hint="eastAsia" w:eastAsia="仿宋"/>
          <w:bCs/>
          <w:color w:val="000000"/>
          <w:highlight w:val="none"/>
          <w:shd w:val="clear" w:color="auto" w:fill="auto"/>
          <w:lang w:eastAsia="zh-CN"/>
        </w:rPr>
        <w:t>图</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color w:val="000000"/>
          <w:highlight w:val="none"/>
          <w:shd w:val="clear" w:color="auto" w:fill="auto"/>
        </w:rPr>
      </w:pPr>
      <w:r>
        <w:rPr>
          <w:rFonts w:eastAsia="仿宋"/>
          <w:bCs/>
          <w:color w:val="000000"/>
          <w:kern w:val="0"/>
          <w:sz w:val="32"/>
          <w:szCs w:val="32"/>
          <w:highlight w:val="none"/>
          <w:shd w:val="clear" w:color="auto" w:fill="auto"/>
        </w:rPr>
        <w:t>全市</w:t>
      </w:r>
      <w:r>
        <w:rPr>
          <w:rFonts w:eastAsia="仿宋"/>
          <w:color w:val="000000"/>
          <w:sz w:val="32"/>
          <w:szCs w:val="32"/>
          <w:highlight w:val="none"/>
          <w:shd w:val="clear" w:color="auto" w:fill="auto"/>
        </w:rPr>
        <w:t>县（区）中心区</w:t>
      </w:r>
      <w:r>
        <w:rPr>
          <w:rFonts w:eastAsia="仿宋"/>
          <w:bCs/>
          <w:color w:val="000000"/>
          <w:kern w:val="0"/>
          <w:sz w:val="32"/>
          <w:szCs w:val="32"/>
          <w:highlight w:val="none"/>
          <w:shd w:val="clear" w:color="auto" w:fill="auto"/>
        </w:rPr>
        <w:t>街道</w:t>
      </w:r>
      <w:r>
        <w:rPr>
          <w:rFonts w:eastAsia="仿宋"/>
          <w:color w:val="000000"/>
          <w:sz w:val="32"/>
          <w:szCs w:val="32"/>
          <w:highlight w:val="none"/>
          <w:shd w:val="clear" w:color="auto" w:fill="auto"/>
        </w:rPr>
        <w:t>共有</w:t>
      </w:r>
      <w:r>
        <w:rPr>
          <w:rFonts w:eastAsia="仿宋"/>
          <w:bCs/>
          <w:color w:val="000000"/>
          <w:kern w:val="0"/>
          <w:sz w:val="32"/>
          <w:szCs w:val="32"/>
          <w:highlight w:val="none"/>
          <w:shd w:val="clear" w:color="auto" w:fill="auto"/>
        </w:rPr>
        <w:t>73个1280个社区（村），规划设置1280社区级</w:t>
      </w:r>
      <w:r>
        <w:rPr>
          <w:rFonts w:eastAsia="仿宋"/>
          <w:color w:val="000000"/>
          <w:kern w:val="0"/>
          <w:sz w:val="32"/>
          <w:szCs w:val="32"/>
          <w:highlight w:val="none"/>
          <w:shd w:val="clear" w:color="auto" w:fill="auto"/>
        </w:rPr>
        <w:t>回收点。</w:t>
      </w:r>
      <w:r>
        <w:rPr>
          <w:rFonts w:eastAsia="仿宋"/>
          <w:bCs/>
          <w:color w:val="000000"/>
          <w:kern w:val="0"/>
          <w:sz w:val="32"/>
          <w:szCs w:val="32"/>
          <w:highlight w:val="none"/>
          <w:shd w:val="clear" w:color="auto" w:fill="auto"/>
        </w:rPr>
        <w:t>以惠城区为例，规划2025年8个街道98个社区（含行政村）建成社区级回收</w:t>
      </w:r>
      <w:r>
        <w:rPr>
          <w:rFonts w:eastAsia="仿宋"/>
          <w:bCs/>
          <w:color w:val="000000"/>
          <w:sz w:val="32"/>
          <w:szCs w:val="32"/>
          <w:highlight w:val="none"/>
          <w:shd w:val="clear" w:color="auto" w:fill="auto"/>
        </w:rPr>
        <w:t>点（</w:t>
      </w:r>
      <w:r>
        <w:rPr>
          <w:rFonts w:eastAsia="仿宋"/>
          <w:bCs/>
          <w:color w:val="000000"/>
          <w:kern w:val="0"/>
          <w:sz w:val="32"/>
          <w:szCs w:val="32"/>
          <w:highlight w:val="none"/>
          <w:shd w:val="clear" w:color="auto" w:fill="auto"/>
        </w:rPr>
        <w:t>便民</w:t>
      </w:r>
      <w:r>
        <w:rPr>
          <w:rFonts w:eastAsia="仿宋"/>
          <w:bCs/>
          <w:color w:val="000000"/>
          <w:sz w:val="32"/>
          <w:szCs w:val="32"/>
          <w:highlight w:val="none"/>
          <w:shd w:val="clear" w:color="auto" w:fill="auto"/>
        </w:rPr>
        <w:t>交售点）98个，2027年建成包含5个镇118</w:t>
      </w:r>
      <w:r>
        <w:rPr>
          <w:rFonts w:eastAsia="仿宋"/>
          <w:bCs/>
          <w:color w:val="000000"/>
          <w:kern w:val="0"/>
          <w:sz w:val="32"/>
          <w:szCs w:val="32"/>
          <w:highlight w:val="none"/>
          <w:shd w:val="clear" w:color="auto" w:fill="auto"/>
        </w:rPr>
        <w:t>个社区（</w:t>
      </w:r>
      <w:r>
        <w:rPr>
          <w:rFonts w:eastAsia="仿宋"/>
          <w:color w:val="000000"/>
          <w:sz w:val="32"/>
          <w:szCs w:val="32"/>
          <w:highlight w:val="none"/>
          <w:shd w:val="clear" w:color="auto" w:fill="auto"/>
        </w:rPr>
        <w:t>含行政村）在内的216个社区级回收站。利用现有废品站点升级改造，每个社区设立一个，选址由街道和社区选定，由政府投资或企业投资建设，经营者承包经营，按统一标准规范经营</w:t>
      </w:r>
      <w:r>
        <w:rPr>
          <w:rFonts w:hint="eastAsia" w:eastAsia="仿宋"/>
          <w:color w:val="000000"/>
          <w:sz w:val="32"/>
          <w:szCs w:val="32"/>
          <w:highlight w:val="none"/>
          <w:shd w:val="clear" w:color="auto" w:fill="auto"/>
          <w:lang w:eastAsia="zh-CN"/>
        </w:rPr>
        <w:t>，</w:t>
      </w:r>
      <w:r>
        <w:rPr>
          <w:rFonts w:hint="eastAsia" w:eastAsia="仿宋"/>
          <w:bCs/>
          <w:color w:val="000000"/>
          <w:kern w:val="0"/>
          <w:sz w:val="32"/>
          <w:szCs w:val="32"/>
          <w:highlight w:val="none"/>
          <w:shd w:val="clear" w:color="auto" w:fill="auto"/>
          <w:lang w:eastAsia="zh-CN"/>
        </w:rPr>
        <w:t>纳入再生资源回收体系规范管理。</w:t>
      </w:r>
    </w:p>
    <w:p>
      <w:pPr>
        <w:pStyle w:val="35"/>
        <w:jc w:val="both"/>
        <w:rPr>
          <w:rFonts w:hint="eastAsia" w:eastAsia="仿宋"/>
          <w:bCs/>
          <w:color w:val="000000"/>
          <w:highlight w:val="none"/>
          <w:shd w:val="clear" w:color="auto" w:fill="auto"/>
          <w:lang w:eastAsia="zh-CN"/>
        </w:rPr>
      </w:pPr>
      <w:r>
        <w:rPr>
          <w:rFonts w:eastAsia="仿宋"/>
          <w:color w:val="000000"/>
          <w:kern w:val="0"/>
          <w:sz w:val="32"/>
          <w:szCs w:val="32"/>
          <w:highlight w:val="none"/>
          <w:shd w:val="clear" w:color="auto" w:fill="auto"/>
          <w:lang w:bidi="ar"/>
        </w:rPr>
        <w:drawing>
          <wp:inline distT="0" distB="0" distL="114300" distR="114300">
            <wp:extent cx="5643880" cy="3305810"/>
            <wp:effectExtent l="0" t="0" r="13970" b="8890"/>
            <wp:docPr id="5" name="图片 11" descr="番禺区 两网融合+环卫驿站2（公园外面的闲置地垃圾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番禺区 两网融合+环卫驿站2（公园外面的闲置地垃圾分类）"/>
                    <pic:cNvPicPr>
                      <a:picLocks noChangeAspect="1"/>
                    </pic:cNvPicPr>
                  </pic:nvPicPr>
                  <pic:blipFill>
                    <a:blip r:embed="rId10"/>
                    <a:stretch>
                      <a:fillRect/>
                    </a:stretch>
                  </pic:blipFill>
                  <pic:spPr>
                    <a:xfrm>
                      <a:off x="0" y="0"/>
                      <a:ext cx="5643880" cy="3305810"/>
                    </a:xfrm>
                    <a:prstGeom prst="rect">
                      <a:avLst/>
                    </a:prstGeom>
                    <a:noFill/>
                    <a:ln>
                      <a:noFill/>
                    </a:ln>
                  </pic:spPr>
                </pic:pic>
              </a:graphicData>
            </a:graphic>
          </wp:inline>
        </w:drawing>
      </w:r>
    </w:p>
    <w:p>
      <w:pPr>
        <w:pStyle w:val="35"/>
        <w:adjustRightInd w:val="0"/>
        <w:snapToGrid w:val="0"/>
        <w:spacing w:line="560" w:lineRule="exact"/>
        <w:ind w:firstLineChars="900"/>
        <w:jc w:val="both"/>
        <w:rPr>
          <w:rFonts w:eastAsia="仿宋"/>
          <w:bCs/>
          <w:color w:val="000000"/>
          <w:sz w:val="24"/>
          <w:highlight w:val="none"/>
          <w:shd w:val="clear" w:color="auto" w:fill="auto"/>
        </w:rPr>
      </w:pPr>
      <w:r>
        <w:rPr>
          <w:rFonts w:eastAsia="仿宋"/>
          <w:bCs/>
          <w:color w:val="000000"/>
          <w:kern w:val="0"/>
          <w:sz w:val="24"/>
          <w:highlight w:val="none"/>
          <w:shd w:val="clear" w:color="auto" w:fill="auto"/>
        </w:rPr>
        <w:t>图</w:t>
      </w:r>
      <w:r>
        <w:rPr>
          <w:rFonts w:hint="eastAsia" w:eastAsia="仿宋"/>
          <w:bCs/>
          <w:color w:val="000000"/>
          <w:kern w:val="0"/>
          <w:sz w:val="24"/>
          <w:highlight w:val="none"/>
          <w:shd w:val="clear" w:color="auto" w:fill="auto"/>
          <w:lang w:val="en-US" w:eastAsia="zh-CN"/>
        </w:rPr>
        <w:t>4</w:t>
      </w:r>
      <w:r>
        <w:rPr>
          <w:rFonts w:eastAsia="仿宋"/>
          <w:bCs/>
          <w:color w:val="000000"/>
          <w:kern w:val="0"/>
          <w:sz w:val="24"/>
          <w:highlight w:val="none"/>
          <w:shd w:val="clear" w:color="auto" w:fill="auto"/>
        </w:rPr>
        <w:t xml:space="preserve">  社区级便民回收</w:t>
      </w:r>
      <w:r>
        <w:rPr>
          <w:rFonts w:eastAsia="仿宋"/>
          <w:bCs/>
          <w:color w:val="000000"/>
          <w:sz w:val="24"/>
          <w:highlight w:val="none"/>
          <w:shd w:val="clear" w:color="auto" w:fill="auto"/>
        </w:rPr>
        <w:t>点（交售点）示意图</w:t>
      </w:r>
    </w:p>
    <w:p>
      <w:pPr>
        <w:pStyle w:val="2"/>
        <w:autoSpaceDE w:val="0"/>
        <w:autoSpaceDN w:val="0"/>
        <w:adjustRightInd w:val="0"/>
        <w:snapToGrid/>
        <w:spacing w:line="560" w:lineRule="exact"/>
        <w:ind w:firstLine="640" w:firstLineChars="200"/>
        <w:rPr>
          <w:rFonts w:hint="default" w:ascii="Times New Roman" w:hAnsi="Times New Roman" w:eastAsia="仿宋" w:cs="Times New Roman"/>
          <w:b w:val="0"/>
          <w:bCs/>
          <w:color w:val="000000"/>
          <w:sz w:val="32"/>
          <w:szCs w:val="32"/>
          <w:highlight w:val="none"/>
          <w:shd w:val="clear" w:color="auto" w:fill="auto"/>
        </w:rPr>
      </w:pPr>
      <w:r>
        <w:rPr>
          <w:rFonts w:hint="default" w:ascii="Times New Roman" w:hAnsi="Times New Roman" w:eastAsia="仿宋" w:cs="Times New Roman"/>
          <w:b w:val="0"/>
          <w:bCs/>
          <w:color w:val="000000"/>
          <w:sz w:val="32"/>
          <w:szCs w:val="32"/>
          <w:highlight w:val="none"/>
          <w:shd w:val="clear" w:color="auto" w:fill="auto"/>
        </w:rPr>
        <w:t>③ 社区级</w:t>
      </w:r>
      <w:r>
        <w:rPr>
          <w:rFonts w:hint="eastAsia" w:ascii="Times New Roman" w:hAnsi="Times New Roman" w:eastAsia="仿宋" w:cs="Times New Roman"/>
          <w:b w:val="0"/>
          <w:bCs/>
          <w:color w:val="000000"/>
          <w:sz w:val="32"/>
          <w:szCs w:val="32"/>
          <w:highlight w:val="none"/>
          <w:shd w:val="clear" w:color="auto" w:fill="auto"/>
          <w:lang w:eastAsia="zh-CN"/>
        </w:rPr>
        <w:t>“</w:t>
      </w:r>
      <w:r>
        <w:rPr>
          <w:rFonts w:hint="default" w:ascii="Times New Roman" w:hAnsi="Times New Roman" w:eastAsia="仿宋" w:cs="Times New Roman"/>
          <w:b w:val="0"/>
          <w:bCs/>
          <w:color w:val="000000"/>
          <w:sz w:val="32"/>
          <w:szCs w:val="32"/>
          <w:highlight w:val="none"/>
          <w:shd w:val="clear" w:color="auto" w:fill="auto"/>
        </w:rPr>
        <w:t>垃圾分类+可回收物</w:t>
      </w:r>
      <w:r>
        <w:rPr>
          <w:rFonts w:hint="eastAsia" w:ascii="Times New Roman" w:hAnsi="Times New Roman" w:eastAsia="仿宋" w:cs="Times New Roman"/>
          <w:b w:val="0"/>
          <w:bCs/>
          <w:color w:val="000000"/>
          <w:sz w:val="32"/>
          <w:szCs w:val="32"/>
          <w:highlight w:val="none"/>
          <w:shd w:val="clear" w:color="auto" w:fill="auto"/>
          <w:lang w:eastAsia="zh-CN"/>
        </w:rPr>
        <w:t>”</w:t>
      </w:r>
      <w:r>
        <w:rPr>
          <w:rFonts w:hint="default" w:ascii="Times New Roman" w:hAnsi="Times New Roman" w:eastAsia="仿宋" w:cs="Times New Roman"/>
          <w:b w:val="0"/>
          <w:bCs/>
          <w:color w:val="000000"/>
          <w:sz w:val="32"/>
          <w:szCs w:val="32"/>
          <w:highlight w:val="none"/>
          <w:shd w:val="clear" w:color="auto" w:fill="auto"/>
        </w:rPr>
        <w:t>回收点（垃圾转运站）</w:t>
      </w:r>
      <w:r>
        <w:rPr>
          <w:rFonts w:hint="default" w:ascii="Times New Roman" w:hAnsi="Times New Roman" w:eastAsia="仿宋" w:cs="Times New Roman"/>
          <w:b w:val="0"/>
          <w:bCs/>
          <w:color w:val="000000"/>
          <w:sz w:val="32"/>
          <w:szCs w:val="32"/>
          <w:highlight w:val="none"/>
          <w:shd w:val="clear" w:color="auto" w:fill="auto"/>
          <w:lang w:eastAsia="zh-CN"/>
        </w:rPr>
        <w:t>。</w:t>
      </w:r>
    </w:p>
    <w:p>
      <w:pPr>
        <w:pStyle w:val="2"/>
        <w:autoSpaceDE w:val="0"/>
        <w:autoSpaceDN w:val="0"/>
        <w:adjustRightInd w:val="0"/>
        <w:snapToGrid/>
        <w:spacing w:line="560" w:lineRule="exact"/>
        <w:ind w:firstLine="0" w:firstLineChars="0"/>
        <w:rPr>
          <w:rFonts w:hint="default" w:ascii="Times New Roman" w:hAnsi="Times New Roman" w:eastAsia="仿宋" w:cs="Times New Roman"/>
          <w:b w:val="0"/>
          <w:bCs/>
          <w:color w:val="000000"/>
          <w:kern w:val="0"/>
          <w:sz w:val="32"/>
          <w:szCs w:val="32"/>
          <w:highlight w:val="none"/>
          <w:shd w:val="clear" w:color="auto" w:fill="auto"/>
        </w:rPr>
      </w:pPr>
      <w:r>
        <w:rPr>
          <w:rFonts w:hint="default" w:ascii="Times New Roman" w:hAnsi="Times New Roman" w:eastAsia="仿宋" w:cs="Times New Roman"/>
          <w:b w:val="0"/>
          <w:bCs/>
          <w:color w:val="000000"/>
          <w:sz w:val="32"/>
          <w:szCs w:val="32"/>
          <w:highlight w:val="none"/>
          <w:shd w:val="clear" w:color="auto" w:fill="auto"/>
        </w:rPr>
        <w:t>为实现社会公共卫生系统资源整合，</w:t>
      </w:r>
      <w:r>
        <w:rPr>
          <w:rFonts w:hint="default" w:ascii="Times New Roman" w:hAnsi="Times New Roman" w:eastAsia="仿宋" w:cs="Times New Roman"/>
          <w:b w:val="0"/>
          <w:bCs/>
          <w:color w:val="000000"/>
          <w:sz w:val="32"/>
          <w:szCs w:val="32"/>
          <w:highlight w:val="none"/>
          <w:shd w:val="clear" w:color="auto" w:fill="auto"/>
          <w:lang w:eastAsia="zh-CN"/>
        </w:rPr>
        <w:t>结合我市</w:t>
      </w:r>
      <w:r>
        <w:rPr>
          <w:rFonts w:hint="default" w:ascii="Times New Roman" w:hAnsi="Times New Roman" w:eastAsia="仿宋" w:cs="Times New Roman"/>
          <w:b w:val="0"/>
          <w:bCs/>
          <w:color w:val="000000"/>
          <w:sz w:val="32"/>
          <w:szCs w:val="32"/>
          <w:highlight w:val="none"/>
          <w:shd w:val="clear" w:color="auto" w:fill="auto"/>
        </w:rPr>
        <w:t>城市生活垃圾分类工作</w:t>
      </w:r>
      <w:r>
        <w:rPr>
          <w:rFonts w:hint="default" w:ascii="Times New Roman" w:hAnsi="Times New Roman" w:eastAsia="仿宋" w:cs="Times New Roman"/>
          <w:b w:val="0"/>
          <w:bCs/>
          <w:color w:val="000000"/>
          <w:sz w:val="32"/>
          <w:szCs w:val="32"/>
          <w:highlight w:val="none"/>
          <w:shd w:val="clear" w:color="auto" w:fill="auto"/>
          <w:lang w:eastAsia="zh-CN"/>
        </w:rPr>
        <w:t>部署及</w:t>
      </w:r>
      <w:r>
        <w:rPr>
          <w:rFonts w:hint="default" w:ascii="Times New Roman" w:hAnsi="Times New Roman" w:eastAsia="仿宋" w:cs="Times New Roman"/>
          <w:b w:val="0"/>
          <w:bCs/>
          <w:color w:val="000000"/>
          <w:sz w:val="32"/>
          <w:szCs w:val="32"/>
          <w:highlight w:val="none"/>
          <w:shd w:val="clear" w:color="auto" w:fill="auto"/>
        </w:rPr>
        <w:t>城乡环境卫生专项规划</w:t>
      </w:r>
      <w:r>
        <w:rPr>
          <w:rFonts w:hint="default" w:ascii="Times New Roman" w:hAnsi="Times New Roman" w:eastAsia="仿宋" w:cs="Times New Roman"/>
          <w:b w:val="0"/>
          <w:bCs/>
          <w:color w:val="000000"/>
          <w:kern w:val="0"/>
          <w:sz w:val="32"/>
          <w:szCs w:val="32"/>
          <w:highlight w:val="none"/>
          <w:shd w:val="clear" w:color="auto" w:fill="auto"/>
          <w:lang w:eastAsia="zh-CN"/>
        </w:rPr>
        <w:t>中的</w:t>
      </w:r>
      <w:r>
        <w:rPr>
          <w:rFonts w:hint="default" w:ascii="Times New Roman" w:hAnsi="Times New Roman" w:eastAsia="仿宋" w:cs="Times New Roman"/>
          <w:b w:val="0"/>
          <w:bCs/>
          <w:color w:val="000000"/>
          <w:sz w:val="32"/>
          <w:szCs w:val="32"/>
          <w:highlight w:val="none"/>
          <w:shd w:val="clear" w:color="auto" w:fill="auto"/>
        </w:rPr>
        <w:t>垃圾转运站布局</w:t>
      </w:r>
      <w:r>
        <w:rPr>
          <w:rFonts w:hint="default" w:ascii="Times New Roman" w:hAnsi="Times New Roman" w:eastAsia="仿宋" w:cs="Times New Roman"/>
          <w:b w:val="0"/>
          <w:bCs/>
          <w:color w:val="000000"/>
          <w:kern w:val="0"/>
          <w:sz w:val="32"/>
          <w:szCs w:val="32"/>
          <w:highlight w:val="none"/>
          <w:shd w:val="clear" w:color="auto" w:fill="auto"/>
        </w:rPr>
        <w:t>，采用下列方案进行规划：</w:t>
      </w:r>
    </w:p>
    <w:p>
      <w:pPr>
        <w:pStyle w:val="2"/>
        <w:autoSpaceDE w:val="0"/>
        <w:autoSpaceDN w:val="0"/>
        <w:adjustRightInd w:val="0"/>
        <w:spacing w:line="560" w:lineRule="exact"/>
        <w:ind w:firstLine="640" w:firstLineChars="200"/>
        <w:rPr>
          <w:rFonts w:hint="default" w:ascii="Times New Roman" w:hAnsi="Times New Roman" w:eastAsia="仿宋" w:cs="Times New Roman"/>
          <w:bCs/>
          <w:color w:val="000000"/>
          <w:sz w:val="32"/>
          <w:szCs w:val="32"/>
          <w:highlight w:val="none"/>
          <w:shd w:val="clear" w:color="auto" w:fill="auto"/>
        </w:rPr>
      </w:pPr>
      <w:r>
        <w:rPr>
          <w:rFonts w:hint="default" w:ascii="Times New Roman" w:hAnsi="Times New Roman" w:eastAsia="仿宋" w:cs="Times New Roman"/>
          <w:bCs/>
          <w:color w:val="000000"/>
          <w:sz w:val="32"/>
          <w:szCs w:val="32"/>
          <w:highlight w:val="none"/>
          <w:shd w:val="clear" w:color="auto" w:fill="auto"/>
        </w:rPr>
        <w:fldChar w:fldCharType="begin"/>
      </w:r>
      <w:r>
        <w:rPr>
          <w:rFonts w:hint="default" w:ascii="Times New Roman" w:hAnsi="Times New Roman" w:eastAsia="仿宋" w:cs="Times New Roman"/>
          <w:bCs/>
          <w:color w:val="000000"/>
          <w:sz w:val="32"/>
          <w:szCs w:val="32"/>
          <w:highlight w:val="none"/>
          <w:shd w:val="clear" w:color="auto" w:fill="auto"/>
        </w:rPr>
        <w:instrText xml:space="preserve"> = 1 \* ROMAN \* MERGEFORMAT </w:instrText>
      </w:r>
      <w:r>
        <w:rPr>
          <w:rFonts w:hint="default" w:ascii="Times New Roman" w:hAnsi="Times New Roman" w:eastAsia="仿宋" w:cs="Times New Roman"/>
          <w:bCs/>
          <w:color w:val="000000"/>
          <w:sz w:val="32"/>
          <w:szCs w:val="32"/>
          <w:highlight w:val="none"/>
          <w:shd w:val="clear" w:color="auto" w:fill="auto"/>
        </w:rPr>
        <w:fldChar w:fldCharType="separate"/>
      </w:r>
      <w:r>
        <w:rPr>
          <w:rFonts w:hint="default" w:ascii="Times New Roman" w:hAnsi="Times New Roman" w:eastAsia="仿宋" w:cs="Times New Roman"/>
          <w:bCs/>
          <w:color w:val="000000"/>
          <w:sz w:val="32"/>
          <w:szCs w:val="32"/>
          <w:highlight w:val="none"/>
          <w:shd w:val="clear" w:color="auto" w:fill="auto"/>
        </w:rPr>
        <w:t>I</w:t>
      </w:r>
      <w:r>
        <w:rPr>
          <w:rFonts w:hint="default" w:ascii="Times New Roman" w:hAnsi="Times New Roman" w:eastAsia="仿宋" w:cs="Times New Roman"/>
          <w:bCs/>
          <w:color w:val="000000"/>
          <w:sz w:val="32"/>
          <w:szCs w:val="32"/>
          <w:highlight w:val="none"/>
          <w:shd w:val="clear" w:color="auto" w:fill="auto"/>
        </w:rPr>
        <w:fldChar w:fldCharType="end"/>
      </w:r>
      <w:r>
        <w:rPr>
          <w:rFonts w:hint="default" w:ascii="Times New Roman" w:hAnsi="Times New Roman" w:eastAsia="仿宋" w:cs="Times New Roman"/>
          <w:bCs/>
          <w:color w:val="000000"/>
          <w:sz w:val="32"/>
          <w:szCs w:val="32"/>
          <w:highlight w:val="none"/>
          <w:shd w:val="clear" w:color="auto" w:fill="auto"/>
          <w:lang w:val="en-US" w:eastAsia="zh-CN"/>
        </w:rPr>
        <w:t xml:space="preserve">. </w:t>
      </w:r>
      <w:r>
        <w:rPr>
          <w:rFonts w:hint="default" w:ascii="Times New Roman" w:hAnsi="Times New Roman" w:eastAsia="仿宋" w:cs="Times New Roman"/>
          <w:bCs/>
          <w:color w:val="000000"/>
          <w:sz w:val="32"/>
          <w:szCs w:val="32"/>
          <w:highlight w:val="none"/>
          <w:shd w:val="clear" w:color="auto" w:fill="auto"/>
        </w:rPr>
        <w:t>全市现有垃圾转运站151座，规划近期升级改造15座，保留其余136座。</w:t>
      </w:r>
    </w:p>
    <w:tbl>
      <w:tblPr>
        <w:tblStyle w:val="22"/>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6"/>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blHeader/>
        </w:trPr>
        <w:tc>
          <w:tcPr>
            <w:tcW w:w="1692" w:type="pct"/>
            <w:shd w:val="clear" w:color="auto" w:fill="F1F1F1"/>
            <w:noWrap w:val="0"/>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区域</w:t>
            </w:r>
          </w:p>
        </w:tc>
        <w:tc>
          <w:tcPr>
            <w:tcW w:w="1692" w:type="pct"/>
            <w:shd w:val="clear" w:color="auto" w:fill="F1F1F1"/>
            <w:noWrap w:val="0"/>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转运站现状（座）</w:t>
            </w:r>
          </w:p>
        </w:tc>
        <w:tc>
          <w:tcPr>
            <w:tcW w:w="1615" w:type="pct"/>
            <w:shd w:val="clear" w:color="auto" w:fill="F1F1F1"/>
            <w:noWrap w:val="0"/>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升级改造转运站（座）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惠城区</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54</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仲恺高新区</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7</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惠阳区</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16</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大亚湾</w:t>
            </w:r>
            <w:r>
              <w:rPr>
                <w:rFonts w:hint="default" w:ascii="Times New Roman" w:hAnsi="Times New Roman" w:eastAsia="仿宋" w:cs="Times New Roman"/>
                <w:color w:val="000000"/>
                <w:highlight w:val="none"/>
                <w:shd w:val="clear" w:color="auto" w:fill="auto"/>
                <w:lang w:eastAsia="zh-CN"/>
              </w:rPr>
              <w:t>开发</w:t>
            </w:r>
            <w:r>
              <w:rPr>
                <w:rFonts w:hint="default" w:ascii="Times New Roman" w:hAnsi="Times New Roman" w:eastAsia="仿宋" w:cs="Times New Roman"/>
                <w:color w:val="000000"/>
                <w:highlight w:val="none"/>
                <w:shd w:val="clear" w:color="auto" w:fill="auto"/>
              </w:rPr>
              <w:t>区</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11</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惠东县</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26</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博罗县</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24</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龙门县</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13</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2"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合计</w:t>
            </w:r>
          </w:p>
        </w:tc>
        <w:tc>
          <w:tcPr>
            <w:tcW w:w="169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151</w:t>
            </w:r>
          </w:p>
        </w:tc>
        <w:tc>
          <w:tcPr>
            <w:tcW w:w="161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15</w:t>
            </w:r>
          </w:p>
        </w:tc>
      </w:tr>
    </w:tbl>
    <w:p>
      <w:pPr>
        <w:pStyle w:val="48"/>
        <w:numPr>
          <w:ilvl w:val="0"/>
          <w:numId w:val="0"/>
        </w:numPr>
        <w:spacing w:before="78"/>
        <w:ind w:firstLine="2520" w:firstLineChars="1200"/>
        <w:jc w:val="both"/>
        <w:rPr>
          <w:rFonts w:eastAsia="方正仿宋_GBK"/>
          <w:b w:val="0"/>
          <w:bCs/>
          <w:color w:val="000000"/>
          <w:sz w:val="32"/>
          <w:szCs w:val="32"/>
          <w:highlight w:val="none"/>
          <w:shd w:val="clear" w:color="auto" w:fill="auto"/>
        </w:rPr>
      </w:pPr>
      <w:r>
        <w:rPr>
          <w:rFonts w:eastAsia="宋体"/>
          <w:b w:val="0"/>
          <w:bCs/>
          <w:color w:val="000000"/>
          <w:highlight w:val="none"/>
          <w:shd w:val="clear" w:color="auto" w:fill="auto"/>
        </w:rPr>
        <w:t>表</w:t>
      </w:r>
      <w:r>
        <w:rPr>
          <w:rFonts w:hint="eastAsia" w:eastAsia="宋体"/>
          <w:b w:val="0"/>
          <w:bCs/>
          <w:color w:val="000000"/>
          <w:highlight w:val="none"/>
          <w:shd w:val="clear" w:color="auto" w:fill="auto"/>
          <w:lang w:val="en-US" w:eastAsia="zh-CN"/>
        </w:rPr>
        <w:t>2</w:t>
      </w:r>
      <w:r>
        <w:rPr>
          <w:rFonts w:eastAsia="宋体"/>
          <w:b w:val="0"/>
          <w:bCs/>
          <w:color w:val="000000"/>
          <w:highlight w:val="none"/>
          <w:shd w:val="clear" w:color="auto" w:fill="auto"/>
        </w:rPr>
        <w:t xml:space="preserve">  惠州各县（区）垃圾转运站改造情况</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eastAsia="方正仿宋_GBK"/>
          <w:color w:val="000000"/>
          <w:sz w:val="32"/>
          <w:szCs w:val="32"/>
          <w:highlight w:val="none"/>
          <w:shd w:val="clear" w:color="auto" w:fill="auto"/>
        </w:rPr>
      </w:pPr>
      <w:r>
        <w:rPr>
          <w:rFonts w:eastAsia="方正仿宋_GBK"/>
          <w:color w:val="000000"/>
          <w:sz w:val="32"/>
          <w:szCs w:val="32"/>
          <w:highlight w:val="none"/>
          <w:shd w:val="clear" w:color="auto" w:fill="auto"/>
        </w:rPr>
        <w:fldChar w:fldCharType="begin"/>
      </w:r>
      <w:r>
        <w:rPr>
          <w:rFonts w:eastAsia="方正仿宋_GBK"/>
          <w:color w:val="000000"/>
          <w:sz w:val="32"/>
          <w:szCs w:val="32"/>
          <w:highlight w:val="none"/>
          <w:shd w:val="clear" w:color="auto" w:fill="auto"/>
        </w:rPr>
        <w:instrText xml:space="preserve"> = 2 \* ROMAN \* MERGEFORMAT </w:instrText>
      </w:r>
      <w:r>
        <w:rPr>
          <w:rFonts w:eastAsia="方正仿宋_GBK"/>
          <w:color w:val="000000"/>
          <w:sz w:val="32"/>
          <w:szCs w:val="32"/>
          <w:highlight w:val="none"/>
          <w:shd w:val="clear" w:color="auto" w:fill="auto"/>
        </w:rPr>
        <w:fldChar w:fldCharType="separate"/>
      </w:r>
      <w:r>
        <w:rPr>
          <w:color w:val="000000"/>
          <w:sz w:val="32"/>
          <w:szCs w:val="32"/>
          <w:highlight w:val="none"/>
          <w:shd w:val="clear" w:color="auto" w:fill="auto"/>
        </w:rPr>
        <w:t>II</w:t>
      </w:r>
      <w:r>
        <w:rPr>
          <w:rFonts w:eastAsia="方正仿宋_GBK"/>
          <w:color w:val="000000"/>
          <w:sz w:val="32"/>
          <w:szCs w:val="32"/>
          <w:highlight w:val="none"/>
          <w:shd w:val="clear" w:color="auto" w:fill="auto"/>
        </w:rPr>
        <w:fldChar w:fldCharType="end"/>
      </w:r>
      <w:r>
        <w:rPr>
          <w:rFonts w:hint="eastAsia" w:eastAsia="方正仿宋_GBK"/>
          <w:color w:val="000000"/>
          <w:sz w:val="32"/>
          <w:szCs w:val="32"/>
          <w:highlight w:val="none"/>
          <w:shd w:val="clear" w:color="auto" w:fill="auto"/>
          <w:lang w:val="en-US" w:eastAsia="zh-CN"/>
        </w:rPr>
        <w:t>.</w:t>
      </w:r>
      <w:r>
        <w:rPr>
          <w:rFonts w:eastAsia="方正仿宋_GBK"/>
          <w:color w:val="000000"/>
          <w:sz w:val="32"/>
          <w:szCs w:val="32"/>
          <w:highlight w:val="none"/>
          <w:shd w:val="clear" w:color="auto" w:fill="auto"/>
        </w:rPr>
        <w:t>规划新增垃圾转运站201座，近期新增43座，远期新增158座。</w:t>
      </w:r>
    </w:p>
    <w:tbl>
      <w:tblPr>
        <w:tblStyle w:val="22"/>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92"/>
        <w:gridCol w:w="1698"/>
        <w:gridCol w:w="1694"/>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929" w:type="pct"/>
            <w:vMerge w:val="restart"/>
            <w:shd w:val="clear" w:color="auto" w:fill="F1F1F1"/>
            <w:noWrap w:val="0"/>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区域</w:t>
            </w:r>
          </w:p>
        </w:tc>
        <w:tc>
          <w:tcPr>
            <w:tcW w:w="1883" w:type="pct"/>
            <w:gridSpan w:val="2"/>
            <w:shd w:val="clear" w:color="auto" w:fill="F1F1F1"/>
            <w:noWrap/>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近期</w:t>
            </w:r>
          </w:p>
        </w:tc>
        <w:tc>
          <w:tcPr>
            <w:tcW w:w="941" w:type="pct"/>
            <w:shd w:val="clear" w:color="auto" w:fill="F1F1F1"/>
            <w:noWrap/>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远期</w:t>
            </w:r>
          </w:p>
        </w:tc>
        <w:tc>
          <w:tcPr>
            <w:tcW w:w="1245" w:type="pct"/>
            <w:vMerge w:val="restart"/>
            <w:shd w:val="clear" w:color="auto" w:fill="F1F1F1"/>
            <w:noWrap w:val="0"/>
            <w:vAlign w:val="top"/>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2035年末转运站数量（座）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929" w:type="pct"/>
            <w:vMerge w:val="continue"/>
            <w:shd w:val="clear" w:color="auto" w:fill="F1F1F1"/>
            <w:noWrap w:val="0"/>
            <w:vAlign w:val="center"/>
          </w:tcPr>
          <w:p>
            <w:pPr>
              <w:pStyle w:val="45"/>
              <w:ind w:firstLine="0"/>
              <w:rPr>
                <w:rFonts w:hint="default" w:ascii="Times New Roman" w:hAnsi="Times New Roman" w:eastAsia="仿宋" w:cs="Times New Roman"/>
                <w:b/>
                <w:color w:val="000000"/>
                <w:highlight w:val="none"/>
                <w:shd w:val="clear" w:color="auto" w:fill="auto"/>
              </w:rPr>
            </w:pPr>
          </w:p>
        </w:tc>
        <w:tc>
          <w:tcPr>
            <w:tcW w:w="940" w:type="pct"/>
            <w:shd w:val="clear" w:color="auto" w:fill="F1F1F1"/>
            <w:noWrap/>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新增（座）</w:t>
            </w:r>
          </w:p>
        </w:tc>
        <w:tc>
          <w:tcPr>
            <w:tcW w:w="942" w:type="pct"/>
            <w:shd w:val="clear" w:color="auto" w:fill="F1F1F1"/>
            <w:noWrap/>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合计（座）</w:t>
            </w:r>
          </w:p>
        </w:tc>
        <w:tc>
          <w:tcPr>
            <w:tcW w:w="941" w:type="pct"/>
            <w:shd w:val="clear" w:color="auto" w:fill="F1F1F1"/>
            <w:noWrap/>
            <w:vAlign w:val="center"/>
          </w:tcPr>
          <w:p>
            <w:pPr>
              <w:pStyle w:val="45"/>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新增（座）</w:t>
            </w:r>
          </w:p>
        </w:tc>
        <w:tc>
          <w:tcPr>
            <w:tcW w:w="1245" w:type="pct"/>
            <w:vMerge w:val="continue"/>
            <w:shd w:val="clear" w:color="auto" w:fill="F1F1F1"/>
            <w:noWrap w:val="0"/>
            <w:vAlign w:val="top"/>
          </w:tcPr>
          <w:p>
            <w:pPr>
              <w:pStyle w:val="45"/>
              <w:ind w:firstLine="0"/>
              <w:rPr>
                <w:rFonts w:hint="default" w:ascii="Times New Roman" w:hAnsi="Times New Roman" w:eastAsia="仿宋" w:cs="Times New Roman"/>
                <w:b/>
                <w:color w:val="00000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惠城区</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27</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81</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83</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仲恺高新区</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9</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7</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惠阳区</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4</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20</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16</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大亚湾</w:t>
            </w:r>
            <w:r>
              <w:rPr>
                <w:rFonts w:hint="default" w:ascii="Times New Roman" w:hAnsi="Times New Roman" w:eastAsia="仿宋" w:cs="Times New Roman"/>
                <w:color w:val="000000"/>
                <w:highlight w:val="none"/>
                <w:shd w:val="clear" w:color="auto" w:fill="auto"/>
                <w:lang w:eastAsia="zh-CN"/>
              </w:rPr>
              <w:t>开发</w:t>
            </w:r>
            <w:r>
              <w:rPr>
                <w:rFonts w:hint="default" w:ascii="Times New Roman" w:hAnsi="Times New Roman" w:eastAsia="仿宋" w:cs="Times New Roman"/>
                <w:color w:val="000000"/>
                <w:highlight w:val="none"/>
                <w:shd w:val="clear" w:color="auto" w:fill="auto"/>
              </w:rPr>
              <w:t>区</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3</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14</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6</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惠东县</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28</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17</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博罗县</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3</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27</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19</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龙门县</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15</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10</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29"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合计</w:t>
            </w:r>
          </w:p>
        </w:tc>
        <w:tc>
          <w:tcPr>
            <w:tcW w:w="940"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43</w:t>
            </w:r>
          </w:p>
        </w:tc>
        <w:tc>
          <w:tcPr>
            <w:tcW w:w="942"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194</w:t>
            </w:r>
          </w:p>
        </w:tc>
        <w:tc>
          <w:tcPr>
            <w:tcW w:w="941" w:type="pct"/>
            <w:noWrap/>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158</w:t>
            </w:r>
          </w:p>
        </w:tc>
        <w:tc>
          <w:tcPr>
            <w:tcW w:w="1245" w:type="pct"/>
            <w:noWrap w:val="0"/>
            <w:vAlign w:val="center"/>
          </w:tcPr>
          <w:p>
            <w:pPr>
              <w:pStyle w:val="45"/>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352</w:t>
            </w:r>
          </w:p>
        </w:tc>
      </w:tr>
    </w:tbl>
    <w:p>
      <w:pPr>
        <w:pStyle w:val="48"/>
        <w:numPr>
          <w:ilvl w:val="0"/>
          <w:numId w:val="0"/>
        </w:numPr>
        <w:spacing w:before="78"/>
        <w:ind w:left="2520"/>
        <w:jc w:val="both"/>
        <w:rPr>
          <w:rFonts w:hint="eastAsia" w:ascii="Times New Roman" w:hAnsi="Times New Roman" w:eastAsia="仿宋" w:cs="仿宋"/>
          <w:b w:val="0"/>
          <w:bCs/>
          <w:color w:val="000000"/>
          <w:sz w:val="32"/>
          <w:szCs w:val="32"/>
          <w:highlight w:val="none"/>
          <w:shd w:val="clear" w:color="auto" w:fill="auto"/>
        </w:rPr>
      </w:pPr>
      <w:r>
        <w:rPr>
          <w:rFonts w:eastAsia="宋体"/>
          <w:b w:val="0"/>
          <w:bCs/>
          <w:color w:val="000000"/>
          <w:highlight w:val="none"/>
          <w:shd w:val="clear" w:color="auto" w:fill="auto"/>
        </w:rPr>
        <w:t>表3   惠州各县（区）垃圾转运站规划</w:t>
      </w:r>
    </w:p>
    <w:p>
      <w:pPr>
        <w:pStyle w:val="10"/>
        <w:keepNext w:val="0"/>
        <w:keepLines w:val="0"/>
        <w:pageBreakBefore w:val="0"/>
        <w:widowControl w:val="0"/>
        <w:tabs>
          <w:tab w:val="left" w:pos="590"/>
        </w:tabs>
        <w:kinsoku/>
        <w:wordWrap/>
        <w:overflowPunct/>
        <w:topLinePunct w:val="0"/>
        <w:autoSpaceDE/>
        <w:autoSpaceDN/>
        <w:bidi w:val="0"/>
        <w:adjustRightInd/>
        <w:snapToGrid/>
        <w:spacing w:beforeLines="0" w:afterLines="0" w:line="560" w:lineRule="exact"/>
        <w:ind w:firstLine="640" w:firstLineChars="200"/>
        <w:textAlignment w:val="auto"/>
        <w:rPr>
          <w:rFonts w:eastAsia="仿宋"/>
          <w:color w:val="000000"/>
          <w:sz w:val="32"/>
          <w:szCs w:val="32"/>
          <w:highlight w:val="none"/>
          <w:shd w:val="clear" w:color="auto" w:fill="auto"/>
        </w:rPr>
      </w:pPr>
      <w:r>
        <w:rPr>
          <w:rFonts w:hint="eastAsia" w:ascii="Times New Roman" w:hAnsi="Times New Roman" w:eastAsia="仿宋" w:cs="仿宋"/>
          <w:color w:val="000000"/>
          <w:sz w:val="32"/>
          <w:szCs w:val="32"/>
          <w:highlight w:val="none"/>
          <w:shd w:val="clear" w:color="auto" w:fill="auto"/>
        </w:rPr>
        <w:t>全市现有垃圾转运站151座，近期升级改造15座，保留其余136座，至2027年，全市共规划建成194座。结合</w:t>
      </w:r>
      <w:r>
        <w:rPr>
          <w:rFonts w:hint="eastAsia" w:eastAsia="仿宋" w:cs="仿宋"/>
          <w:color w:val="000000"/>
          <w:sz w:val="32"/>
          <w:szCs w:val="32"/>
          <w:highlight w:val="none"/>
          <w:shd w:val="clear" w:color="auto" w:fill="auto"/>
          <w:lang w:eastAsia="zh-CN"/>
        </w:rPr>
        <w:t>我</w:t>
      </w:r>
      <w:r>
        <w:rPr>
          <w:rFonts w:hint="eastAsia" w:ascii="Times New Roman" w:hAnsi="Times New Roman" w:eastAsia="仿宋" w:cs="仿宋"/>
          <w:color w:val="000000"/>
          <w:sz w:val="32"/>
          <w:szCs w:val="32"/>
          <w:highlight w:val="none"/>
          <w:shd w:val="clear" w:color="auto" w:fill="auto"/>
        </w:rPr>
        <w:t>市生活垃圾分类实施规划，利用现有各县（区）垃圾转运站升级改造，建设方案和选址由</w:t>
      </w:r>
      <w:r>
        <w:rPr>
          <w:rFonts w:hint="eastAsia" w:eastAsia="仿宋" w:cs="仿宋"/>
          <w:color w:val="000000"/>
          <w:sz w:val="32"/>
          <w:szCs w:val="32"/>
          <w:highlight w:val="none"/>
          <w:shd w:val="clear" w:color="auto" w:fill="auto"/>
          <w:lang w:eastAsia="zh-CN"/>
        </w:rPr>
        <w:t>市市容环境卫生事务</w:t>
      </w:r>
      <w:r>
        <w:rPr>
          <w:rFonts w:hint="eastAsia" w:ascii="Times New Roman" w:hAnsi="Times New Roman" w:eastAsia="仿宋" w:cs="仿宋"/>
          <w:color w:val="000000"/>
          <w:sz w:val="32"/>
          <w:szCs w:val="32"/>
          <w:highlight w:val="none"/>
          <w:shd w:val="clear" w:color="auto" w:fill="auto"/>
        </w:rPr>
        <w:t>中心选定，政府投资或社会企业投资建设，经营者承包经营，按统一标准规范管理。</w:t>
      </w:r>
      <w:r>
        <w:rPr>
          <w:rFonts w:eastAsia="仿宋"/>
          <w:color w:val="000000"/>
          <w:sz w:val="32"/>
          <w:szCs w:val="32"/>
          <w:highlight w:val="none"/>
          <w:shd w:val="clear" w:color="auto" w:fill="auto"/>
        </w:rPr>
        <w:t>惠城区同步规划升级改造现有的54座，新建的垃圾转运站27座（3座为小区内建垃圾转运站）成为</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垃圾分类+可回收物</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回收点，至2027年规划设置81座。</w:t>
      </w:r>
    </w:p>
    <w:p>
      <w:pPr>
        <w:pStyle w:val="10"/>
        <w:keepNext w:val="0"/>
        <w:keepLines w:val="0"/>
        <w:pageBreakBefore w:val="0"/>
        <w:widowControl w:val="0"/>
        <w:tabs>
          <w:tab w:val="left" w:pos="590"/>
        </w:tabs>
        <w:kinsoku/>
        <w:wordWrap/>
        <w:overflowPunct/>
        <w:topLinePunct w:val="0"/>
        <w:autoSpaceDE/>
        <w:autoSpaceDN/>
        <w:bidi w:val="0"/>
        <w:adjustRightInd/>
        <w:snapToGrid/>
        <w:spacing w:beforeLines="0" w:afterLines="0" w:line="560" w:lineRule="exact"/>
        <w:ind w:firstLine="640" w:firstLineChars="200"/>
        <w:jc w:val="both"/>
        <w:textAlignment w:val="auto"/>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新建中转站应配合垃圾分类的要求，设置可回收物分选车间、有害垃圾暂存间等，分选工艺以破袋筛分为主，有条件的可增加人工分拣，暂存间内配置有害垃圾专用收集容器，每周至少清运1次。</w:t>
      </w:r>
    </w:p>
    <w:p>
      <w:pPr>
        <w:pStyle w:val="10"/>
        <w:keepNext w:val="0"/>
        <w:keepLines w:val="0"/>
        <w:pageBreakBefore w:val="0"/>
        <w:widowControl w:val="0"/>
        <w:tabs>
          <w:tab w:val="left" w:pos="590"/>
        </w:tabs>
        <w:kinsoku/>
        <w:wordWrap/>
        <w:overflowPunct/>
        <w:topLinePunct w:val="0"/>
        <w:autoSpaceDE/>
        <w:autoSpaceDN/>
        <w:bidi w:val="0"/>
        <w:adjustRightInd/>
        <w:snapToGrid/>
        <w:spacing w:beforeLines="0" w:afterLines="0" w:line="560" w:lineRule="exact"/>
        <w:ind w:firstLine="640" w:firstLineChars="200"/>
        <w:jc w:val="both"/>
        <w:textAlignment w:val="auto"/>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各县</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区</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垃圾分类+可回收物两网融合</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回收点可根据各辖区内人口密度、产业分布等实际需求进行调整设置</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按《惠州市城乡环境卫生专项规划（2017</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2035）</w:t>
      </w:r>
      <w:bookmarkStart w:id="39" w:name="_Toc42519718"/>
      <w:bookmarkStart w:id="40" w:name="_Toc523925469"/>
      <w:bookmarkStart w:id="41" w:name="_Toc529125580"/>
      <w:r>
        <w:rPr>
          <w:rFonts w:eastAsia="仿宋"/>
          <w:bCs/>
          <w:color w:val="000000"/>
          <w:kern w:val="0"/>
          <w:sz w:val="32"/>
          <w:szCs w:val="32"/>
          <w:highlight w:val="none"/>
          <w:shd w:val="clear" w:color="auto" w:fill="auto"/>
        </w:rPr>
        <w:t>》要求</w:t>
      </w:r>
      <w:bookmarkEnd w:id="39"/>
      <w:bookmarkEnd w:id="40"/>
      <w:bookmarkEnd w:id="41"/>
      <w:r>
        <w:rPr>
          <w:rFonts w:eastAsia="仿宋"/>
          <w:bCs/>
          <w:color w:val="000000"/>
          <w:kern w:val="0"/>
          <w:sz w:val="32"/>
          <w:szCs w:val="32"/>
          <w:highlight w:val="none"/>
          <w:shd w:val="clear" w:color="auto" w:fill="auto"/>
        </w:rPr>
        <w:t>一并纳入</w:t>
      </w:r>
      <w:r>
        <w:rPr>
          <w:rFonts w:hint="eastAsia" w:eastAsia="仿宋"/>
          <w:bCs/>
          <w:color w:val="000000"/>
          <w:kern w:val="0"/>
          <w:sz w:val="32"/>
          <w:szCs w:val="32"/>
          <w:highlight w:val="none"/>
          <w:shd w:val="clear" w:color="auto" w:fill="auto"/>
          <w:lang w:eastAsia="zh-CN"/>
        </w:rPr>
        <w:t>再生资源回收体系</w:t>
      </w:r>
      <w:r>
        <w:rPr>
          <w:rFonts w:eastAsia="仿宋"/>
          <w:bCs/>
          <w:color w:val="000000"/>
          <w:kern w:val="0"/>
          <w:sz w:val="32"/>
          <w:szCs w:val="32"/>
          <w:highlight w:val="none"/>
          <w:shd w:val="clear" w:color="auto" w:fill="auto"/>
        </w:rPr>
        <w:t>规范管理和建设</w:t>
      </w:r>
      <w:r>
        <w:rPr>
          <w:rFonts w:hint="eastAsia" w:eastAsia="仿宋"/>
          <w:bCs/>
          <w:color w:val="000000"/>
          <w:kern w:val="0"/>
          <w:sz w:val="32"/>
          <w:szCs w:val="32"/>
          <w:highlight w:val="none"/>
          <w:shd w:val="clear" w:color="auto" w:fill="auto"/>
          <w:lang w:eastAsia="zh-CN"/>
        </w:rPr>
        <w:t>。</w:t>
      </w:r>
    </w:p>
    <w:p>
      <w:pPr>
        <w:pStyle w:val="10"/>
        <w:ind w:firstLine="420" w:firstLineChars="200"/>
        <w:rPr>
          <w:rFonts w:eastAsia="宋体"/>
          <w:color w:val="000000"/>
          <w:highlight w:val="none"/>
          <w:shd w:val="clear" w:color="auto" w:fill="auto"/>
        </w:rPr>
      </w:pPr>
      <w:r>
        <w:rPr>
          <w:rFonts w:eastAsia="宋体"/>
          <w:color w:val="000000"/>
          <w:highlight w:val="none"/>
          <w:shd w:val="clear" w:color="auto" w:fill="auto"/>
        </w:rPr>
        <w:drawing>
          <wp:inline distT="0" distB="0" distL="114300" distR="114300">
            <wp:extent cx="5267325" cy="2831465"/>
            <wp:effectExtent l="0" t="0" r="9525" b="6985"/>
            <wp:docPr id="6" name="图片 6" descr="E:\LX工作文件\2018年项目文件\20180307惠州环卫专项规划\底图\第二版修改图纸\说明书\ef40e4648a814154a58a927e242a1e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LX工作文件\2018年项目文件\20180307惠州环卫专项规划\底图\第二版修改图纸\说明书\ef40e4648a814154a58a927e242a1ef2.jpeg"/>
                    <pic:cNvPicPr>
                      <a:picLocks noChangeAspect="1"/>
                    </pic:cNvPicPr>
                  </pic:nvPicPr>
                  <pic:blipFill>
                    <a:blip r:embed="rId11"/>
                    <a:srcRect l="12732" r="8687" b="16714"/>
                    <a:stretch>
                      <a:fillRect/>
                    </a:stretch>
                  </pic:blipFill>
                  <pic:spPr>
                    <a:xfrm>
                      <a:off x="0" y="0"/>
                      <a:ext cx="5267325" cy="2831465"/>
                    </a:xfrm>
                    <a:prstGeom prst="rect">
                      <a:avLst/>
                    </a:prstGeom>
                    <a:noFill/>
                    <a:ln>
                      <a:noFill/>
                    </a:ln>
                  </pic:spPr>
                </pic:pic>
              </a:graphicData>
            </a:graphic>
          </wp:inline>
        </w:drawing>
      </w:r>
    </w:p>
    <w:p>
      <w:pPr>
        <w:pStyle w:val="10"/>
        <w:spacing w:before="157" w:beforeLines="50"/>
        <w:ind w:firstLine="480" w:firstLineChars="200"/>
        <w:jc w:val="center"/>
        <w:rPr>
          <w:rFonts w:eastAsia="仿宋"/>
          <w:bCs/>
          <w:color w:val="000000"/>
          <w:sz w:val="24"/>
          <w:highlight w:val="none"/>
          <w:shd w:val="clear" w:color="auto" w:fill="auto"/>
        </w:rPr>
      </w:pPr>
      <w:r>
        <w:rPr>
          <w:rFonts w:eastAsia="仿宋"/>
          <w:bCs/>
          <w:color w:val="000000"/>
          <w:sz w:val="24"/>
          <w:highlight w:val="none"/>
          <w:shd w:val="clear" w:color="auto" w:fill="auto"/>
        </w:rPr>
        <w:t>图</w:t>
      </w:r>
      <w:r>
        <w:rPr>
          <w:rFonts w:hint="eastAsia" w:eastAsia="仿宋"/>
          <w:bCs/>
          <w:color w:val="000000"/>
          <w:sz w:val="24"/>
          <w:highlight w:val="none"/>
          <w:shd w:val="clear" w:color="auto" w:fill="auto"/>
          <w:lang w:val="en-US" w:eastAsia="zh-CN"/>
        </w:rPr>
        <w:t>5</w:t>
      </w:r>
      <w:r>
        <w:rPr>
          <w:rFonts w:eastAsia="仿宋"/>
          <w:bCs/>
          <w:color w:val="000000"/>
          <w:sz w:val="24"/>
          <w:highlight w:val="none"/>
          <w:shd w:val="clear" w:color="auto" w:fill="auto"/>
        </w:rPr>
        <w:t xml:space="preserve"> 社区级“垃圾分类+可回收物”回收点（垃圾转运站）</w:t>
      </w:r>
    </w:p>
    <w:tbl>
      <w:tblPr>
        <w:tblStyle w:val="22"/>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2041"/>
        <w:gridCol w:w="146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75" w:type="pct"/>
            <w:vMerge w:val="restart"/>
            <w:shd w:val="clear" w:color="auto" w:fill="F1F1F1"/>
            <w:noWrap w:val="0"/>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区域</w:t>
            </w:r>
          </w:p>
        </w:tc>
        <w:tc>
          <w:tcPr>
            <w:tcW w:w="1150" w:type="pct"/>
            <w:vMerge w:val="restart"/>
            <w:shd w:val="clear" w:color="auto" w:fill="F1F1F1"/>
            <w:noWrap/>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现有（+升级）</w:t>
            </w:r>
          </w:p>
        </w:tc>
        <w:tc>
          <w:tcPr>
            <w:tcW w:w="1874" w:type="pct"/>
            <w:gridSpan w:val="2"/>
            <w:shd w:val="clear" w:color="auto" w:fill="F1F1F1"/>
            <w:noWrap/>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两网融合点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1975" w:type="pct"/>
            <w:vMerge w:val="continue"/>
            <w:shd w:val="clear" w:color="auto" w:fill="F1F1F1"/>
            <w:noWrap w:val="0"/>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p>
        </w:tc>
        <w:tc>
          <w:tcPr>
            <w:tcW w:w="1150" w:type="pct"/>
            <w:vMerge w:val="continue"/>
            <w:shd w:val="clear" w:color="auto" w:fill="F1F1F1"/>
            <w:noWrap/>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p>
        </w:tc>
        <w:tc>
          <w:tcPr>
            <w:tcW w:w="826" w:type="pct"/>
            <w:shd w:val="clear" w:color="auto" w:fill="F1F1F1"/>
            <w:noWrap/>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新增（座）</w:t>
            </w:r>
          </w:p>
        </w:tc>
        <w:tc>
          <w:tcPr>
            <w:tcW w:w="1048" w:type="pct"/>
            <w:shd w:val="clear" w:color="auto" w:fill="F1F1F1"/>
            <w:noWrap/>
            <w:vAlign w:val="center"/>
          </w:tcPr>
          <w:p>
            <w:pPr>
              <w:pStyle w:val="45"/>
              <w:spacing w:line="300" w:lineRule="exact"/>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合计（座）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惠城区</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48+6</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27</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仲恺高新区</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3+4</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惠阳区</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15+1</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4</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大亚湾</w:t>
            </w:r>
            <w:r>
              <w:rPr>
                <w:rFonts w:hint="default" w:ascii="Times New Roman" w:hAnsi="Times New Roman" w:eastAsia="仿宋" w:cs="Times New Roman"/>
                <w:color w:val="000000"/>
                <w:highlight w:val="none"/>
                <w:shd w:val="clear" w:color="auto" w:fill="auto"/>
                <w:lang w:eastAsia="zh-CN"/>
              </w:rPr>
              <w:t>开发</w:t>
            </w:r>
            <w:r>
              <w:rPr>
                <w:rFonts w:hint="default" w:ascii="Times New Roman" w:hAnsi="Times New Roman" w:eastAsia="仿宋" w:cs="Times New Roman"/>
                <w:color w:val="000000"/>
                <w:highlight w:val="none"/>
                <w:shd w:val="clear" w:color="auto" w:fill="auto"/>
              </w:rPr>
              <w:t>区</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10+1</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3</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惠东县</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25+1</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博罗县</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23+1</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3</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龙门县</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12+1</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2</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75" w:type="pct"/>
            <w:noWrap/>
            <w:vAlign w:val="center"/>
          </w:tcPr>
          <w:p>
            <w:pPr>
              <w:pStyle w:val="45"/>
              <w:spacing w:line="300" w:lineRule="exact"/>
              <w:ind w:firstLine="0"/>
              <w:rPr>
                <w:rFonts w:hint="default" w:ascii="Times New Roman" w:hAnsi="Times New Roman" w:eastAsia="仿宋" w:cs="Times New Roman"/>
                <w:color w:val="000000"/>
                <w:highlight w:val="none"/>
                <w:shd w:val="clear" w:color="auto" w:fill="auto"/>
              </w:rPr>
            </w:pPr>
            <w:r>
              <w:rPr>
                <w:rFonts w:hint="default" w:ascii="Times New Roman" w:hAnsi="Times New Roman" w:eastAsia="仿宋" w:cs="Times New Roman"/>
                <w:color w:val="000000"/>
                <w:highlight w:val="none"/>
                <w:shd w:val="clear" w:color="auto" w:fill="auto"/>
              </w:rPr>
              <w:t>合计</w:t>
            </w:r>
          </w:p>
        </w:tc>
        <w:tc>
          <w:tcPr>
            <w:tcW w:w="1150" w:type="pct"/>
            <w:noWrap/>
            <w:vAlign w:val="center"/>
          </w:tcPr>
          <w:p>
            <w:pPr>
              <w:widowControl/>
              <w:jc w:val="center"/>
              <w:textAlignment w:val="center"/>
              <w:rPr>
                <w:rFonts w:hint="default" w:ascii="Times New Roman" w:hAnsi="Times New Roman" w:eastAsia="仿宋" w:cs="Times New Roman"/>
                <w:color w:val="000000"/>
                <w:kern w:val="0"/>
                <w:szCs w:val="21"/>
                <w:highlight w:val="none"/>
                <w:shd w:val="clear" w:color="auto" w:fill="auto"/>
              </w:rPr>
            </w:pPr>
            <w:r>
              <w:rPr>
                <w:rFonts w:hint="default" w:ascii="Times New Roman" w:hAnsi="Times New Roman" w:eastAsia="仿宋" w:cs="Times New Roman"/>
                <w:color w:val="000000"/>
                <w:kern w:val="0"/>
                <w:szCs w:val="21"/>
                <w:highlight w:val="none"/>
                <w:shd w:val="clear" w:color="auto" w:fill="auto"/>
              </w:rPr>
              <w:t>136+15</w:t>
            </w:r>
          </w:p>
        </w:tc>
        <w:tc>
          <w:tcPr>
            <w:tcW w:w="826"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43</w:t>
            </w:r>
          </w:p>
        </w:tc>
        <w:tc>
          <w:tcPr>
            <w:tcW w:w="1048" w:type="pct"/>
            <w:noWrap/>
            <w:vAlign w:val="center"/>
          </w:tcPr>
          <w:p>
            <w:pPr>
              <w:pStyle w:val="45"/>
              <w:spacing w:line="300" w:lineRule="exact"/>
              <w:ind w:firstLine="0"/>
              <w:rPr>
                <w:rFonts w:hint="default" w:ascii="Times New Roman" w:hAnsi="Times New Roman" w:eastAsia="仿宋" w:cs="Times New Roman"/>
                <w:bCs w:val="0"/>
                <w:color w:val="000000"/>
                <w:highlight w:val="none"/>
                <w:shd w:val="clear" w:color="auto" w:fill="auto"/>
              </w:rPr>
            </w:pPr>
            <w:r>
              <w:rPr>
                <w:rFonts w:hint="default" w:ascii="Times New Roman" w:hAnsi="Times New Roman" w:eastAsia="仿宋" w:cs="Times New Roman"/>
                <w:bCs w:val="0"/>
                <w:color w:val="000000"/>
                <w:highlight w:val="none"/>
                <w:shd w:val="clear" w:color="auto" w:fill="auto"/>
              </w:rPr>
              <w:t>194</w:t>
            </w:r>
          </w:p>
        </w:tc>
      </w:tr>
    </w:tbl>
    <w:p>
      <w:pPr>
        <w:pStyle w:val="35"/>
        <w:spacing w:before="95" w:beforeLines="30" w:line="600" w:lineRule="exact"/>
        <w:ind w:hanging="2400" w:hangingChars="1000"/>
        <w:jc w:val="center"/>
        <w:rPr>
          <w:rFonts w:hint="default" w:ascii="Times New Roman" w:hAnsi="Times New Roman" w:eastAsia="仿宋" w:cs="Times New Roman"/>
          <w:b w:val="0"/>
          <w:bCs/>
          <w:color w:val="000000"/>
          <w:sz w:val="32"/>
          <w:szCs w:val="28"/>
          <w:highlight w:val="none"/>
          <w:shd w:val="clear" w:color="auto" w:fill="auto"/>
        </w:rPr>
      </w:pPr>
      <w:r>
        <w:rPr>
          <w:rFonts w:eastAsia="仿宋"/>
          <w:b w:val="0"/>
          <w:bCs/>
          <w:color w:val="000000"/>
          <w:highlight w:val="none"/>
          <w:shd w:val="clear" w:color="auto" w:fill="auto"/>
        </w:rPr>
        <w:t>表4 社区级</w:t>
      </w:r>
      <w:r>
        <w:rPr>
          <w:rFonts w:hint="eastAsia" w:eastAsia="仿宋"/>
          <w:b w:val="0"/>
          <w:bCs/>
          <w:color w:val="000000"/>
          <w:highlight w:val="none"/>
          <w:shd w:val="clear" w:color="auto" w:fill="auto"/>
          <w:lang w:eastAsia="zh-CN"/>
        </w:rPr>
        <w:t>“</w:t>
      </w:r>
      <w:r>
        <w:rPr>
          <w:rFonts w:eastAsia="仿宋"/>
          <w:b w:val="0"/>
          <w:bCs/>
          <w:color w:val="000000"/>
          <w:highlight w:val="none"/>
          <w:shd w:val="clear" w:color="auto" w:fill="auto"/>
        </w:rPr>
        <w:t>垃圾分类+可回收物</w:t>
      </w:r>
      <w:r>
        <w:rPr>
          <w:rFonts w:hint="eastAsia" w:eastAsia="仿宋"/>
          <w:b w:val="0"/>
          <w:bCs/>
          <w:color w:val="000000"/>
          <w:highlight w:val="none"/>
          <w:shd w:val="clear" w:color="auto" w:fill="auto"/>
          <w:lang w:eastAsia="zh-CN"/>
        </w:rPr>
        <w:t>”</w:t>
      </w:r>
      <w:r>
        <w:rPr>
          <w:rFonts w:eastAsia="仿宋"/>
          <w:b w:val="0"/>
          <w:bCs/>
          <w:color w:val="000000"/>
          <w:highlight w:val="none"/>
          <w:shd w:val="clear" w:color="auto" w:fill="auto"/>
        </w:rPr>
        <w:t>回收点规划</w:t>
      </w:r>
    </w:p>
    <w:p>
      <w:pPr>
        <w:pStyle w:val="10"/>
        <w:spacing w:after="157" w:afterLines="50" w:line="560" w:lineRule="exact"/>
        <w:ind w:firstLine="640" w:firstLineChars="200"/>
        <w:rPr>
          <w:rFonts w:hint="default" w:ascii="Times New Roman" w:hAnsi="Times New Roman" w:eastAsia="仿宋" w:cs="Times New Roman"/>
          <w:bCs/>
          <w:color w:val="000000"/>
          <w:kern w:val="0"/>
          <w:sz w:val="32"/>
          <w:szCs w:val="32"/>
          <w:highlight w:val="none"/>
          <w:shd w:val="clear" w:color="auto" w:fill="auto"/>
        </w:rPr>
      </w:pPr>
      <w:r>
        <w:rPr>
          <w:rFonts w:hint="default" w:ascii="Times New Roman" w:hAnsi="Times New Roman" w:eastAsia="仿宋" w:cs="Times New Roman"/>
          <w:b w:val="0"/>
          <w:bCs/>
          <w:color w:val="000000"/>
          <w:kern w:val="0"/>
          <w:sz w:val="32"/>
          <w:szCs w:val="32"/>
          <w:highlight w:val="none"/>
          <w:shd w:val="clear" w:color="auto" w:fill="auto"/>
        </w:rPr>
        <w:t>（4）可回收物收运规划</w:t>
      </w:r>
      <w:r>
        <w:rPr>
          <w:rFonts w:hint="default" w:ascii="Times New Roman" w:hAnsi="Times New Roman" w:eastAsia="仿宋" w:cs="Times New Roman"/>
          <w:b w:val="0"/>
          <w:bCs/>
          <w:color w:val="000000"/>
          <w:kern w:val="0"/>
          <w:sz w:val="32"/>
          <w:szCs w:val="32"/>
          <w:highlight w:val="none"/>
          <w:shd w:val="clear" w:color="auto" w:fill="auto"/>
          <w:lang w:eastAsia="zh-CN"/>
        </w:rPr>
        <w:t>。</w:t>
      </w:r>
      <w:r>
        <w:rPr>
          <w:rFonts w:hint="default" w:ascii="Times New Roman" w:hAnsi="Times New Roman" w:eastAsia="仿宋" w:cs="Times New Roman"/>
          <w:bCs/>
          <w:color w:val="000000"/>
          <w:kern w:val="0"/>
          <w:sz w:val="32"/>
          <w:szCs w:val="32"/>
          <w:highlight w:val="none"/>
          <w:shd w:val="clear" w:color="auto" w:fill="auto"/>
        </w:rPr>
        <w:t>再生资源可回收物收运模式采用两种方式，一次收运模式和二次收运模式。</w:t>
      </w:r>
    </w:p>
    <w:p>
      <w:pPr>
        <w:pStyle w:val="10"/>
        <w:pageBreakBefore w:val="0"/>
        <w:widowControl w:val="0"/>
        <w:kinsoku/>
        <w:wordWrap/>
        <w:overflowPunct/>
        <w:topLinePunct w:val="0"/>
        <w:autoSpaceDE/>
        <w:autoSpaceDN/>
        <w:bidi w:val="0"/>
        <w:adjustRightInd/>
        <w:snapToGrid/>
        <w:spacing w:beforeLines="0" w:after="157" w:afterLines="50" w:line="560" w:lineRule="exact"/>
        <w:ind w:firstLine="640" w:firstLineChars="200"/>
        <w:textAlignment w:val="auto"/>
        <w:rPr>
          <w:rFonts w:hint="default" w:ascii="Times New Roman" w:hAnsi="Times New Roman" w:eastAsia="仿宋" w:cs="Times New Roman"/>
          <w:bCs/>
          <w:color w:val="000000"/>
          <w:kern w:val="0"/>
          <w:sz w:val="32"/>
          <w:szCs w:val="32"/>
          <w:highlight w:val="none"/>
          <w:shd w:val="clear" w:color="auto" w:fill="auto"/>
        </w:rPr>
      </w:pPr>
      <w:r>
        <w:rPr>
          <w:rFonts w:hint="default" w:ascii="Times New Roman" w:hAnsi="Times New Roman" w:eastAsia="仿宋" w:cs="Times New Roman"/>
          <w:bCs/>
          <w:color w:val="000000"/>
          <w:kern w:val="0"/>
          <w:sz w:val="32"/>
          <w:szCs w:val="32"/>
          <w:highlight w:val="none"/>
          <w:shd w:val="clear" w:color="auto" w:fill="auto"/>
        </w:rPr>
        <w:t>一次收运模式是通过人力或小型机动车将门店、街道、居民或社区的源头垃圾运送至垃圾转运站，经初步分拣出可回收物后，再由垃圾运输车将垃圾运至垃圾焚烧厂进行处理。</w:t>
      </w:r>
    </w:p>
    <w:p>
      <w:pPr>
        <w:pStyle w:val="10"/>
        <w:ind w:firstLine="422" w:firstLineChars="200"/>
        <w:jc w:val="center"/>
        <w:rPr>
          <w:rFonts w:eastAsia="宋体"/>
          <w:b/>
          <w:color w:val="000000"/>
          <w:szCs w:val="21"/>
          <w:highlight w:val="none"/>
          <w:shd w:val="clear" w:color="auto" w:fill="auto"/>
        </w:rPr>
      </w:pPr>
      <w:r>
        <w:rPr>
          <w:rFonts w:eastAsia="宋体"/>
          <w:b/>
          <w:color w:val="000000"/>
          <w:szCs w:val="21"/>
          <w:highlight w:val="none"/>
          <w:shd w:val="clear" w:color="auto" w:fill="auto"/>
        </w:rPr>
        <w:drawing>
          <wp:inline distT="0" distB="0" distL="114300" distR="114300">
            <wp:extent cx="4362450" cy="704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362450" cy="704850"/>
                    </a:xfrm>
                    <a:prstGeom prst="rect">
                      <a:avLst/>
                    </a:prstGeom>
                    <a:noFill/>
                    <a:ln>
                      <a:noFill/>
                    </a:ln>
                  </pic:spPr>
                </pic:pic>
              </a:graphicData>
            </a:graphic>
          </wp:inline>
        </w:drawing>
      </w:r>
    </w:p>
    <w:p>
      <w:pPr>
        <w:pStyle w:val="9"/>
        <w:ind w:firstLine="480" w:firstLineChars="200"/>
        <w:rPr>
          <w:rFonts w:eastAsia="仿宋" w:cs="Times New Roman"/>
          <w:b w:val="0"/>
          <w:bCs/>
          <w:color w:val="000000"/>
          <w:sz w:val="24"/>
          <w:szCs w:val="24"/>
          <w:highlight w:val="none"/>
          <w:shd w:val="clear" w:color="auto" w:fill="auto"/>
        </w:rPr>
      </w:pPr>
      <w:r>
        <w:rPr>
          <w:rFonts w:eastAsia="仿宋" w:cs="Times New Roman"/>
          <w:b w:val="0"/>
          <w:bCs/>
          <w:color w:val="000000"/>
          <w:sz w:val="24"/>
          <w:szCs w:val="24"/>
          <w:highlight w:val="none"/>
          <w:shd w:val="clear" w:color="auto" w:fill="auto"/>
        </w:rPr>
        <w:t>图</w:t>
      </w:r>
      <w:r>
        <w:rPr>
          <w:rFonts w:hint="eastAsia" w:eastAsia="仿宋" w:cs="Times New Roman"/>
          <w:b w:val="0"/>
          <w:bCs/>
          <w:color w:val="000000"/>
          <w:sz w:val="24"/>
          <w:szCs w:val="24"/>
          <w:highlight w:val="none"/>
          <w:shd w:val="clear" w:color="auto" w:fill="auto"/>
          <w:lang w:val="en-US" w:eastAsia="zh-CN"/>
        </w:rPr>
        <w:t>6</w:t>
      </w:r>
      <w:r>
        <w:rPr>
          <w:rFonts w:eastAsia="仿宋" w:cs="Times New Roman"/>
          <w:b w:val="0"/>
          <w:bCs/>
          <w:color w:val="000000"/>
          <w:sz w:val="24"/>
          <w:szCs w:val="24"/>
          <w:highlight w:val="none"/>
          <w:shd w:val="clear" w:color="auto" w:fill="auto"/>
        </w:rPr>
        <w:t xml:space="preserve">  一次中转收运模式示意图</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二次中转收运模式是门店、街道、居民或社区的源头垃圾通过人力或小型机动车运送至垃圾转运站，经初步分拣出可回收物后，收集压缩，再用垃圾车运输到区域垃圾转运站，垃圾经过二次压缩后再通过大型垃圾转运车辆将垃圾运输到垃圾焚烧厂。</w:t>
      </w:r>
    </w:p>
    <w:p>
      <w:pPr>
        <w:rPr>
          <w:rFonts w:hint="default"/>
          <w:color w:val="000000"/>
          <w:highlight w:val="none"/>
          <w:shd w:val="clear" w:color="auto" w:fill="auto"/>
        </w:rPr>
      </w:pPr>
    </w:p>
    <w:p>
      <w:pPr>
        <w:pStyle w:val="10"/>
        <w:ind w:firstLine="420" w:firstLineChars="200"/>
        <w:jc w:val="center"/>
        <w:rPr>
          <w:rFonts w:eastAsia="宋体"/>
          <w:color w:val="000000"/>
          <w:highlight w:val="none"/>
          <w:shd w:val="clear" w:color="auto" w:fill="auto"/>
        </w:rPr>
      </w:pPr>
      <w:r>
        <w:rPr>
          <w:rFonts w:eastAsia="宋体"/>
          <w:color w:val="000000"/>
          <w:highlight w:val="none"/>
          <w:shd w:val="clear" w:color="auto" w:fill="auto"/>
        </w:rPr>
        <w:drawing>
          <wp:inline distT="0" distB="0" distL="114300" distR="114300">
            <wp:extent cx="5467350" cy="1186180"/>
            <wp:effectExtent l="0" t="0" r="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467350" cy="1186180"/>
                    </a:xfrm>
                    <a:prstGeom prst="rect">
                      <a:avLst/>
                    </a:prstGeom>
                    <a:noFill/>
                    <a:ln>
                      <a:noFill/>
                    </a:ln>
                  </pic:spPr>
                </pic:pic>
              </a:graphicData>
            </a:graphic>
          </wp:inline>
        </w:drawing>
      </w:r>
    </w:p>
    <w:p>
      <w:pPr>
        <w:ind w:firstLine="2160" w:firstLineChars="900"/>
        <w:rPr>
          <w:rFonts w:hint="default" w:ascii="Times New Roman" w:hAnsi="Times New Roman" w:eastAsia="仿宋" w:cs="Times New Roman"/>
          <w:b w:val="0"/>
          <w:bCs/>
          <w:color w:val="000000"/>
          <w:sz w:val="32"/>
          <w:szCs w:val="28"/>
          <w:highlight w:val="none"/>
          <w:shd w:val="clear" w:color="auto" w:fill="auto"/>
        </w:rPr>
      </w:pPr>
      <w:r>
        <w:rPr>
          <w:rFonts w:eastAsia="仿宋"/>
          <w:bCs/>
          <w:color w:val="000000"/>
          <w:sz w:val="24"/>
          <w:highlight w:val="none"/>
          <w:shd w:val="clear" w:color="auto" w:fill="auto"/>
        </w:rPr>
        <w:t>图</w:t>
      </w:r>
      <w:r>
        <w:rPr>
          <w:rFonts w:hint="eastAsia" w:eastAsia="仿宋"/>
          <w:bCs/>
          <w:color w:val="000000"/>
          <w:sz w:val="24"/>
          <w:highlight w:val="none"/>
          <w:shd w:val="clear" w:color="auto" w:fill="auto"/>
          <w:lang w:val="en-US" w:eastAsia="zh-CN"/>
        </w:rPr>
        <w:t>7</w:t>
      </w:r>
      <w:r>
        <w:rPr>
          <w:rFonts w:eastAsia="仿宋"/>
          <w:bCs/>
          <w:color w:val="000000"/>
          <w:sz w:val="24"/>
          <w:highlight w:val="none"/>
          <w:shd w:val="clear" w:color="auto" w:fill="auto"/>
        </w:rPr>
        <w:t xml:space="preserve">  二次中转收运模式示意图</w:t>
      </w:r>
    </w:p>
    <w:p>
      <w:pPr>
        <w:numPr>
          <w:ilvl w:val="0"/>
          <w:numId w:val="8"/>
        </w:numPr>
        <w:ind w:firstLine="640" w:firstLineChars="200"/>
        <w:jc w:val="left"/>
        <w:rPr>
          <w:rFonts w:hint="eastAsia" w:ascii="Times New Roman" w:hAnsi="Times New Roman" w:eastAsia="仿宋" w:cs="Times New Roman"/>
          <w:b w:val="0"/>
          <w:bCs/>
          <w:color w:val="000000"/>
          <w:sz w:val="32"/>
          <w:szCs w:val="28"/>
          <w:highlight w:val="none"/>
          <w:shd w:val="clear" w:color="auto" w:fill="auto"/>
          <w:lang w:eastAsia="zh-CN"/>
        </w:rPr>
      </w:pPr>
      <w:r>
        <w:rPr>
          <w:rFonts w:hint="default" w:ascii="Times New Roman" w:hAnsi="Times New Roman" w:eastAsia="仿宋" w:cs="Times New Roman"/>
          <w:b w:val="0"/>
          <w:bCs/>
          <w:color w:val="000000"/>
          <w:sz w:val="32"/>
          <w:szCs w:val="28"/>
          <w:highlight w:val="none"/>
          <w:shd w:val="clear" w:color="auto" w:fill="auto"/>
        </w:rPr>
        <w:t>中转站（废品打包场）</w:t>
      </w:r>
      <w:r>
        <w:rPr>
          <w:rFonts w:hint="eastAsia" w:ascii="Times New Roman" w:hAnsi="Times New Roman" w:eastAsia="仿宋" w:cs="Times New Roman"/>
          <w:b w:val="0"/>
          <w:bCs/>
          <w:color w:val="000000"/>
          <w:sz w:val="32"/>
          <w:szCs w:val="28"/>
          <w:highlight w:val="none"/>
          <w:shd w:val="clear" w:color="auto" w:fill="auto"/>
          <w:lang w:eastAsia="zh-CN"/>
        </w:rPr>
        <w:t>。</w:t>
      </w:r>
    </w:p>
    <w:p>
      <w:pPr>
        <w:ind w:firstLine="640" w:firstLineChars="200"/>
        <w:jc w:val="left"/>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（1）设置要点</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镇街级中转站指对再生资源进行初步分拣、压缩、打包并短期存储的固定场所。其主要功能是对本镇街居民直接交售或回收点收运、转运的生活性再生资源或工厂交售的生产性再生资源，中转站应配备称量、检测、分拣、起重、运输等设施设备。纸类、废钢铁定向分流到资源再生利用企业，从而减少运输环节。同时，按照</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两网融合</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的要求，中转站设置按照距再生资源回收点运输距离平均不超过1.5千米-2.0千米的服务范围设置，与垃圾转运站合并建设。中转站宜结合网格规划管理，由网格内的再生资源回收企业充当，最大限度利用当地回收资源，推动回收政策的实施，减少重复建设。选址由街道选定，由政府或社会企业投资建设，经营者承包经营，按统一标准经营。</w:t>
      </w:r>
    </w:p>
    <w:p>
      <w:pPr>
        <w:ind w:firstLine="640" w:firstLineChars="200"/>
        <w:jc w:val="left"/>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（2）面积</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中转站营业面积不少于500平方米。</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（3）布局</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按照《再生资源回收体系建设规范（GB/T 37515</w:t>
      </w:r>
      <w:r>
        <w:rPr>
          <w:rFonts w:hint="eastAsia" w:ascii="Times New Roman" w:hAnsi="Times New Roman" w:eastAsia="仿宋" w:cs="Times New Roman"/>
          <w:b w:val="0"/>
          <w:bCs/>
          <w:color w:val="000000"/>
          <w:sz w:val="32"/>
          <w:szCs w:val="28"/>
          <w:highlight w:val="none"/>
          <w:shd w:val="clear" w:color="auto" w:fill="auto"/>
          <w:lang w:val="en-US" w:eastAsia="zh-CN"/>
        </w:rPr>
        <w:t>—</w:t>
      </w:r>
      <w:r>
        <w:rPr>
          <w:rFonts w:hint="default" w:ascii="Times New Roman" w:hAnsi="Times New Roman" w:eastAsia="仿宋" w:cs="Times New Roman"/>
          <w:b w:val="0"/>
          <w:bCs/>
          <w:color w:val="000000"/>
          <w:sz w:val="32"/>
          <w:szCs w:val="28"/>
          <w:highlight w:val="none"/>
          <w:shd w:val="clear" w:color="auto" w:fill="auto"/>
        </w:rPr>
        <w:t>2019）》回收站设置要求，城区按半径2km商圈设置，农村按村、乡（镇）设置。按照《再生资源回收站点建设管理规范（SB/T 10719</w:t>
      </w:r>
      <w:r>
        <w:rPr>
          <w:rFonts w:hint="eastAsia" w:ascii="Times New Roman" w:hAnsi="Times New Roman" w:eastAsia="仿宋" w:cs="Times New Roman"/>
          <w:b w:val="0"/>
          <w:bCs/>
          <w:color w:val="000000"/>
          <w:sz w:val="32"/>
          <w:szCs w:val="28"/>
          <w:highlight w:val="none"/>
          <w:shd w:val="clear" w:color="auto" w:fill="auto"/>
          <w:lang w:val="en-US" w:eastAsia="zh-CN"/>
        </w:rPr>
        <w:t>—</w:t>
      </w:r>
      <w:r>
        <w:rPr>
          <w:rFonts w:hint="default" w:ascii="Times New Roman" w:hAnsi="Times New Roman" w:eastAsia="仿宋" w:cs="Times New Roman"/>
          <w:b w:val="0"/>
          <w:bCs/>
          <w:color w:val="000000"/>
          <w:sz w:val="32"/>
          <w:szCs w:val="28"/>
          <w:highlight w:val="none"/>
          <w:shd w:val="clear" w:color="auto" w:fill="auto"/>
        </w:rPr>
        <w:t>2012）》标准，城市中转站应在每个街道办事处辖区内设置1个，乡镇中转站按每个乡镇设置2个。城市密集街道宜根据人口分布及地域面积设置，按居住区人口规模，以服务5-10万人口为标准</w:t>
      </w:r>
      <w:r>
        <w:rPr>
          <w:rFonts w:hint="eastAsia"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sz w:val="32"/>
          <w:szCs w:val="28"/>
          <w:highlight w:val="none"/>
          <w:shd w:val="clear" w:color="auto" w:fill="auto"/>
        </w:rPr>
        <w:t>县（区）中心区街道每超过10万人增加建设一个中转站，农村镇级中转站5万人以下建设1个，每超过5万人增建一个中转站。</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全市共规划建设118个镇街级中转站。惠城区8个街道建立网格化回收体系，规划建设17个街道中转站、8个镇中转站，共计25个横向串联回收站。中转站规划站点及区域分布。</w:t>
      </w:r>
    </w:p>
    <w:p>
      <w:pPr>
        <w:pStyle w:val="35"/>
        <w:jc w:val="center"/>
        <w:rPr>
          <w:rFonts w:eastAsia="仿宋_GB2312"/>
          <w:bCs/>
          <w:color w:val="000000"/>
          <w:sz w:val="28"/>
          <w:szCs w:val="28"/>
          <w:highlight w:val="none"/>
          <w:shd w:val="clear" w:color="auto" w:fill="auto"/>
        </w:rPr>
      </w:pPr>
      <w:r>
        <w:rPr>
          <w:rFonts w:eastAsia="仿宋_GB2312"/>
          <w:bCs/>
          <w:color w:val="000000"/>
          <w:sz w:val="28"/>
          <w:szCs w:val="28"/>
          <w:highlight w:val="none"/>
          <w:shd w:val="clear" w:color="auto" w:fill="auto"/>
        </w:rPr>
        <w:drawing>
          <wp:inline distT="0" distB="0" distL="114300" distR="114300">
            <wp:extent cx="5271770" cy="4002405"/>
            <wp:effectExtent l="0" t="0" r="5080" b="17145"/>
            <wp:docPr id="9" name="图片 9" descr="微信图片_20230413235118"/>
            <wp:cNvGraphicFramePr/>
            <a:graphic xmlns:a="http://schemas.openxmlformats.org/drawingml/2006/main">
              <a:graphicData uri="http://schemas.openxmlformats.org/drawingml/2006/picture">
                <pic:pic xmlns:pic="http://schemas.openxmlformats.org/drawingml/2006/picture">
                  <pic:nvPicPr>
                    <pic:cNvPr id="9" name="图片 9" descr="微信图片_20230413235118"/>
                    <pic:cNvPicPr/>
                  </pic:nvPicPr>
                  <pic:blipFill>
                    <a:blip r:embed="rId14"/>
                    <a:stretch>
                      <a:fillRect/>
                    </a:stretch>
                  </pic:blipFill>
                  <pic:spPr>
                    <a:xfrm>
                      <a:off x="0" y="0"/>
                      <a:ext cx="5271770" cy="4002405"/>
                    </a:xfrm>
                    <a:prstGeom prst="rect">
                      <a:avLst/>
                    </a:prstGeom>
                    <a:noFill/>
                    <a:ln>
                      <a:noFill/>
                    </a:ln>
                  </pic:spPr>
                </pic:pic>
              </a:graphicData>
            </a:graphic>
          </wp:inline>
        </w:drawing>
      </w:r>
    </w:p>
    <w:p>
      <w:pPr>
        <w:pStyle w:val="35"/>
        <w:ind w:left="2400" w:hanging="2400" w:hangingChars="1000"/>
        <w:jc w:val="center"/>
        <w:rPr>
          <w:rFonts w:eastAsia="仿宋"/>
          <w:color w:val="000000"/>
          <w:highlight w:val="none"/>
          <w:shd w:val="clear" w:color="auto" w:fill="auto"/>
        </w:rPr>
      </w:pPr>
      <w:r>
        <w:rPr>
          <w:rFonts w:eastAsia="仿宋"/>
          <w:bCs/>
          <w:color w:val="000000"/>
          <w:highlight w:val="none"/>
          <w:shd w:val="clear" w:color="auto" w:fill="auto"/>
        </w:rPr>
        <w:t>图</w:t>
      </w:r>
      <w:r>
        <w:rPr>
          <w:rFonts w:hint="eastAsia" w:eastAsia="仿宋"/>
          <w:bCs/>
          <w:color w:val="000000"/>
          <w:highlight w:val="none"/>
          <w:shd w:val="clear" w:color="auto" w:fill="auto"/>
          <w:lang w:val="en-US" w:eastAsia="zh-CN"/>
        </w:rPr>
        <w:t>8</w:t>
      </w:r>
      <w:r>
        <w:rPr>
          <w:rFonts w:eastAsia="仿宋"/>
          <w:bCs/>
          <w:color w:val="000000"/>
          <w:highlight w:val="none"/>
          <w:shd w:val="clear" w:color="auto" w:fill="auto"/>
        </w:rPr>
        <w:t xml:space="preserve">  </w:t>
      </w:r>
      <w:r>
        <w:rPr>
          <w:rFonts w:eastAsia="仿宋"/>
          <w:color w:val="000000"/>
          <w:kern w:val="0"/>
          <w:highlight w:val="none"/>
          <w:shd w:val="clear" w:color="auto" w:fill="auto"/>
        </w:rPr>
        <w:t>再生资源回收</w:t>
      </w:r>
      <w:r>
        <w:rPr>
          <w:rFonts w:eastAsia="仿宋"/>
          <w:bCs/>
          <w:color w:val="000000"/>
          <w:highlight w:val="none"/>
          <w:shd w:val="clear" w:color="auto" w:fill="auto"/>
        </w:rPr>
        <w:t>中转站示意图</w:t>
      </w:r>
    </w:p>
    <w:tbl>
      <w:tblPr>
        <w:tblStyle w:val="22"/>
        <w:tblW w:w="4997" w:type="pct"/>
        <w:tblInd w:w="0" w:type="dxa"/>
        <w:tblLayout w:type="autofit"/>
        <w:tblCellMar>
          <w:top w:w="0" w:type="dxa"/>
          <w:left w:w="28" w:type="dxa"/>
          <w:bottom w:w="0" w:type="dxa"/>
          <w:right w:w="28" w:type="dxa"/>
        </w:tblCellMar>
      </w:tblPr>
      <w:tblGrid>
        <w:gridCol w:w="685"/>
        <w:gridCol w:w="1126"/>
        <w:gridCol w:w="708"/>
        <w:gridCol w:w="708"/>
        <w:gridCol w:w="1028"/>
        <w:gridCol w:w="889"/>
        <w:gridCol w:w="986"/>
        <w:gridCol w:w="1001"/>
        <w:gridCol w:w="959"/>
        <w:gridCol w:w="869"/>
      </w:tblGrid>
      <w:tr>
        <w:tblPrEx>
          <w:tblCellMar>
            <w:top w:w="0" w:type="dxa"/>
            <w:left w:w="28" w:type="dxa"/>
            <w:bottom w:w="0" w:type="dxa"/>
            <w:right w:w="28" w:type="dxa"/>
          </w:tblCellMar>
        </w:tblPrEx>
        <w:trPr>
          <w:trHeight w:val="1736" w:hRule="atLeast"/>
        </w:trPr>
        <w:tc>
          <w:tcPr>
            <w:tcW w:w="382"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城区</w:t>
            </w: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街/镇名称</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下辖社区(个）</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w w:val="90"/>
                <w:kern w:val="0"/>
                <w:szCs w:val="21"/>
                <w:highlight w:val="none"/>
                <w:shd w:val="clear" w:color="auto" w:fill="auto"/>
              </w:rPr>
              <w:t>下辖行政村（个）</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面积</w:t>
            </w:r>
          </w:p>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w w:val="89"/>
                <w:kern w:val="0"/>
                <w:szCs w:val="21"/>
                <w:highlight w:val="none"/>
                <w:shd w:val="clear" w:color="auto" w:fill="auto"/>
              </w:rPr>
              <w:t>（平方公里）</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现有常住人口</w:t>
            </w:r>
          </w:p>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(人）</w:t>
            </w:r>
          </w:p>
        </w:tc>
        <w:tc>
          <w:tcPr>
            <w:tcW w:w="550"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b/>
                <w:bCs/>
                <w:color w:val="00000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现有</w:t>
            </w:r>
            <w:r>
              <w:rPr>
                <w:rFonts w:hint="default" w:ascii="Times New Roman" w:hAnsi="Times New Roman" w:eastAsia="仿宋" w:cs="Times New Roman"/>
                <w:b/>
                <w:bCs/>
                <w:color w:val="000000"/>
                <w:szCs w:val="21"/>
                <w:highlight w:val="none"/>
                <w:shd w:val="clear" w:color="auto" w:fill="auto"/>
              </w:rPr>
              <w:t>住宅小区物业回收点</w:t>
            </w:r>
            <w:r>
              <w:rPr>
                <w:rFonts w:hint="default" w:ascii="Times New Roman" w:hAnsi="Times New Roman" w:eastAsia="仿宋" w:cs="Times New Roman"/>
                <w:b/>
                <w:bCs/>
                <w:color w:val="000000"/>
                <w:kern w:val="0"/>
                <w:szCs w:val="21"/>
                <w:highlight w:val="none"/>
                <w:shd w:val="clear" w:color="auto" w:fill="auto"/>
              </w:rPr>
              <w:t>（个）</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街道社区（村）回收点</w:t>
            </w:r>
          </w:p>
          <w:p>
            <w:pPr>
              <w:widowControl/>
              <w:jc w:val="center"/>
              <w:textAlignment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（个）</w:t>
            </w:r>
          </w:p>
        </w:tc>
        <w:tc>
          <w:tcPr>
            <w:tcW w:w="53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pStyle w:val="11"/>
              <w:spacing w:line="240" w:lineRule="exact"/>
              <w:jc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szCs w:val="21"/>
                <w:highlight w:val="none"/>
                <w:shd w:val="clear" w:color="auto" w:fill="auto"/>
              </w:rPr>
              <w:t>规划“垃圾分类+可回收物”两网融合点</w:t>
            </w:r>
            <w:r>
              <w:rPr>
                <w:rFonts w:hint="default" w:ascii="Times New Roman" w:hAnsi="Times New Roman" w:eastAsia="仿宋" w:cs="Times New Roman"/>
                <w:b/>
                <w:bCs/>
                <w:color w:val="000000"/>
                <w:kern w:val="0"/>
                <w:szCs w:val="21"/>
                <w:highlight w:val="none"/>
                <w:shd w:val="clear" w:color="auto" w:fill="auto"/>
              </w:rPr>
              <w:t>（个）</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pStyle w:val="11"/>
              <w:spacing w:line="300" w:lineRule="exact"/>
              <w:jc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202</w:t>
            </w:r>
            <w:r>
              <w:rPr>
                <w:rFonts w:hint="eastAsia" w:ascii="Times New Roman" w:hAnsi="Times New Roman" w:eastAsia="仿宋" w:cs="Times New Roman"/>
                <w:b/>
                <w:bCs/>
                <w:color w:val="000000"/>
                <w:kern w:val="0"/>
                <w:szCs w:val="21"/>
                <w:highlight w:val="none"/>
                <w:shd w:val="clear" w:color="auto" w:fill="auto"/>
                <w:lang w:val="en-US" w:eastAsia="zh-CN"/>
              </w:rPr>
              <w:t>8</w:t>
            </w:r>
            <w:r>
              <w:rPr>
                <w:rFonts w:hint="default" w:ascii="Times New Roman" w:hAnsi="Times New Roman" w:eastAsia="仿宋" w:cs="Times New Roman"/>
                <w:b/>
                <w:bCs/>
                <w:color w:val="000000"/>
                <w:kern w:val="0"/>
                <w:szCs w:val="21"/>
                <w:highlight w:val="none"/>
                <w:shd w:val="clear" w:color="auto" w:fill="auto"/>
              </w:rPr>
              <w:t>年镇街级中转站数量</w:t>
            </w:r>
          </w:p>
          <w:p>
            <w:pPr>
              <w:pStyle w:val="11"/>
              <w:spacing w:line="300" w:lineRule="exact"/>
              <w:jc w:val="center"/>
              <w:rPr>
                <w:rFonts w:hint="default" w:ascii="Times New Roman" w:hAnsi="Times New Roman" w:eastAsia="仿宋" w:cs="Times New Roman"/>
                <w:b/>
                <w:bCs/>
                <w:color w:val="000000"/>
                <w:kern w:val="0"/>
                <w:szCs w:val="21"/>
                <w:highlight w:val="none"/>
                <w:shd w:val="clear" w:color="auto" w:fill="auto"/>
              </w:rPr>
            </w:pPr>
            <w:r>
              <w:rPr>
                <w:rFonts w:hint="default" w:ascii="Times New Roman" w:hAnsi="Times New Roman" w:eastAsia="仿宋" w:cs="Times New Roman"/>
                <w:b/>
                <w:bCs/>
                <w:color w:val="000000"/>
                <w:kern w:val="0"/>
                <w:szCs w:val="21"/>
                <w:highlight w:val="none"/>
                <w:shd w:val="clear" w:color="auto" w:fill="auto"/>
              </w:rPr>
              <w:t>（个）</w:t>
            </w:r>
          </w:p>
        </w:tc>
      </w:tr>
      <w:tr>
        <w:tblPrEx>
          <w:tblCellMar>
            <w:top w:w="0" w:type="dxa"/>
            <w:left w:w="28" w:type="dxa"/>
            <w:bottom w:w="0" w:type="dxa"/>
            <w:right w:w="28" w:type="dxa"/>
          </w:tblCellMar>
        </w:tblPrEx>
        <w:trPr>
          <w:trHeight w:val="340" w:hRule="atLeast"/>
        </w:trPr>
        <w:tc>
          <w:tcPr>
            <w:tcW w:w="382"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全市</w:t>
            </w: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245</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1035</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11347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6042852</w:t>
            </w:r>
          </w:p>
        </w:tc>
        <w:tc>
          <w:tcPr>
            <w:tcW w:w="550"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 xml:space="preserve">1946 </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1280</w:t>
            </w:r>
          </w:p>
        </w:tc>
        <w:tc>
          <w:tcPr>
            <w:tcW w:w="53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194</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118</w:t>
            </w:r>
          </w:p>
        </w:tc>
      </w:tr>
      <w:tr>
        <w:tblPrEx>
          <w:tblCellMar>
            <w:top w:w="0" w:type="dxa"/>
            <w:left w:w="28" w:type="dxa"/>
            <w:bottom w:w="0" w:type="dxa"/>
            <w:right w:w="28" w:type="dxa"/>
          </w:tblCellMar>
        </w:tblPrEx>
        <w:trPr>
          <w:trHeight w:val="34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惠城区</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桥东街道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13.57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149529</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739</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81</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桥西街道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6.08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125016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江南街道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77037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江北街道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19.36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139999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龙丰街道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132185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水口街道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114.33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221507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河南岸街道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251726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小金口街道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175817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马安镇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72918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横沥镇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342.83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48363</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43</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芦洲镇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204.87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17420</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汝湖镇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153.3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59722</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三栋镇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68.6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87554</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left"/>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惠阳区</w:t>
            </w: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淡水街道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342158</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319</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秋长街道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109.9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195218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三和街道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64409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沙田镇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73.84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36894</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新圩镇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158.4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128570</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镇隆镇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149.5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86151</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永湖镇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117.4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34547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良井镇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72.02</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30399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平潭镇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99.7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41404</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left"/>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惠东县</w:t>
            </w: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平山街道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110.88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333172</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142</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36</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4</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大岭街道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160.23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160639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白花镇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26</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203.61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71139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梁化镇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263.1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40479</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稔山镇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188.3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62978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铁涌镇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33593</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20</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平海镇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66108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吉隆镇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125.3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82441</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10</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多祝镇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570</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36685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安墩镇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479.1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90150</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23</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高潭镇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196.21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20190</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宝口镇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329.25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5323</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黄埠镇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97.7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6036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白盆珠镇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397.72</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9143</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left"/>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博罗县</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罗阳街道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251.62</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261551</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282</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39</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3</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龙溪街道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109615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23</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石坝镇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180.91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39906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麻陂镇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88.96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23113</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公庄镇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309.76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41615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杨村镇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124.94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37832</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泰美镇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179.44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41434</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柏塘镇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36</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255.78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48625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湖镇镇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35</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275.33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65001</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龙华镇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58.18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27980</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长宁镇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61.4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51207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福田镇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93.27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49826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园洲镇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112.94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171802</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4</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石湾镇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82.96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167497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4</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杨侨镇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89.61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32445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14</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横河镇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234.6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22196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lef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观音阁镇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19233</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龙门县</w:t>
            </w: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龙城街道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133.34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96149</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57</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25</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平陵街道</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38961</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龙田镇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174.26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17076</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15</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龙江镇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172</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22317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龙华镇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402</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31928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永汉镇</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392.69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52918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麻榨镇</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18</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240.15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23173</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龙潭镇</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257.4</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20055</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16</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地派镇</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217.39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9947</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13</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29"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蓝田乡</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6659</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8</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大亚湾开</w:t>
            </w:r>
            <w:r>
              <w:rPr>
                <w:rFonts w:hint="default" w:ascii="Times New Roman" w:hAnsi="Times New Roman" w:eastAsia="仿宋" w:cs="Times New Roman"/>
                <w:color w:val="000000"/>
                <w:kern w:val="0"/>
                <w:szCs w:val="20"/>
                <w:highlight w:val="none"/>
                <w:shd w:val="clear" w:color="auto" w:fill="auto"/>
                <w:lang w:eastAsia="zh-CN"/>
              </w:rPr>
              <w:t>发</w:t>
            </w:r>
            <w:r>
              <w:rPr>
                <w:rFonts w:hint="default" w:ascii="Times New Roman" w:hAnsi="Times New Roman" w:eastAsia="仿宋" w:cs="Times New Roman"/>
                <w:color w:val="000000"/>
                <w:kern w:val="0"/>
                <w:szCs w:val="20"/>
                <w:highlight w:val="none"/>
                <w:shd w:val="clear" w:color="auto" w:fill="auto"/>
              </w:rPr>
              <w:t>区</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霞涌街道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78.8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28983</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246</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15</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澳头街道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96.27</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126241</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25</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西区街道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15</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95.8</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289163</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30</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3</w:t>
            </w:r>
          </w:p>
        </w:tc>
      </w:tr>
      <w:tr>
        <w:tblPrEx>
          <w:tblCellMar>
            <w:top w:w="0" w:type="dxa"/>
            <w:left w:w="28" w:type="dxa"/>
            <w:bottom w:w="0" w:type="dxa"/>
            <w:right w:w="28" w:type="dxa"/>
          </w:tblCellMar>
        </w:tblPrEx>
        <w:trPr>
          <w:trHeight w:val="34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仲恺高新区</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惠环街道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36</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168575</w:t>
            </w:r>
          </w:p>
        </w:tc>
        <w:tc>
          <w:tcPr>
            <w:tcW w:w="550"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161</w:t>
            </w: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12</w:t>
            </w:r>
          </w:p>
        </w:tc>
        <w:tc>
          <w:tcPr>
            <w:tcW w:w="535" w:type="pct"/>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w:t>
            </w: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陈江街道</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83</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175858</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15</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2</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潼湖镇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112.5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34574</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12</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潼侨镇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31.1</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54842</w:t>
            </w:r>
          </w:p>
        </w:tc>
        <w:tc>
          <w:tcPr>
            <w:tcW w:w="550"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8</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沥林镇</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49</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60839</w:t>
            </w:r>
          </w:p>
        </w:tc>
        <w:tc>
          <w:tcPr>
            <w:tcW w:w="550"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9</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东江高新园</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11.25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22952</w:t>
            </w:r>
          </w:p>
        </w:tc>
        <w:tc>
          <w:tcPr>
            <w:tcW w:w="550"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3</w:t>
            </w:r>
          </w:p>
        </w:tc>
        <w:tc>
          <w:tcPr>
            <w:tcW w:w="535" w:type="pct"/>
            <w:vMerge w:val="continue"/>
            <w:tcBorders>
              <w:left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r>
        <w:tblPrEx>
          <w:tblCellMar>
            <w:top w:w="0" w:type="dxa"/>
            <w:left w:w="28" w:type="dxa"/>
            <w:bottom w:w="0" w:type="dxa"/>
            <w:right w:w="28" w:type="dxa"/>
          </w:tblCellMar>
        </w:tblPrEx>
        <w:trPr>
          <w:trHeight w:val="34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62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惠南高新园</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p>
        </w:tc>
        <w:tc>
          <w:tcPr>
            <w:tcW w:w="573"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45</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14145</w:t>
            </w:r>
          </w:p>
        </w:tc>
        <w:tc>
          <w:tcPr>
            <w:tcW w:w="550"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szCs w:val="20"/>
                <w:highlight w:val="none"/>
                <w:shd w:val="clear" w:color="auto" w:fill="auto"/>
              </w:rPr>
            </w:pPr>
          </w:p>
        </w:tc>
        <w:tc>
          <w:tcPr>
            <w:tcW w:w="558"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spacing w:line="300" w:lineRule="exact"/>
              <w:jc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szCs w:val="20"/>
                <w:highlight w:val="none"/>
                <w:shd w:val="clear" w:color="auto" w:fill="auto"/>
              </w:rPr>
              <w:t>2</w:t>
            </w:r>
          </w:p>
        </w:tc>
        <w:tc>
          <w:tcPr>
            <w:tcW w:w="535" w:type="pct"/>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p>
        </w:tc>
        <w:tc>
          <w:tcPr>
            <w:tcW w:w="484" w:type="pc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widowControl/>
              <w:jc w:val="center"/>
              <w:textAlignment w:val="center"/>
              <w:rPr>
                <w:rFonts w:hint="default" w:ascii="Times New Roman" w:hAnsi="Times New Roman" w:eastAsia="仿宋" w:cs="Times New Roman"/>
                <w:color w:val="00000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lang w:bidi="ar"/>
              </w:rPr>
              <w:t>1</w:t>
            </w:r>
          </w:p>
        </w:tc>
      </w:tr>
    </w:tbl>
    <w:p>
      <w:pPr>
        <w:pStyle w:val="35"/>
        <w:ind w:left="2409" w:hanging="2400" w:hangingChars="1000"/>
        <w:jc w:val="center"/>
        <w:rPr>
          <w:rFonts w:ascii="Times New Roman" w:hAnsi="Times New Roman" w:eastAsia="仿宋"/>
          <w:b w:val="0"/>
          <w:bCs/>
          <w:color w:val="000000"/>
          <w:sz w:val="24"/>
          <w:highlight w:val="none"/>
          <w:shd w:val="clear" w:color="auto" w:fill="auto"/>
        </w:rPr>
      </w:pPr>
      <w:bookmarkStart w:id="42" w:name="_Toc20516"/>
      <w:bookmarkStart w:id="43" w:name="_Toc1972430311"/>
      <w:r>
        <w:rPr>
          <w:rFonts w:eastAsia="仿宋"/>
          <w:b w:val="0"/>
          <w:bCs/>
          <w:color w:val="000000"/>
          <w:highlight w:val="none"/>
          <w:shd w:val="clear" w:color="auto" w:fill="auto"/>
        </w:rPr>
        <w:t>表5 惠州市再生资源回收点及中转站规划表</w:t>
      </w:r>
    </w:p>
    <w:p>
      <w:pPr>
        <w:pStyle w:val="20"/>
        <w:numPr>
          <w:ilvl w:val="0"/>
          <w:numId w:val="0"/>
        </w:numPr>
        <w:spacing w:line="440" w:lineRule="exact"/>
        <w:ind w:firstLine="0" w:firstLineChars="0"/>
        <w:jc w:val="both"/>
        <w:outlineLvl w:val="9"/>
        <w:rPr>
          <w:rFonts w:hint="eastAsia" w:ascii="方正楷体_GBK" w:hAnsi="方正楷体_GBK" w:eastAsia="方正楷体_GBK" w:cs="方正楷体_GBK"/>
          <w:b w:val="0"/>
          <w:bCs/>
          <w:color w:val="000000"/>
          <w:sz w:val="24"/>
          <w:szCs w:val="28"/>
          <w:highlight w:val="none"/>
          <w:shd w:val="clear" w:color="auto" w:fill="auto"/>
        </w:rPr>
      </w:pPr>
      <w:r>
        <w:rPr>
          <w:rFonts w:hint="eastAsia" w:ascii="方正楷体_GBK" w:hAnsi="方正楷体_GBK" w:eastAsia="方正楷体_GBK" w:cs="方正楷体_GBK"/>
          <w:b w:val="0"/>
          <w:bCs/>
          <w:color w:val="000000"/>
          <w:sz w:val="24"/>
          <w:szCs w:val="28"/>
          <w:highlight w:val="none"/>
          <w:shd w:val="clear" w:color="auto" w:fill="auto"/>
        </w:rPr>
        <w:t>注：1.表中关于街镇及下辖社区和行政村相关数据系据互联网公开资料查询所得，人口数据来自第七次人口普查公布的资料，相关数据或有不准确、错漏、谬误之处；</w:t>
      </w:r>
      <w:bookmarkEnd w:id="42"/>
      <w:bookmarkEnd w:id="43"/>
      <w:r>
        <w:rPr>
          <w:rFonts w:hint="eastAsia" w:ascii="方正楷体_GBK" w:hAnsi="方正楷体_GBK" w:eastAsia="方正楷体_GBK" w:cs="方正楷体_GBK"/>
          <w:b w:val="0"/>
          <w:bCs/>
          <w:color w:val="000000"/>
          <w:kern w:val="2"/>
          <w:sz w:val="24"/>
          <w:szCs w:val="28"/>
          <w:highlight w:val="none"/>
          <w:shd w:val="clear" w:color="auto" w:fill="auto"/>
          <w:lang w:val="en-US" w:eastAsia="zh-CN"/>
        </w:rPr>
        <w:t>2.</w:t>
      </w:r>
      <w:r>
        <w:rPr>
          <w:rFonts w:hint="eastAsia" w:ascii="方正楷体_GBK" w:hAnsi="方正楷体_GBK" w:eastAsia="方正楷体_GBK" w:cs="方正楷体_GBK"/>
          <w:b w:val="0"/>
          <w:bCs/>
          <w:color w:val="000000"/>
          <w:kern w:val="2"/>
          <w:sz w:val="24"/>
          <w:szCs w:val="28"/>
          <w:highlight w:val="none"/>
          <w:shd w:val="clear" w:color="auto" w:fill="auto"/>
        </w:rPr>
        <w:t>本规划</w:t>
      </w:r>
      <w:r>
        <w:rPr>
          <w:rFonts w:hint="eastAsia" w:ascii="方正楷体_GBK" w:hAnsi="方正楷体_GBK" w:eastAsia="方正楷体_GBK" w:cs="方正楷体_GBK"/>
          <w:b w:val="0"/>
          <w:bCs/>
          <w:color w:val="000000"/>
          <w:sz w:val="24"/>
          <w:szCs w:val="28"/>
          <w:highlight w:val="none"/>
          <w:shd w:val="clear" w:color="auto" w:fill="auto"/>
        </w:rPr>
        <w:t>纳入了惠州市供销社下属的21个回收站点，主要在惠城区各城镇：江南、江北、小金、三栋、马安、汝湖、三新、河南岸、沥林、陈江、仲恺、龙丰、惠环等地，计划在惠阳、仲恺、博罗、惠东、龙门等县区布点19个。3.市容环卫垃圾转运站13个站点（农批市场站、小隐公园站、滨江苑站（环卫驿站）、东平公园站、滨江公园站、河南岸站、石湖苑站、埔前站（环卫驿站）、古塘坳站、万林湖站、望江公园站、技师学院站、上东平站），具体需实地考察后定点。</w:t>
      </w:r>
    </w:p>
    <w:p>
      <w:pPr>
        <w:spacing w:before="0" w:beforeLines="0" w:line="560" w:lineRule="exact"/>
        <w:ind w:firstLine="640" w:firstLineChars="200"/>
        <w:outlineLvl w:val="9"/>
        <w:rPr>
          <w:rFonts w:hint="default" w:ascii="Times New Roman" w:hAnsi="Times New Roman" w:eastAsia="仿宋" w:cs="Times New Roman"/>
          <w:b w:val="0"/>
          <w:bCs/>
          <w:color w:val="000000"/>
          <w:sz w:val="32"/>
          <w:szCs w:val="28"/>
          <w:highlight w:val="none"/>
          <w:shd w:val="clear" w:color="auto" w:fill="auto"/>
          <w:lang w:eastAsia="zh-CN"/>
        </w:rPr>
      </w:pPr>
      <w:r>
        <w:rPr>
          <w:rFonts w:hint="default" w:ascii="Times New Roman" w:hAnsi="Times New Roman" w:eastAsia="仿宋" w:cs="Times New Roman"/>
          <w:b w:val="0"/>
          <w:bCs/>
          <w:color w:val="000000"/>
          <w:sz w:val="32"/>
          <w:szCs w:val="28"/>
          <w:highlight w:val="none"/>
          <w:shd w:val="clear" w:color="auto" w:fill="auto"/>
        </w:rPr>
        <w:t>3</w:t>
      </w:r>
      <w:r>
        <w:rPr>
          <w:rFonts w:hint="default" w:ascii="Times New Roman" w:hAnsi="Times New Roman" w:eastAsia="仿宋" w:cs="Times New Roman"/>
          <w:b w:val="0"/>
          <w:bCs/>
          <w:color w:val="000000"/>
          <w:sz w:val="32"/>
          <w:szCs w:val="28"/>
          <w:highlight w:val="none"/>
          <w:shd w:val="clear" w:color="auto" w:fill="auto"/>
          <w:lang w:val="en-US" w:eastAsia="zh-CN"/>
        </w:rPr>
        <w:t xml:space="preserve">. </w:t>
      </w:r>
      <w:r>
        <w:rPr>
          <w:rFonts w:hint="default" w:ascii="Times New Roman" w:hAnsi="Times New Roman" w:eastAsia="仿宋" w:cs="Times New Roman"/>
          <w:b w:val="0"/>
          <w:bCs/>
          <w:color w:val="000000"/>
          <w:sz w:val="32"/>
          <w:szCs w:val="28"/>
          <w:highlight w:val="none"/>
          <w:shd w:val="clear" w:color="auto" w:fill="auto"/>
        </w:rPr>
        <w:t>分拣中心</w:t>
      </w:r>
      <w:r>
        <w:rPr>
          <w:rFonts w:hint="default" w:ascii="Times New Roman" w:hAnsi="Times New Roman" w:eastAsia="仿宋" w:cs="Times New Roman"/>
          <w:b w:val="0"/>
          <w:bCs/>
          <w:color w:val="000000"/>
          <w:sz w:val="32"/>
          <w:szCs w:val="28"/>
          <w:highlight w:val="none"/>
          <w:shd w:val="clear" w:color="auto" w:fill="auto"/>
          <w:lang w:eastAsia="zh-CN"/>
        </w:rPr>
        <w:t>。</w:t>
      </w:r>
    </w:p>
    <w:p>
      <w:pPr>
        <w:spacing w:before="0" w:beforeLines="0" w:afterLines="0" w:line="560" w:lineRule="exact"/>
        <w:ind w:firstLine="640" w:firstLineChars="200"/>
        <w:outlineLvl w:val="9"/>
        <w:rPr>
          <w:rFonts w:hint="default" w:ascii="Times New Roman" w:hAnsi="Times New Roman" w:eastAsia="仿宋" w:cs="Times New Roman"/>
          <w:b w:val="0"/>
          <w:bCs/>
          <w:color w:val="000000"/>
          <w:kern w:val="2"/>
          <w:sz w:val="32"/>
          <w:szCs w:val="28"/>
          <w:highlight w:val="none"/>
          <w:shd w:val="clear" w:color="auto" w:fill="auto"/>
        </w:rPr>
      </w:pPr>
      <w:r>
        <w:rPr>
          <w:rFonts w:hint="default" w:ascii="Times New Roman" w:hAnsi="Times New Roman" w:eastAsia="仿宋" w:cs="Times New Roman"/>
          <w:b w:val="0"/>
          <w:bCs/>
          <w:color w:val="000000"/>
          <w:kern w:val="2"/>
          <w:sz w:val="32"/>
          <w:szCs w:val="28"/>
          <w:highlight w:val="none"/>
          <w:shd w:val="clear" w:color="auto" w:fill="auto"/>
        </w:rPr>
        <w:t>以《再生资源绿色分拣中心建设管理规范</w:t>
      </w:r>
      <w:r>
        <w:rPr>
          <w:rFonts w:hint="default" w:ascii="Times New Roman" w:hAnsi="Times New Roman" w:eastAsia="仿宋" w:cs="Times New Roman"/>
          <w:b w:val="0"/>
          <w:bCs/>
          <w:color w:val="000000"/>
          <w:w w:val="100"/>
          <w:kern w:val="2"/>
          <w:sz w:val="32"/>
          <w:szCs w:val="28"/>
          <w:highlight w:val="none"/>
          <w:shd w:val="clear" w:color="auto" w:fill="auto"/>
        </w:rPr>
        <w:t>（SB/T 10720—2021）</w:t>
      </w:r>
      <w:r>
        <w:rPr>
          <w:rFonts w:hint="default" w:ascii="Times New Roman" w:hAnsi="Times New Roman" w:eastAsia="仿宋" w:cs="Times New Roman"/>
          <w:b w:val="0"/>
          <w:bCs/>
          <w:color w:val="000000"/>
          <w:kern w:val="2"/>
          <w:sz w:val="32"/>
          <w:szCs w:val="28"/>
          <w:highlight w:val="none"/>
          <w:shd w:val="clear" w:color="auto" w:fill="auto"/>
        </w:rPr>
        <w:t>》为参考依据，因地制宜新建和改造提升县（区）级分拣中心，发挥分拣中心在新型再生资源回收利用体系中的关键节点作用，完善再生资源</w:t>
      </w:r>
      <w:r>
        <w:rPr>
          <w:rFonts w:hint="default" w:ascii="Times New Roman" w:hAnsi="Times New Roman" w:eastAsia="仿宋" w:cs="Times New Roman"/>
          <w:b w:val="0"/>
          <w:bCs/>
          <w:color w:val="000000"/>
          <w:kern w:val="2"/>
          <w:sz w:val="32"/>
          <w:szCs w:val="28"/>
          <w:highlight w:val="none"/>
          <w:shd w:val="clear" w:color="auto" w:fill="auto"/>
          <w:lang w:eastAsia="zh-CN"/>
        </w:rPr>
        <w:t>绿色</w:t>
      </w:r>
      <w:r>
        <w:rPr>
          <w:rFonts w:hint="default" w:ascii="Times New Roman" w:hAnsi="Times New Roman" w:eastAsia="仿宋" w:cs="Times New Roman"/>
          <w:b w:val="0"/>
          <w:bCs/>
          <w:color w:val="000000"/>
          <w:kern w:val="2"/>
          <w:sz w:val="32"/>
          <w:szCs w:val="28"/>
          <w:highlight w:val="none"/>
          <w:shd w:val="clear" w:color="auto" w:fill="auto"/>
        </w:rPr>
        <w:t>分拣中心保障要件，推动新型再生资源回收利用体系转型升级。</w:t>
      </w:r>
    </w:p>
    <w:p>
      <w:pPr>
        <w:adjustRightInd/>
        <w:snapToGrid/>
        <w:spacing w:before="0" w:after="0" w:line="560" w:lineRule="exact"/>
        <w:ind w:firstLine="640" w:firstLineChars="200"/>
        <w:outlineLvl w:val="9"/>
        <w:rPr>
          <w:rFonts w:hint="default" w:ascii="Times New Roman" w:hAnsi="Times New Roman" w:eastAsia="仿宋" w:cs="Times New Roman"/>
          <w:b w:val="0"/>
          <w:bCs/>
          <w:color w:val="000000"/>
          <w:kern w:val="2"/>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（1）设置要点</w:t>
      </w:r>
      <w:r>
        <w:rPr>
          <w:rFonts w:hint="default"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kern w:val="2"/>
          <w:sz w:val="32"/>
          <w:szCs w:val="28"/>
          <w:highlight w:val="none"/>
          <w:shd w:val="clear" w:color="auto" w:fill="auto"/>
        </w:rPr>
        <w:t>在适当地点设置固定场所作为分拣中心，负责回收中转站转运的生活性再生资源或工厂交售的生产性再生资源，并按照再生资源分类标准、品质状况集中进行专业分类、挑选、清洗、破碎、切割、拆解、打包等简单加工及处理，以便交售给再利用企业。分拣中心以县（区）为单位按片区设立，并与垃圾分类体系相衔接。</w:t>
      </w:r>
    </w:p>
    <w:p>
      <w:pPr>
        <w:spacing w:line="560" w:lineRule="exact"/>
        <w:ind w:firstLine="640" w:firstLineChars="200"/>
        <w:outlineLvl w:val="9"/>
        <w:rPr>
          <w:rFonts w:hint="default" w:ascii="Times New Roman" w:hAnsi="Times New Roman" w:eastAsia="仿宋" w:cs="Times New Roman"/>
          <w:b w:val="0"/>
          <w:bCs/>
          <w:color w:val="000000"/>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（2）面积</w:t>
      </w:r>
      <w:r>
        <w:rPr>
          <w:rFonts w:hint="default"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kern w:val="2"/>
          <w:sz w:val="32"/>
          <w:szCs w:val="28"/>
          <w:highlight w:val="none"/>
          <w:shd w:val="clear" w:color="auto" w:fill="auto"/>
        </w:rPr>
        <w:t>分拣中心规划的厂区面积原则上不少于1万平方米，年分拣能力不少于10万吨，厂区面积不低于总建设规划面积的50%。</w:t>
      </w:r>
    </w:p>
    <w:p>
      <w:pPr>
        <w:spacing w:line="560" w:lineRule="exact"/>
        <w:ind w:firstLine="640" w:firstLineChars="200"/>
        <w:outlineLvl w:val="9"/>
        <w:rPr>
          <w:rFonts w:hint="default" w:ascii="Times New Roman" w:hAnsi="Times New Roman" w:eastAsia="仿宋" w:cs="Times New Roman"/>
          <w:b w:val="0"/>
          <w:bCs/>
          <w:color w:val="000000"/>
          <w:kern w:val="2"/>
          <w:sz w:val="32"/>
          <w:szCs w:val="28"/>
          <w:highlight w:val="none"/>
          <w:shd w:val="clear" w:color="auto" w:fill="auto"/>
        </w:rPr>
      </w:pPr>
      <w:r>
        <w:rPr>
          <w:rFonts w:hint="default" w:ascii="Times New Roman" w:hAnsi="Times New Roman" w:eastAsia="仿宋" w:cs="Times New Roman"/>
          <w:b w:val="0"/>
          <w:bCs/>
          <w:color w:val="000000"/>
          <w:sz w:val="32"/>
          <w:szCs w:val="28"/>
          <w:highlight w:val="none"/>
          <w:shd w:val="clear" w:color="auto" w:fill="auto"/>
        </w:rPr>
        <w:t>（3）布局</w:t>
      </w:r>
      <w:r>
        <w:rPr>
          <w:rFonts w:hint="default" w:ascii="Times New Roman" w:hAnsi="Times New Roman" w:eastAsia="仿宋" w:cs="Times New Roman"/>
          <w:b w:val="0"/>
          <w:bCs/>
          <w:color w:val="000000"/>
          <w:sz w:val="32"/>
          <w:szCs w:val="28"/>
          <w:highlight w:val="none"/>
          <w:shd w:val="clear" w:color="auto" w:fill="auto"/>
          <w:lang w:eastAsia="zh-CN"/>
        </w:rPr>
        <w:t>。</w:t>
      </w:r>
      <w:r>
        <w:rPr>
          <w:rFonts w:hint="default" w:ascii="Times New Roman" w:hAnsi="Times New Roman" w:eastAsia="仿宋" w:cs="Times New Roman"/>
          <w:b w:val="0"/>
          <w:bCs/>
          <w:color w:val="000000"/>
          <w:kern w:val="2"/>
          <w:sz w:val="32"/>
          <w:szCs w:val="28"/>
          <w:highlight w:val="none"/>
          <w:shd w:val="clear" w:color="auto" w:fill="auto"/>
        </w:rPr>
        <w:t>按照</w:t>
      </w:r>
      <w:r>
        <w:rPr>
          <w:rFonts w:hint="eastAsia" w:eastAsia="仿宋" w:cs="Times New Roman"/>
          <w:b w:val="0"/>
          <w:bCs/>
          <w:color w:val="000000"/>
          <w:kern w:val="2"/>
          <w:sz w:val="32"/>
          <w:szCs w:val="28"/>
          <w:highlight w:val="none"/>
          <w:shd w:val="clear" w:color="auto" w:fill="auto"/>
          <w:lang w:eastAsia="zh-CN"/>
        </w:rPr>
        <w:t>“</w:t>
      </w:r>
      <w:r>
        <w:rPr>
          <w:rFonts w:hint="default" w:ascii="Times New Roman" w:hAnsi="Times New Roman" w:eastAsia="仿宋" w:cs="Times New Roman"/>
          <w:b w:val="0"/>
          <w:bCs/>
          <w:color w:val="000000"/>
          <w:kern w:val="2"/>
          <w:sz w:val="32"/>
          <w:szCs w:val="28"/>
          <w:highlight w:val="none"/>
          <w:shd w:val="clear" w:color="auto" w:fill="auto"/>
        </w:rPr>
        <w:t>两网融合</w:t>
      </w:r>
      <w:r>
        <w:rPr>
          <w:rFonts w:hint="eastAsia" w:eastAsia="仿宋" w:cs="Times New Roman"/>
          <w:b w:val="0"/>
          <w:bCs/>
          <w:color w:val="000000"/>
          <w:kern w:val="2"/>
          <w:sz w:val="32"/>
          <w:szCs w:val="28"/>
          <w:highlight w:val="none"/>
          <w:shd w:val="clear" w:color="auto" w:fill="auto"/>
          <w:lang w:eastAsia="zh-CN"/>
        </w:rPr>
        <w:t>”</w:t>
      </w:r>
      <w:r>
        <w:rPr>
          <w:rFonts w:hint="default" w:ascii="Times New Roman" w:hAnsi="Times New Roman" w:eastAsia="仿宋" w:cs="Times New Roman"/>
          <w:b w:val="0"/>
          <w:bCs/>
          <w:color w:val="000000"/>
          <w:kern w:val="2"/>
          <w:sz w:val="32"/>
          <w:szCs w:val="28"/>
          <w:highlight w:val="none"/>
          <w:shd w:val="clear" w:color="auto" w:fill="auto"/>
        </w:rPr>
        <w:t>的要求，以及用地集约化、生产洁净化、原料无害化原则，202</w:t>
      </w:r>
      <w:r>
        <w:rPr>
          <w:rFonts w:hint="eastAsia" w:eastAsia="仿宋" w:cs="Times New Roman"/>
          <w:b w:val="0"/>
          <w:bCs/>
          <w:color w:val="000000"/>
          <w:kern w:val="2"/>
          <w:sz w:val="32"/>
          <w:szCs w:val="28"/>
          <w:highlight w:val="none"/>
          <w:shd w:val="clear" w:color="auto" w:fill="auto"/>
          <w:lang w:val="en-US" w:eastAsia="zh-CN"/>
        </w:rPr>
        <w:t>8</w:t>
      </w:r>
      <w:r>
        <w:rPr>
          <w:rFonts w:hint="default" w:ascii="Times New Roman" w:hAnsi="Times New Roman" w:eastAsia="仿宋" w:cs="Times New Roman"/>
          <w:b w:val="0"/>
          <w:bCs/>
          <w:color w:val="000000"/>
          <w:kern w:val="2"/>
          <w:sz w:val="32"/>
          <w:szCs w:val="28"/>
          <w:highlight w:val="none"/>
          <w:shd w:val="clear" w:color="auto" w:fill="auto"/>
        </w:rPr>
        <w:t>年前建设16个分拣中心。其中，综合型分拣中心8个，以片区为单位，尽可能与大件垃圾处理中心及垃圾转运站合建，年分拣处理再生资源能力为80万吨；专业型分拣中心8个（1个专业分拣中心负责1大类再生资源），规划在惠城区试点建设，年分拣处理再生资源能力为38.5万吨。</w:t>
      </w:r>
    </w:p>
    <w:p>
      <w:pPr>
        <w:adjustRightInd/>
        <w:snapToGrid/>
        <w:spacing w:beforeLines="0" w:line="560" w:lineRule="exact"/>
        <w:ind w:firstLine="640" w:firstLineChars="200"/>
        <w:outlineLvl w:val="9"/>
        <w:rPr>
          <w:rFonts w:hint="default" w:ascii="Times New Roman" w:hAnsi="Times New Roman" w:eastAsia="仿宋" w:cs="Times New Roman"/>
          <w:b w:val="0"/>
          <w:bCs/>
          <w:color w:val="000000"/>
          <w:kern w:val="2"/>
          <w:sz w:val="32"/>
          <w:szCs w:val="28"/>
          <w:highlight w:val="none"/>
          <w:shd w:val="clear" w:color="auto" w:fill="auto"/>
        </w:rPr>
      </w:pPr>
      <w:r>
        <w:rPr>
          <w:rFonts w:hint="default" w:ascii="Times New Roman" w:hAnsi="Times New Roman" w:eastAsia="仿宋" w:cs="Times New Roman"/>
          <w:b w:val="0"/>
          <w:bCs/>
          <w:color w:val="000000"/>
          <w:kern w:val="2"/>
          <w:sz w:val="32"/>
          <w:szCs w:val="28"/>
          <w:highlight w:val="none"/>
          <w:shd w:val="clear" w:color="auto" w:fill="auto"/>
        </w:rPr>
        <w:t>分拣中心结合回收点、中转站数量布局，以及惠州市再生资源回收的实际需要，可以在设置数量上加以调整。远期（202</w:t>
      </w:r>
      <w:r>
        <w:rPr>
          <w:rFonts w:hint="eastAsia" w:eastAsia="仿宋" w:cs="Times New Roman"/>
          <w:b w:val="0"/>
          <w:bCs/>
          <w:color w:val="000000"/>
          <w:kern w:val="2"/>
          <w:sz w:val="32"/>
          <w:szCs w:val="28"/>
          <w:highlight w:val="none"/>
          <w:shd w:val="clear" w:color="auto" w:fill="auto"/>
          <w:lang w:val="en-US" w:eastAsia="zh-CN"/>
        </w:rPr>
        <w:t>8</w:t>
      </w:r>
      <w:r>
        <w:rPr>
          <w:rFonts w:hint="default" w:ascii="Times New Roman" w:hAnsi="Times New Roman" w:eastAsia="仿宋" w:cs="Times New Roman"/>
          <w:b w:val="0"/>
          <w:bCs/>
          <w:color w:val="000000"/>
          <w:kern w:val="2"/>
          <w:sz w:val="32"/>
          <w:szCs w:val="28"/>
          <w:highlight w:val="none"/>
          <w:shd w:val="clear" w:color="auto" w:fill="auto"/>
        </w:rPr>
        <w:t>年以后）再考虑在惠城区以外片区，结合当地优势再生资源</w:t>
      </w:r>
      <w:r>
        <w:rPr>
          <w:rFonts w:hint="default" w:ascii="Times New Roman" w:hAnsi="Times New Roman" w:eastAsia="仿宋" w:cs="Times New Roman"/>
          <w:b w:val="0"/>
          <w:bCs/>
          <w:color w:val="000000"/>
          <w:kern w:val="2"/>
          <w:sz w:val="32"/>
          <w:szCs w:val="28"/>
          <w:highlight w:val="none"/>
          <w:shd w:val="clear" w:color="auto" w:fill="auto"/>
          <w:lang w:eastAsia="zh-CN"/>
        </w:rPr>
        <w:t>产生量的</w:t>
      </w:r>
      <w:r>
        <w:rPr>
          <w:rFonts w:hint="default" w:ascii="Times New Roman" w:hAnsi="Times New Roman" w:eastAsia="仿宋" w:cs="Times New Roman"/>
          <w:b w:val="0"/>
          <w:bCs/>
          <w:color w:val="000000"/>
          <w:kern w:val="2"/>
          <w:sz w:val="32"/>
          <w:szCs w:val="28"/>
          <w:highlight w:val="none"/>
          <w:shd w:val="clear" w:color="auto" w:fill="auto"/>
        </w:rPr>
        <w:t>情况，设置相应的专业分拣中心。</w:t>
      </w:r>
    </w:p>
    <w:p>
      <w:pPr>
        <w:pStyle w:val="35"/>
        <w:rPr>
          <w:color w:val="000000"/>
          <w:highlight w:val="none"/>
          <w:shd w:val="clear" w:color="auto" w:fill="auto"/>
        </w:rPr>
      </w:pPr>
      <w:r>
        <w:rPr>
          <w:rFonts w:eastAsia="宋体"/>
          <w:color w:val="000000"/>
          <w:highlight w:val="none"/>
          <w:shd w:val="clear" w:color="auto" w:fill="auto"/>
        </w:rPr>
        <w:drawing>
          <wp:inline distT="0" distB="0" distL="114300" distR="114300">
            <wp:extent cx="5619115" cy="3007995"/>
            <wp:effectExtent l="0" t="0" r="635" b="1905"/>
            <wp:docPr id="10" name="图片 10" descr="D:\我的文档\桌面\大件垃圾处理（与中转站合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我的文档\桌面\大件垃圾处理（与中转站合建）.jpg"/>
                    <pic:cNvPicPr>
                      <a:picLocks noChangeAspect="1"/>
                    </pic:cNvPicPr>
                  </pic:nvPicPr>
                  <pic:blipFill>
                    <a:blip r:embed="rId15"/>
                    <a:stretch>
                      <a:fillRect/>
                    </a:stretch>
                  </pic:blipFill>
                  <pic:spPr>
                    <a:xfrm>
                      <a:off x="0" y="0"/>
                      <a:ext cx="5619115" cy="3007995"/>
                    </a:xfrm>
                    <a:prstGeom prst="rect">
                      <a:avLst/>
                    </a:prstGeom>
                    <a:noFill/>
                    <a:ln>
                      <a:noFill/>
                    </a:ln>
                  </pic:spPr>
                </pic:pic>
              </a:graphicData>
            </a:graphic>
          </wp:inline>
        </w:drawing>
      </w:r>
    </w:p>
    <w:p>
      <w:pPr>
        <w:pStyle w:val="35"/>
        <w:ind w:left="2400" w:hanging="2400" w:hangingChars="1000"/>
        <w:jc w:val="center"/>
        <w:rPr>
          <w:rFonts w:eastAsia="仿宋"/>
          <w:b/>
          <w:color w:val="000000"/>
          <w:highlight w:val="none"/>
          <w:shd w:val="clear" w:color="auto" w:fill="auto"/>
        </w:rPr>
      </w:pPr>
      <w:r>
        <w:rPr>
          <w:rFonts w:eastAsia="仿宋"/>
          <w:bCs/>
          <w:color w:val="000000"/>
          <w:highlight w:val="none"/>
          <w:shd w:val="clear" w:color="auto" w:fill="auto"/>
        </w:rPr>
        <w:t>图</w:t>
      </w:r>
      <w:r>
        <w:rPr>
          <w:rFonts w:hint="eastAsia" w:eastAsia="仿宋"/>
          <w:bCs/>
          <w:color w:val="000000"/>
          <w:highlight w:val="none"/>
          <w:shd w:val="clear" w:color="auto" w:fill="auto"/>
          <w:lang w:val="en-US" w:eastAsia="zh-CN"/>
        </w:rPr>
        <w:t>9</w:t>
      </w:r>
      <w:r>
        <w:rPr>
          <w:rFonts w:eastAsia="仿宋"/>
          <w:bCs/>
          <w:color w:val="000000"/>
          <w:highlight w:val="none"/>
          <w:shd w:val="clear" w:color="auto" w:fill="auto"/>
        </w:rPr>
        <w:t xml:space="preserve">  </w:t>
      </w:r>
      <w:r>
        <w:rPr>
          <w:rFonts w:hint="eastAsia" w:eastAsia="仿宋"/>
          <w:bCs/>
          <w:color w:val="000000"/>
          <w:highlight w:val="none"/>
          <w:shd w:val="clear" w:color="auto" w:fill="auto"/>
          <w:lang w:eastAsia="zh-CN"/>
        </w:rPr>
        <w:t>再生资源绿色</w:t>
      </w:r>
      <w:r>
        <w:rPr>
          <w:rFonts w:eastAsia="仿宋"/>
          <w:bCs/>
          <w:color w:val="000000"/>
          <w:highlight w:val="none"/>
          <w:shd w:val="clear" w:color="auto" w:fill="auto"/>
        </w:rPr>
        <w:t>分拣中心示意图</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0"/>
        <w:gridCol w:w="1428"/>
        <w:gridCol w:w="3232"/>
        <w:gridCol w:w="992"/>
        <w:gridCol w:w="1020"/>
        <w:gridCol w:w="1017"/>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8" w:hRule="atLeast"/>
        </w:trPr>
        <w:tc>
          <w:tcPr>
            <w:tcW w:w="256"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序号</w:t>
            </w:r>
          </w:p>
        </w:tc>
        <w:tc>
          <w:tcPr>
            <w:tcW w:w="795"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综合性分拣中心（生活源）</w:t>
            </w:r>
          </w:p>
        </w:tc>
        <w:tc>
          <w:tcPr>
            <w:tcW w:w="1799"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选  址</w:t>
            </w:r>
          </w:p>
        </w:tc>
        <w:tc>
          <w:tcPr>
            <w:tcW w:w="552"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面积</w:t>
            </w:r>
          </w:p>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（万平方米)</w:t>
            </w:r>
          </w:p>
        </w:tc>
        <w:tc>
          <w:tcPr>
            <w:tcW w:w="567"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年分拣能力</w:t>
            </w:r>
          </w:p>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（万吨）</w:t>
            </w:r>
          </w:p>
        </w:tc>
        <w:tc>
          <w:tcPr>
            <w:tcW w:w="566" w:type="pct"/>
            <w:noWrap w:val="0"/>
            <w:vAlign w:val="center"/>
          </w:tcPr>
          <w:p>
            <w:pPr>
              <w:pStyle w:val="45"/>
              <w:widowControl w:val="0"/>
              <w:ind w:firstLine="0"/>
              <w:jc w:val="both"/>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单位面积产能</w:t>
            </w:r>
          </w:p>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t/m2</w:t>
            </w:r>
          </w:p>
        </w:tc>
        <w:tc>
          <w:tcPr>
            <w:tcW w:w="463" w:type="pct"/>
            <w:noWrap w:val="0"/>
            <w:vAlign w:val="center"/>
          </w:tcPr>
          <w:p>
            <w:pPr>
              <w:pStyle w:val="45"/>
              <w:widowControl w:val="0"/>
              <w:ind w:firstLine="0"/>
              <w:rPr>
                <w:rFonts w:hint="default" w:ascii="Times New Roman" w:hAnsi="Times New Roman" w:eastAsia="仿宋" w:cs="Times New Roman"/>
                <w:b/>
                <w:color w:val="000000"/>
                <w:highlight w:val="none"/>
                <w:shd w:val="clear" w:color="auto" w:fill="auto"/>
              </w:rPr>
            </w:pPr>
            <w:r>
              <w:rPr>
                <w:rFonts w:hint="default" w:ascii="Times New Roman" w:hAnsi="Times New Roman" w:eastAsia="仿宋" w:cs="Times New Roman"/>
                <w:b/>
                <w:color w:val="000000"/>
                <w:highlight w:val="none"/>
                <w:shd w:val="clear" w:color="auto" w:fill="auto"/>
              </w:rPr>
              <w:t>规划建成截止年限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惠城区分拣中心（1）</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现惠州市垃圾填埋场北侧大瑶池片区地块内，与大件垃圾处理中心、惠城区园林垃圾处理项目合建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惠城区分拣中心（2）</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根据惠城区垃圾分类实际需求拓展建设</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≥25</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w:t>
            </w:r>
            <w:r>
              <w:rPr>
                <w:rFonts w:hint="eastAsia" w:ascii="Times New Roman" w:hAnsi="Times New Roman" w:eastAsia="仿宋" w:cs="Times New Roman"/>
                <w:color w:val="000000"/>
                <w:kern w:val="0"/>
                <w:szCs w:val="20"/>
                <w:highlight w:val="none"/>
                <w:shd w:val="clear" w:color="auto" w:fill="auto"/>
                <w:lang w:val="en-US" w:eastAsia="zh-CN"/>
              </w:rPr>
              <w:t>8</w:t>
            </w:r>
            <w:r>
              <w:rPr>
                <w:rFonts w:hint="default" w:ascii="Times New Roman" w:hAnsi="Times New Roman" w:eastAsia="仿宋" w:cs="Times New Roman"/>
                <w:color w:val="000000"/>
                <w:kern w:val="0"/>
                <w:szCs w:val="20"/>
                <w:highlight w:val="none"/>
                <w:shd w:val="clear" w:color="auto" w:fil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3</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惠阳区分拣中心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与惠阳区大件垃圾处理中心、新建垃圾转运站合建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4</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大亚湾开</w:t>
            </w:r>
            <w:r>
              <w:rPr>
                <w:rFonts w:hint="default" w:ascii="Times New Roman" w:hAnsi="Times New Roman" w:eastAsia="仿宋" w:cs="Times New Roman"/>
                <w:color w:val="000000"/>
                <w:kern w:val="0"/>
                <w:szCs w:val="20"/>
                <w:highlight w:val="none"/>
                <w:shd w:val="clear" w:color="auto" w:fill="auto"/>
                <w:lang w:eastAsia="zh-CN"/>
              </w:rPr>
              <w:t>发</w:t>
            </w:r>
            <w:r>
              <w:rPr>
                <w:rFonts w:hint="default" w:ascii="Times New Roman" w:hAnsi="Times New Roman" w:eastAsia="仿宋" w:cs="Times New Roman"/>
                <w:color w:val="000000"/>
                <w:kern w:val="0"/>
                <w:szCs w:val="20"/>
                <w:highlight w:val="none"/>
                <w:shd w:val="clear" w:color="auto" w:fill="auto"/>
              </w:rPr>
              <w:t>区分拣中心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与大亚湾区大件垃圾处理中心、新建垃圾转运站合建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5</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仲恺高新区分拣中心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与仲恺高新区大件垃圾处理中心、新建垃圾转运站合建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6</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惠东县分拣中心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与惠东县大件垃圾处理中心、新建垃圾转运站合建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w:t>
            </w:r>
            <w:r>
              <w:rPr>
                <w:rFonts w:hint="eastAsia" w:ascii="Times New Roman" w:hAnsi="Times New Roman" w:eastAsia="仿宋" w:cs="Times New Roman"/>
                <w:color w:val="000000"/>
                <w:kern w:val="0"/>
                <w:szCs w:val="20"/>
                <w:highlight w:val="none"/>
                <w:shd w:val="clear" w:color="auto" w:fill="auto"/>
                <w:lang w:val="en-US" w:eastAsia="zh-CN"/>
              </w:rPr>
              <w:t>8</w:t>
            </w:r>
            <w:r>
              <w:rPr>
                <w:rFonts w:hint="default" w:ascii="Times New Roman" w:hAnsi="Times New Roman" w:eastAsia="仿宋" w:cs="Times New Roman"/>
                <w:color w:val="000000"/>
                <w:kern w:val="0"/>
                <w:szCs w:val="20"/>
                <w:highlight w:val="none"/>
                <w:shd w:val="clear" w:color="auto" w:fil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博罗县分拣中心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与博罗县大件垃圾处理中心、新建垃圾转运站合建建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1-3</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w:t>
            </w:r>
            <w:r>
              <w:rPr>
                <w:rFonts w:hint="eastAsia" w:ascii="Times New Roman" w:hAnsi="Times New Roman" w:eastAsia="仿宋" w:cs="Times New Roman"/>
                <w:color w:val="000000"/>
                <w:kern w:val="0"/>
                <w:szCs w:val="20"/>
                <w:highlight w:val="none"/>
                <w:shd w:val="clear" w:color="auto" w:fill="auto"/>
                <w:lang w:val="en-US" w:eastAsia="zh-CN"/>
              </w:rPr>
              <w:t>8</w:t>
            </w:r>
            <w:r>
              <w:rPr>
                <w:rFonts w:hint="default" w:ascii="Times New Roman" w:hAnsi="Times New Roman" w:eastAsia="仿宋" w:cs="Times New Roman"/>
                <w:color w:val="000000"/>
                <w:kern w:val="0"/>
                <w:szCs w:val="20"/>
                <w:highlight w:val="none"/>
                <w:shd w:val="clear" w:color="auto" w:fil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25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8</w:t>
            </w:r>
          </w:p>
        </w:tc>
        <w:tc>
          <w:tcPr>
            <w:tcW w:w="795"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龙门县分拣中心</w:t>
            </w:r>
          </w:p>
        </w:tc>
        <w:tc>
          <w:tcPr>
            <w:tcW w:w="1799"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与龙门县大件垃圾处理中心、新建垃圾转运站合建</w:t>
            </w:r>
          </w:p>
        </w:tc>
        <w:tc>
          <w:tcPr>
            <w:tcW w:w="552"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0.5</w:t>
            </w:r>
          </w:p>
        </w:tc>
        <w:tc>
          <w:tcPr>
            <w:tcW w:w="567"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≥10</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w:t>
            </w:r>
            <w:r>
              <w:rPr>
                <w:rFonts w:hint="eastAsia" w:ascii="Times New Roman" w:hAnsi="Times New Roman" w:eastAsia="仿宋" w:cs="Times New Roman"/>
                <w:color w:val="000000"/>
                <w:kern w:val="0"/>
                <w:szCs w:val="20"/>
                <w:highlight w:val="none"/>
                <w:shd w:val="clear" w:color="auto" w:fill="auto"/>
                <w:lang w:val="en-US" w:eastAsia="zh-CN"/>
              </w:rPr>
              <w:t>8</w:t>
            </w:r>
            <w:r>
              <w:rPr>
                <w:rFonts w:hint="default" w:ascii="Times New Roman" w:hAnsi="Times New Roman" w:eastAsia="仿宋" w:cs="Times New Roman"/>
                <w:color w:val="000000"/>
                <w:kern w:val="0"/>
                <w:szCs w:val="20"/>
                <w:highlight w:val="none"/>
                <w:shd w:val="clear" w:color="auto" w:fil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3970" w:type="pct"/>
            <w:gridSpan w:val="5"/>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注：生活源可回收物分拣中心要求：厂区面积≥0.5万平方米，年分拣能力≥5万吨</w:t>
            </w:r>
          </w:p>
        </w:tc>
        <w:tc>
          <w:tcPr>
            <w:tcW w:w="566"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≥7.5</w:t>
            </w:r>
          </w:p>
        </w:tc>
        <w:tc>
          <w:tcPr>
            <w:tcW w:w="463" w:type="pct"/>
            <w:noWrap w:val="0"/>
            <w:vAlign w:val="center"/>
          </w:tcPr>
          <w:p>
            <w:pPr>
              <w:widowControl/>
              <w:spacing w:line="300" w:lineRule="exact"/>
              <w:jc w:val="center"/>
              <w:textAlignment w:val="center"/>
              <w:rPr>
                <w:rFonts w:hint="default" w:ascii="Times New Roman" w:hAnsi="Times New Roman" w:eastAsia="仿宋" w:cs="Times New Roman"/>
                <w:color w:val="000000"/>
                <w:kern w:val="0"/>
                <w:szCs w:val="20"/>
                <w:highlight w:val="none"/>
                <w:shd w:val="clear" w:color="auto" w:fill="auto"/>
              </w:rPr>
            </w:pPr>
            <w:r>
              <w:rPr>
                <w:rFonts w:hint="default" w:ascii="Times New Roman" w:hAnsi="Times New Roman" w:eastAsia="仿宋" w:cs="Times New Roman"/>
                <w:color w:val="000000"/>
                <w:kern w:val="0"/>
                <w:szCs w:val="20"/>
                <w:highlight w:val="none"/>
                <w:shd w:val="clear" w:color="auto" w:fill="auto"/>
              </w:rPr>
              <w:t>2025年</w:t>
            </w:r>
          </w:p>
        </w:tc>
      </w:tr>
    </w:tbl>
    <w:p>
      <w:pPr>
        <w:pStyle w:val="35"/>
        <w:ind w:left="2409" w:hanging="2400" w:hangingChars="1000"/>
        <w:jc w:val="center"/>
        <w:rPr>
          <w:rFonts w:eastAsia="仿宋"/>
          <w:b w:val="0"/>
          <w:bCs/>
          <w:color w:val="000000"/>
          <w:highlight w:val="none"/>
          <w:shd w:val="clear" w:color="auto" w:fill="auto"/>
        </w:rPr>
      </w:pPr>
      <w:r>
        <w:rPr>
          <w:rFonts w:eastAsia="仿宋"/>
          <w:b w:val="0"/>
          <w:bCs/>
          <w:color w:val="000000"/>
          <w:highlight w:val="none"/>
          <w:shd w:val="clear" w:color="auto" w:fill="auto"/>
        </w:rPr>
        <w:t>表6 惠州市再生资源综合型分拣中心规划</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63"/>
        <w:gridCol w:w="1800"/>
        <w:gridCol w:w="1530"/>
        <w:gridCol w:w="1350"/>
        <w:gridCol w:w="208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6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序号</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再生资源回收</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专业型分拣中心</w:t>
            </w:r>
          </w:p>
        </w:tc>
        <w:tc>
          <w:tcPr>
            <w:tcW w:w="15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面积</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（万平方米)</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年分拣能力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（万吨）</w:t>
            </w:r>
          </w:p>
        </w:tc>
        <w:tc>
          <w:tcPr>
            <w:tcW w:w="208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单位面积产能</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t/m2</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color w:val="000000"/>
                <w:kern w:val="0"/>
                <w:szCs w:val="21"/>
                <w:highlight w:val="none"/>
                <w:shd w:val="clear" w:color="auto" w:fill="auto"/>
              </w:rPr>
            </w:pPr>
            <w:r>
              <w:rPr>
                <w:rFonts w:hint="eastAsia" w:ascii="仿宋" w:hAnsi="仿宋" w:eastAsia="仿宋" w:cs="仿宋"/>
                <w:b/>
                <w:color w:val="000000"/>
                <w:kern w:val="0"/>
                <w:szCs w:val="21"/>
                <w:highlight w:val="none"/>
                <w:shd w:val="clear" w:color="auto" w:fill="auto"/>
              </w:rPr>
              <w:t>202</w:t>
            </w:r>
            <w:r>
              <w:rPr>
                <w:rFonts w:hint="eastAsia" w:ascii="仿宋" w:hAnsi="仿宋" w:eastAsia="仿宋" w:cs="仿宋"/>
                <w:b/>
                <w:color w:val="000000"/>
                <w:kern w:val="0"/>
                <w:szCs w:val="21"/>
                <w:highlight w:val="none"/>
                <w:shd w:val="clear" w:color="auto" w:fill="auto"/>
                <w:lang w:val="en-US" w:eastAsia="zh-CN"/>
              </w:rPr>
              <w:t>8</w:t>
            </w:r>
            <w:r>
              <w:rPr>
                <w:rFonts w:hint="eastAsia" w:ascii="仿宋" w:hAnsi="仿宋" w:eastAsia="仿宋" w:cs="仿宋"/>
                <w:b/>
                <w:color w:val="000000"/>
                <w:kern w:val="0"/>
                <w:szCs w:val="21"/>
                <w:highlight w:val="none"/>
                <w:shd w:val="clear" w:color="auto" w:fill="auto"/>
              </w:rPr>
              <w:t>年建成分拣中心（个）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废金属</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≥10</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≥5</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  纸</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≥10</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≥10</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3</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废塑料</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≥10</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≥10</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8"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4</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废橡胶</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≥3</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≥3</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3"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5</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废玻璃</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≥3</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≥3</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6</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废旧纺织品</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7</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废木材</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5" w:hRule="atLeast"/>
        </w:trPr>
        <w:tc>
          <w:tcPr>
            <w:tcW w:w="363"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8</w:t>
            </w:r>
          </w:p>
        </w:tc>
        <w:tc>
          <w:tcPr>
            <w:tcW w:w="180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废弃电子产品</w:t>
            </w:r>
          </w:p>
        </w:tc>
        <w:tc>
          <w:tcPr>
            <w:tcW w:w="153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c>
          <w:tcPr>
            <w:tcW w:w="135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2085"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≥2</w:t>
            </w:r>
          </w:p>
        </w:tc>
        <w:tc>
          <w:tcPr>
            <w:tcW w:w="1740" w:type="dxa"/>
            <w:noWrap w:val="0"/>
            <w:vAlign w:val="center"/>
          </w:tcPr>
          <w:p>
            <w:pPr>
              <w:widowControl/>
              <w:spacing w:line="300" w:lineRule="exact"/>
              <w:jc w:val="center"/>
              <w:textAlignment w:val="center"/>
              <w:rPr>
                <w:rFonts w:hint="eastAsia" w:ascii="仿宋" w:hAnsi="仿宋" w:eastAsia="仿宋" w:cs="仿宋"/>
                <w:color w:val="000000"/>
                <w:kern w:val="0"/>
                <w:szCs w:val="20"/>
                <w:highlight w:val="none"/>
                <w:shd w:val="clear" w:color="auto" w:fill="auto"/>
              </w:rPr>
            </w:pPr>
            <w:r>
              <w:rPr>
                <w:rFonts w:hint="eastAsia" w:ascii="仿宋" w:hAnsi="仿宋" w:eastAsia="仿宋" w:cs="仿宋"/>
                <w:color w:val="000000"/>
                <w:kern w:val="0"/>
                <w:szCs w:val="20"/>
                <w:highlight w:val="none"/>
                <w:shd w:val="clear" w:color="auto" w:fill="auto"/>
              </w:rPr>
              <w:t>1</w:t>
            </w:r>
          </w:p>
        </w:tc>
      </w:tr>
    </w:tbl>
    <w:p>
      <w:pPr>
        <w:pStyle w:val="35"/>
        <w:ind w:left="2409" w:hanging="2400" w:hangingChars="1000"/>
        <w:jc w:val="center"/>
        <w:rPr>
          <w:rFonts w:eastAsia="仿宋"/>
          <w:bCs/>
          <w:color w:val="000000"/>
          <w:kern w:val="0"/>
          <w:sz w:val="24"/>
          <w:highlight w:val="none"/>
          <w:shd w:val="clear" w:color="auto" w:fill="auto"/>
        </w:rPr>
      </w:pPr>
      <w:r>
        <w:rPr>
          <w:rFonts w:eastAsia="仿宋"/>
          <w:b w:val="0"/>
          <w:bCs/>
          <w:color w:val="000000"/>
          <w:highlight w:val="none"/>
          <w:shd w:val="clear" w:color="auto" w:fill="auto"/>
        </w:rPr>
        <w:t>表7 惠州市再生资源专业型分拣中心规划（惠城区）</w:t>
      </w:r>
    </w:p>
    <w:p>
      <w:pPr>
        <w:pStyle w:val="47"/>
        <w:numPr>
          <w:ilvl w:val="0"/>
          <w:numId w:val="0"/>
        </w:numPr>
        <w:spacing w:before="78" w:beforeLines="25" w:after="78" w:afterLines="25" w:line="520" w:lineRule="exact"/>
        <w:ind w:firstLine="0" w:firstLineChars="0"/>
        <w:rPr>
          <w:rFonts w:hint="eastAsia" w:ascii="方正楷体_GBK" w:hAnsi="方正楷体_GBK" w:eastAsia="方正楷体_GBK" w:cs="方正楷体_GBK"/>
          <w:bCs/>
          <w:color w:val="000000"/>
          <w:kern w:val="0"/>
          <w:sz w:val="24"/>
          <w:highlight w:val="none"/>
          <w:shd w:val="clear" w:color="auto" w:fill="auto"/>
        </w:rPr>
      </w:pPr>
      <w:r>
        <w:rPr>
          <w:rFonts w:hint="eastAsia" w:ascii="方正楷体_GBK" w:hAnsi="方正楷体_GBK" w:eastAsia="方正楷体_GBK" w:cs="方正楷体_GBK"/>
          <w:bCs/>
          <w:color w:val="000000"/>
          <w:kern w:val="0"/>
          <w:sz w:val="24"/>
          <w:highlight w:val="none"/>
          <w:shd w:val="clear" w:color="auto" w:fill="auto"/>
        </w:rPr>
        <w:t>注：从事废旧纺织品回收的，应按照《废旧纺织品回收技术规范》有关要求进行规范回收。从事废弃电器电子产品回收的，要按照《废弃电器电子产品回收规范》有关要求进行规范回收，不得非法擅自拆解废弃电器电子产品，要交售给具有废弃电器电子产品处理资质的企业进行规范处理。</w:t>
      </w:r>
    </w:p>
    <w:p>
      <w:pPr>
        <w:pStyle w:val="4"/>
        <w:keepNext w:val="0"/>
        <w:keepLines w:val="0"/>
        <w:pageBreakBefore w:val="0"/>
        <w:widowControl w:val="0"/>
        <w:kinsoku/>
        <w:wordWrap/>
        <w:overflowPunct/>
        <w:topLinePunct w:val="0"/>
        <w:autoSpaceDE/>
        <w:autoSpaceDN/>
        <w:bidi w:val="0"/>
        <w:spacing w:line="560" w:lineRule="exact"/>
        <w:ind w:firstLine="643"/>
        <w:jc w:val="both"/>
        <w:textAlignment w:val="auto"/>
        <w:outlineLvl w:val="1"/>
        <w:rPr>
          <w:rFonts w:hint="eastAsia" w:ascii="楷体" w:hAnsi="楷体" w:eastAsia="楷体" w:cs="楷体"/>
          <w:b w:val="0"/>
          <w:bCs w:val="0"/>
          <w:kern w:val="2"/>
          <w:sz w:val="32"/>
          <w:szCs w:val="24"/>
          <w:highlight w:val="none"/>
          <w:shd w:val="clear" w:color="auto" w:fill="auto"/>
          <w:lang w:eastAsia="zh-CN"/>
        </w:rPr>
      </w:pPr>
      <w:bookmarkStart w:id="44" w:name="_Toc1289708779"/>
      <w:bookmarkStart w:id="45" w:name="_Toc20763"/>
      <w:r>
        <w:rPr>
          <w:rFonts w:hint="eastAsia" w:ascii="楷体" w:hAnsi="楷体" w:eastAsia="楷体" w:cs="楷体"/>
          <w:b w:val="0"/>
          <w:bCs w:val="0"/>
          <w:kern w:val="2"/>
          <w:sz w:val="32"/>
          <w:szCs w:val="24"/>
          <w:highlight w:val="none"/>
          <w:shd w:val="clear" w:color="auto" w:fill="auto"/>
        </w:rPr>
        <w:t>（三）回收网点建设要求</w:t>
      </w:r>
      <w:bookmarkEnd w:id="44"/>
      <w:bookmarkEnd w:id="45"/>
      <w:r>
        <w:rPr>
          <w:rFonts w:hint="eastAsia" w:ascii="楷体" w:hAnsi="楷体" w:eastAsia="楷体" w:cs="楷体"/>
          <w:b w:val="0"/>
          <w:bCs w:val="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1" w:firstLineChars="0"/>
        <w:jc w:val="both"/>
        <w:textAlignment w:val="auto"/>
        <w:outlineLvl w:val="2"/>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 w:val="0"/>
          <w:bCs/>
          <w:color w:val="000000"/>
          <w:kern w:val="0"/>
          <w:sz w:val="32"/>
          <w:szCs w:val="28"/>
          <w:highlight w:val="none"/>
          <w:shd w:val="clear" w:color="auto" w:fill="auto"/>
        </w:rPr>
        <w:t>1</w:t>
      </w:r>
      <w:r>
        <w:rPr>
          <w:rFonts w:hint="default" w:ascii="Times New Roman" w:hAnsi="Times New Roman" w:eastAsia="仿宋" w:cs="Times New Roman"/>
          <w:b w:val="0"/>
          <w:bCs/>
          <w:color w:val="000000"/>
          <w:kern w:val="0"/>
          <w:sz w:val="32"/>
          <w:szCs w:val="28"/>
          <w:highlight w:val="none"/>
          <w:shd w:val="clear" w:color="auto" w:fill="auto"/>
          <w:lang w:eastAsia="zh-CN"/>
        </w:rPr>
        <w:t>.</w:t>
      </w:r>
      <w:r>
        <w:rPr>
          <w:rFonts w:hint="eastAsia" w:ascii="Times New Roman" w:hAnsi="Times New Roman" w:eastAsia="仿宋" w:cs="Times New Roman"/>
          <w:b w:val="0"/>
          <w:bCs/>
          <w:color w:val="000000"/>
          <w:kern w:val="0"/>
          <w:sz w:val="32"/>
          <w:szCs w:val="28"/>
          <w:highlight w:val="none"/>
          <w:shd w:val="clear" w:color="auto" w:fill="auto"/>
          <w:lang w:val="en-US" w:eastAsia="zh-CN"/>
        </w:rPr>
        <w:t xml:space="preserve"> </w:t>
      </w:r>
      <w:r>
        <w:rPr>
          <w:rFonts w:hint="default" w:ascii="Times New Roman" w:hAnsi="Times New Roman" w:eastAsia="仿宋" w:cs="Times New Roman"/>
          <w:b w:val="0"/>
          <w:bCs/>
          <w:color w:val="000000"/>
          <w:kern w:val="0"/>
          <w:sz w:val="32"/>
          <w:szCs w:val="28"/>
          <w:highlight w:val="none"/>
          <w:shd w:val="clear" w:color="auto" w:fill="auto"/>
        </w:rPr>
        <w:t>选址要求</w:t>
      </w:r>
      <w:r>
        <w:rPr>
          <w:rFonts w:hint="eastAsia" w:ascii="Times New Roman" w:hAnsi="Times New Roman" w:eastAsia="仿宋" w:cs="Times New Roman"/>
          <w:b w:val="0"/>
          <w:bCs/>
          <w:color w:val="000000"/>
          <w:kern w:val="0"/>
          <w:sz w:val="32"/>
          <w:szCs w:val="28"/>
          <w:highlight w:val="none"/>
          <w:shd w:val="clear" w:color="auto" w:fill="auto"/>
          <w:lang w:eastAsia="zh-CN"/>
        </w:rPr>
        <w:t>。</w:t>
      </w:r>
      <w:r>
        <w:rPr>
          <w:rFonts w:hint="default" w:ascii="Times New Roman" w:hAnsi="Times New Roman" w:eastAsia="仿宋" w:cs="Times New Roman"/>
          <w:bCs/>
          <w:kern w:val="0"/>
          <w:sz w:val="32"/>
          <w:szCs w:val="32"/>
          <w:highlight w:val="none"/>
          <w:shd w:val="clear" w:color="auto" w:fill="auto"/>
        </w:rPr>
        <w:t>再生资源回收网点选址用地应符合土地利用总体规划、城市整体规划及管理办法相关规定，综合考虑、人口、交通运输、分拣站用地需求、日处理规模、对周边环境影响等多方面因素，以及分拣原料构成情况进行统一布局。回收网点选择应符合各县（区）再生资源回收网点设置规划及</w:t>
      </w:r>
      <w:r>
        <w:rPr>
          <w:rFonts w:hint="eastAsia" w:ascii="Times New Roman" w:hAnsi="Times New Roman" w:eastAsia="仿宋" w:cs="Times New Roman"/>
          <w:bCs/>
          <w:kern w:val="0"/>
          <w:sz w:val="32"/>
          <w:szCs w:val="32"/>
          <w:highlight w:val="none"/>
          <w:shd w:val="clear" w:color="auto" w:fill="auto"/>
          <w:lang w:eastAsia="zh-CN"/>
        </w:rPr>
        <w:t>“</w:t>
      </w:r>
      <w:r>
        <w:rPr>
          <w:rFonts w:hint="default" w:ascii="Times New Roman" w:hAnsi="Times New Roman" w:eastAsia="仿宋" w:cs="Times New Roman"/>
          <w:bCs/>
          <w:kern w:val="0"/>
          <w:sz w:val="32"/>
          <w:szCs w:val="32"/>
          <w:highlight w:val="none"/>
          <w:shd w:val="clear" w:color="auto" w:fill="auto"/>
        </w:rPr>
        <w:t>两网融合</w:t>
      </w:r>
      <w:r>
        <w:rPr>
          <w:rFonts w:hint="eastAsia" w:ascii="Times New Roman" w:hAnsi="Times New Roman" w:eastAsia="仿宋" w:cs="Times New Roman"/>
          <w:bCs/>
          <w:kern w:val="0"/>
          <w:sz w:val="32"/>
          <w:szCs w:val="32"/>
          <w:highlight w:val="none"/>
          <w:shd w:val="clear" w:color="auto" w:fill="auto"/>
          <w:lang w:eastAsia="zh-CN"/>
        </w:rPr>
        <w:t>”</w:t>
      </w:r>
      <w:r>
        <w:rPr>
          <w:rFonts w:hint="default" w:ascii="Times New Roman" w:hAnsi="Times New Roman" w:eastAsia="仿宋" w:cs="Times New Roman"/>
          <w:bCs/>
          <w:kern w:val="0"/>
          <w:sz w:val="32"/>
          <w:szCs w:val="32"/>
          <w:highlight w:val="none"/>
          <w:shd w:val="clear" w:color="auto" w:fill="auto"/>
        </w:rPr>
        <w:t>的相关要求。</w:t>
      </w:r>
      <w:r>
        <w:rPr>
          <w:rFonts w:hint="default" w:ascii="Times New Roman" w:hAnsi="Times New Roman" w:eastAsia="仿宋" w:cs="Times New Roman"/>
          <w:sz w:val="32"/>
          <w:szCs w:val="32"/>
          <w:highlight w:val="none"/>
          <w:shd w:val="clear" w:color="auto" w:fill="auto"/>
        </w:rPr>
        <w:t>下列情况不得设立回收站点：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（1）城市道路两侧100米范围内，国道、省道、高速公路两侧200米范围内；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（2）河道、水利工程</w:t>
      </w:r>
      <w:r>
        <w:rPr>
          <w:rFonts w:hint="default" w:ascii="Times New Roman" w:hAnsi="Times New Roman" w:eastAsia="仿宋" w:cs="Times New Roman"/>
          <w:bCs/>
          <w:color w:val="000000"/>
          <w:kern w:val="0"/>
          <w:sz w:val="32"/>
          <w:szCs w:val="32"/>
          <w:highlight w:val="none"/>
          <w:shd w:val="clear" w:color="auto" w:fill="auto"/>
        </w:rPr>
        <w:t>管理（保护）</w:t>
      </w:r>
      <w:r>
        <w:rPr>
          <w:rFonts w:hint="default" w:ascii="Times New Roman" w:hAnsi="Times New Roman" w:eastAsia="仿宋" w:cs="Times New Roman"/>
          <w:bCs/>
          <w:kern w:val="0"/>
          <w:sz w:val="32"/>
          <w:szCs w:val="32"/>
          <w:highlight w:val="none"/>
          <w:shd w:val="clear" w:color="auto" w:fill="auto"/>
        </w:rPr>
        <w:t>范围内，西枝江流域依法划定的饮用水水源准保护区内；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（3）旅游景点、居民楼内；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（4）医院、文物保护单位、公园、铁路、港口、军事禁区和基本农田保护区范围内及周边距离200米区域；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（5）危险品储存点周边500米以内以及高压走廊（包括220千伏电力高压线的边导线垂直投影向外15米内、500千伏电力高压线的边导线垂直投影向外20米内）；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（6）党政机关、学校和幼儿园附近。</w:t>
      </w:r>
    </w:p>
    <w:p>
      <w:pPr>
        <w:keepNext w:val="0"/>
        <w:keepLines w:val="0"/>
        <w:pageBreakBefore w:val="0"/>
        <w:widowControl w:val="0"/>
        <w:kinsoku/>
        <w:wordWrap/>
        <w:overflowPunct/>
        <w:topLinePunct w:val="0"/>
        <w:autoSpaceDE/>
        <w:autoSpaceDN/>
        <w:bidi w:val="0"/>
        <w:spacing w:before="0" w:beforeLines="0" w:after="0" w:afterLines="0" w:line="560" w:lineRule="exact"/>
        <w:ind w:firstLine="601"/>
        <w:jc w:val="both"/>
        <w:textAlignment w:val="auto"/>
        <w:outlineLvl w:val="2"/>
        <w:rPr>
          <w:rFonts w:hint="eastAsia" w:ascii="Times New Roman" w:hAnsi="Times New Roman" w:eastAsia="仿宋" w:cs="Times New Roman"/>
          <w:b w:val="0"/>
          <w:bCs/>
          <w:color w:val="000000"/>
          <w:kern w:val="0"/>
          <w:sz w:val="32"/>
          <w:szCs w:val="28"/>
          <w:highlight w:val="none"/>
          <w:shd w:val="clear" w:color="auto" w:fill="auto"/>
          <w:lang w:eastAsia="zh-CN"/>
        </w:rPr>
      </w:pPr>
      <w:r>
        <w:rPr>
          <w:rFonts w:hint="default" w:ascii="Times New Roman" w:hAnsi="Times New Roman" w:eastAsia="仿宋" w:cs="Times New Roman"/>
          <w:b w:val="0"/>
          <w:bCs/>
          <w:color w:val="000000"/>
          <w:kern w:val="0"/>
          <w:sz w:val="32"/>
          <w:szCs w:val="28"/>
          <w:highlight w:val="none"/>
          <w:shd w:val="clear" w:color="auto" w:fill="auto"/>
        </w:rPr>
        <w:t>2</w:t>
      </w:r>
      <w:r>
        <w:rPr>
          <w:rFonts w:hint="default" w:ascii="Times New Roman" w:hAnsi="Times New Roman" w:eastAsia="仿宋" w:cs="Times New Roman"/>
          <w:b w:val="0"/>
          <w:bCs/>
          <w:color w:val="000000"/>
          <w:kern w:val="0"/>
          <w:sz w:val="32"/>
          <w:szCs w:val="28"/>
          <w:highlight w:val="none"/>
          <w:shd w:val="clear" w:color="auto" w:fill="auto"/>
          <w:lang w:eastAsia="zh-CN"/>
        </w:rPr>
        <w:t>.</w:t>
      </w:r>
      <w:r>
        <w:rPr>
          <w:rFonts w:hint="eastAsia" w:ascii="Times New Roman" w:hAnsi="Times New Roman" w:eastAsia="仿宋" w:cs="Times New Roman"/>
          <w:b w:val="0"/>
          <w:bCs/>
          <w:color w:val="000000"/>
          <w:kern w:val="0"/>
          <w:sz w:val="32"/>
          <w:szCs w:val="28"/>
          <w:highlight w:val="none"/>
          <w:shd w:val="clear" w:color="auto" w:fill="auto"/>
          <w:lang w:val="en-US" w:eastAsia="zh-CN"/>
        </w:rPr>
        <w:t xml:space="preserve"> </w:t>
      </w:r>
      <w:r>
        <w:rPr>
          <w:rFonts w:hint="default" w:ascii="Times New Roman" w:hAnsi="Times New Roman" w:eastAsia="仿宋" w:cs="Times New Roman"/>
          <w:b w:val="0"/>
          <w:bCs/>
          <w:color w:val="000000"/>
          <w:kern w:val="0"/>
          <w:sz w:val="32"/>
          <w:szCs w:val="28"/>
          <w:highlight w:val="none"/>
          <w:shd w:val="clear" w:color="auto" w:fill="auto"/>
        </w:rPr>
        <w:t>建筑设施</w:t>
      </w:r>
      <w:r>
        <w:rPr>
          <w:rFonts w:hint="eastAsia" w:ascii="Times New Roman" w:hAnsi="Times New Roman" w:eastAsia="仿宋" w:cs="Times New Roman"/>
          <w:b w:val="0"/>
          <w:bCs/>
          <w:color w:val="000000"/>
          <w:kern w:val="0"/>
          <w:sz w:val="32"/>
          <w:szCs w:val="28"/>
          <w:highlight w:val="none"/>
          <w:shd w:val="clear" w:color="auto" w:fill="auto"/>
          <w:lang w:eastAsia="zh-CN"/>
        </w:rPr>
        <w:t>。</w:t>
      </w:r>
    </w:p>
    <w:p>
      <w:pPr>
        <w:keepNext w:val="0"/>
        <w:keepLines w:val="0"/>
        <w:pageBreakBefore w:val="0"/>
        <w:widowControl w:val="0"/>
        <w:tabs>
          <w:tab w:val="left" w:pos="59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kern w:val="2"/>
          <w:sz w:val="32"/>
          <w:szCs w:val="32"/>
          <w:highlight w:val="none"/>
          <w:shd w:val="clear" w:color="auto" w:fill="auto"/>
          <w:vertAlign w:val="baseline"/>
          <w:lang w:val="en-US" w:eastAsia="zh-CN" w:bidi="ar-SA"/>
        </w:rPr>
      </w:pPr>
      <w:r>
        <w:rPr>
          <w:rFonts w:hint="default" w:ascii="Times New Roman" w:hAnsi="Times New Roman" w:eastAsia="仿宋" w:cs="Times New Roman"/>
          <w:bCs/>
          <w:kern w:val="0"/>
          <w:sz w:val="32"/>
          <w:szCs w:val="32"/>
          <w:highlight w:val="none"/>
          <w:shd w:val="clear" w:color="auto" w:fill="auto"/>
        </w:rPr>
        <w:t>（1）回收网点场所建筑、区域布局及设施设备应符合国家的有关建设标准要求和消防、生态环境、城管、应急等部门的相关规定。</w:t>
      </w:r>
      <w:r>
        <w:rPr>
          <w:rFonts w:hint="default" w:ascii="Times New Roman" w:hAnsi="Times New Roman" w:eastAsia="仿宋" w:cs="Times New Roman"/>
          <w:bCs/>
          <w:kern w:val="0"/>
          <w:sz w:val="32"/>
          <w:szCs w:val="32"/>
          <w:highlight w:val="none"/>
          <w:shd w:val="clear" w:color="auto" w:fill="auto"/>
          <w:lang w:eastAsia="zh-CN"/>
        </w:rPr>
        <w:t>回收网点</w:t>
      </w:r>
      <w:r>
        <w:rPr>
          <w:rFonts w:hint="default" w:ascii="Times New Roman" w:hAnsi="Times New Roman" w:eastAsia="仿宋" w:cs="Times New Roman"/>
          <w:bCs/>
          <w:kern w:val="0"/>
          <w:sz w:val="32"/>
          <w:szCs w:val="32"/>
          <w:highlight w:val="none"/>
          <w:shd w:val="clear" w:color="auto" w:fill="auto"/>
        </w:rPr>
        <w:t>场所</w:t>
      </w:r>
      <w:r>
        <w:rPr>
          <w:rFonts w:hint="default" w:ascii="Times New Roman" w:hAnsi="Times New Roman" w:eastAsia="仿宋" w:cs="Times New Roman"/>
          <w:bCs/>
          <w:kern w:val="0"/>
          <w:sz w:val="32"/>
          <w:szCs w:val="32"/>
          <w:highlight w:val="none"/>
          <w:shd w:val="clear" w:color="auto" w:fill="auto"/>
          <w:lang w:eastAsia="zh-CN"/>
        </w:rPr>
        <w:t>需按消防安全要求</w:t>
      </w:r>
      <w:r>
        <w:rPr>
          <w:rFonts w:hint="default" w:ascii="Times New Roman" w:hAnsi="Times New Roman" w:eastAsia="仿宋" w:cs="Times New Roman"/>
          <w:kern w:val="2"/>
          <w:sz w:val="32"/>
          <w:szCs w:val="32"/>
          <w:highlight w:val="none"/>
          <w:shd w:val="clear" w:color="auto" w:fill="auto"/>
          <w:vertAlign w:val="baseline"/>
          <w:lang w:val="en-US" w:eastAsia="zh-CN" w:bidi="ar-SA"/>
        </w:rPr>
        <w:t>配备灭火器、消火栓、自动喷水灭火系统等消防设施、设备。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（2）配备与回收规模和工艺相适应，符合相关标准和要求的设施装备。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宋体" w:cs="Times New Roman"/>
          <w:bCs/>
          <w:kern w:val="0"/>
          <w:sz w:val="32"/>
          <w:szCs w:val="32"/>
          <w:highlight w:val="yellow"/>
          <w:shd w:val="clear" w:color="auto" w:fill="auto"/>
          <w:lang w:val="en-US" w:eastAsia="zh-CN"/>
        </w:rPr>
      </w:pPr>
      <w:r>
        <w:rPr>
          <w:rFonts w:hint="default" w:ascii="Times New Roman" w:hAnsi="Times New Roman" w:eastAsia="仿宋" w:cs="Times New Roman"/>
          <w:bCs/>
          <w:kern w:val="0"/>
          <w:sz w:val="32"/>
          <w:szCs w:val="32"/>
          <w:highlight w:val="none"/>
          <w:shd w:val="clear" w:color="auto" w:fill="auto"/>
        </w:rPr>
        <w:t>（3）应有液体截流、收集、泄水等设备设施，具有防止固体废弃物溢散、散发恶臭、污染地面及影响周边环境的环保措施。</w:t>
      </w:r>
      <w:r>
        <w:rPr>
          <w:rFonts w:hint="eastAsia" w:ascii="仿宋" w:hAnsi="仿宋" w:eastAsia="仿宋" w:cs="仿宋"/>
          <w:bCs/>
          <w:kern w:val="0"/>
          <w:sz w:val="32"/>
          <w:szCs w:val="32"/>
          <w:highlight w:val="none"/>
          <w:shd w:val="clear" w:color="auto" w:fill="auto"/>
          <w:lang w:eastAsia="zh-CN"/>
        </w:rPr>
        <w:t>视觉上应有绿植遮挡，</w:t>
      </w:r>
      <w:r>
        <w:rPr>
          <w:rFonts w:hint="eastAsia" w:ascii="仿宋" w:hAnsi="仿宋" w:eastAsia="仿宋" w:cs="仿宋"/>
          <w:sz w:val="32"/>
          <w:szCs w:val="32"/>
          <w:highlight w:val="none"/>
          <w:shd w:val="clear" w:color="auto" w:fill="auto"/>
        </w:rPr>
        <w:t>因地制宜</w:t>
      </w:r>
      <w:r>
        <w:rPr>
          <w:rFonts w:hint="eastAsia" w:ascii="仿宋" w:hAnsi="仿宋" w:eastAsia="仿宋" w:cs="仿宋"/>
          <w:sz w:val="32"/>
          <w:szCs w:val="32"/>
          <w:highlight w:val="none"/>
          <w:shd w:val="clear" w:color="auto" w:fill="auto"/>
          <w:lang w:eastAsia="zh-CN"/>
        </w:rPr>
        <w:t>种植与周边环境相适应的绿植，构建</w:t>
      </w:r>
      <w:r>
        <w:rPr>
          <w:rFonts w:hint="eastAsia" w:ascii="仿宋" w:hAnsi="仿宋" w:eastAsia="仿宋" w:cs="仿宋"/>
          <w:sz w:val="32"/>
          <w:szCs w:val="32"/>
          <w:highlight w:val="none"/>
          <w:shd w:val="clear" w:color="auto" w:fill="auto"/>
        </w:rPr>
        <w:t>高品质城乡绿美生态环境</w:t>
      </w:r>
      <w:r>
        <w:rPr>
          <w:rFonts w:hint="eastAsia" w:ascii="仿宋" w:hAnsi="仿宋" w:eastAsia="仿宋" w:cs="仿宋"/>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（4）配备电子磅和电子监控系统，并按国家相关要求进行计量检定。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（5）再生资源回收运输车辆，在经营主体内实行统一车型、统一外观。</w:t>
      </w:r>
    </w:p>
    <w:p>
      <w:pPr>
        <w:keepNext w:val="0"/>
        <w:keepLines w:val="0"/>
        <w:pageBreakBefore w:val="0"/>
        <w:widowControl w:val="0"/>
        <w:kinsoku/>
        <w:wordWrap/>
        <w:overflowPunct/>
        <w:topLinePunct w:val="0"/>
        <w:autoSpaceDE/>
        <w:autoSpaceDN/>
        <w:bidi w:val="0"/>
        <w:spacing w:before="0" w:beforeLines="0" w:after="0" w:afterLines="0" w:line="560" w:lineRule="exact"/>
        <w:ind w:firstLine="601"/>
        <w:jc w:val="both"/>
        <w:textAlignment w:val="auto"/>
        <w:outlineLvl w:val="2"/>
        <w:rPr>
          <w:rFonts w:hint="eastAsia" w:ascii="Times New Roman" w:hAnsi="Times New Roman" w:eastAsia="仿宋" w:cs="Times New Roman"/>
          <w:b w:val="0"/>
          <w:bCs/>
          <w:color w:val="000000"/>
          <w:kern w:val="0"/>
          <w:sz w:val="32"/>
          <w:szCs w:val="28"/>
          <w:highlight w:val="none"/>
          <w:shd w:val="clear" w:color="auto" w:fill="auto"/>
          <w:lang w:eastAsia="zh-CN"/>
        </w:rPr>
      </w:pPr>
      <w:r>
        <w:rPr>
          <w:rFonts w:hint="default" w:ascii="Times New Roman" w:hAnsi="Times New Roman" w:eastAsia="仿宋" w:cs="Times New Roman"/>
          <w:b w:val="0"/>
          <w:bCs/>
          <w:color w:val="000000"/>
          <w:kern w:val="0"/>
          <w:sz w:val="32"/>
          <w:szCs w:val="28"/>
          <w:highlight w:val="none"/>
          <w:shd w:val="clear" w:color="auto" w:fill="auto"/>
        </w:rPr>
        <w:t>3</w:t>
      </w:r>
      <w:r>
        <w:rPr>
          <w:rFonts w:hint="default" w:ascii="Times New Roman" w:hAnsi="Times New Roman" w:eastAsia="仿宋" w:cs="Times New Roman"/>
          <w:b w:val="0"/>
          <w:bCs/>
          <w:color w:val="000000"/>
          <w:kern w:val="0"/>
          <w:sz w:val="32"/>
          <w:szCs w:val="28"/>
          <w:highlight w:val="none"/>
          <w:shd w:val="clear" w:color="auto" w:fill="auto"/>
          <w:lang w:val="en-US" w:eastAsia="zh-CN"/>
        </w:rPr>
        <w:t>.</w:t>
      </w:r>
      <w:r>
        <w:rPr>
          <w:rFonts w:hint="eastAsia" w:ascii="Times New Roman" w:hAnsi="Times New Roman" w:eastAsia="仿宋" w:cs="Times New Roman"/>
          <w:b w:val="0"/>
          <w:bCs/>
          <w:color w:val="000000"/>
          <w:kern w:val="0"/>
          <w:sz w:val="32"/>
          <w:szCs w:val="28"/>
          <w:highlight w:val="none"/>
          <w:shd w:val="clear" w:color="auto" w:fill="auto"/>
          <w:lang w:val="en-US" w:eastAsia="zh-CN"/>
        </w:rPr>
        <w:t xml:space="preserve"> </w:t>
      </w:r>
      <w:r>
        <w:rPr>
          <w:rFonts w:hint="default" w:ascii="Times New Roman" w:hAnsi="Times New Roman" w:eastAsia="仿宋" w:cs="Times New Roman"/>
          <w:b w:val="0"/>
          <w:bCs/>
          <w:color w:val="000000"/>
          <w:kern w:val="0"/>
          <w:sz w:val="32"/>
          <w:szCs w:val="28"/>
          <w:highlight w:val="none"/>
          <w:shd w:val="clear" w:color="auto" w:fill="auto"/>
        </w:rPr>
        <w:t>经营要求</w:t>
      </w:r>
      <w:r>
        <w:rPr>
          <w:rFonts w:hint="eastAsia" w:ascii="Times New Roman" w:hAnsi="Times New Roman" w:eastAsia="仿宋" w:cs="Times New Roman"/>
          <w:b w:val="0"/>
          <w:bCs/>
          <w:color w:val="000000"/>
          <w:kern w:val="0"/>
          <w:sz w:val="32"/>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（1）遵循国家土地、建筑、环境保护、劳动保护、消防安全、社会治安、道路交通管理等方面的有关法律、法规、政策。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2）不得回收以下废弃物：医疗废物；枪支、弹药；易燃、易爆、剧毒、放射性等各种危险品及其容器，以及其他列入国家危险废物名录或者根据国家规定的危险废物鉴别标准和鉴别方法认定的具有危险特性的废物；无合法来源证明的铁路、公路、石油、电力、通讯、矿山、水利、测量和城市公用设施、消防设施等专用器材；国家规定的历史文物；公安机关通报寻查的涉案物品或者有涉案嫌疑的物品；标有秘密、机密、绝密字样的国家秘密载体和办公自动化设备等法律、法规规定禁止回收的物品。</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lang w:val="en-US" w:eastAsia="zh-CN"/>
        </w:rPr>
        <w:t xml:space="preserve">    </w:t>
      </w:r>
      <w:r>
        <w:rPr>
          <w:rFonts w:hint="default" w:ascii="Times New Roman" w:hAnsi="Times New Roman" w:eastAsia="仿宋" w:cs="Times New Roman"/>
          <w:bCs/>
          <w:kern w:val="0"/>
          <w:sz w:val="32"/>
          <w:szCs w:val="32"/>
          <w:highlight w:val="none"/>
          <w:shd w:val="clear" w:color="auto" w:fill="auto"/>
        </w:rPr>
        <w:t>（3）对于分拣出来的不可回收物，应当按照《中华人民共和国固体废物污染环境防治法》等规定进行分类投放，交由符合环境保护要求的企业利用或处置。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（4）建立台</w:t>
      </w:r>
      <w:r>
        <w:rPr>
          <w:rFonts w:hint="eastAsia" w:eastAsia="仿宋" w:cs="Times New Roman"/>
          <w:bCs/>
          <w:kern w:val="0"/>
          <w:sz w:val="32"/>
          <w:szCs w:val="32"/>
          <w:highlight w:val="none"/>
          <w:shd w:val="clear" w:color="auto" w:fill="auto"/>
          <w:lang w:eastAsia="zh-CN"/>
        </w:rPr>
        <w:t>账</w:t>
      </w:r>
      <w:bookmarkStart w:id="76" w:name="_GoBack"/>
      <w:bookmarkEnd w:id="76"/>
      <w:r>
        <w:rPr>
          <w:rFonts w:hint="default" w:ascii="Times New Roman" w:hAnsi="Times New Roman" w:eastAsia="仿宋" w:cs="Times New Roman"/>
          <w:bCs/>
          <w:kern w:val="0"/>
          <w:sz w:val="32"/>
          <w:szCs w:val="32"/>
          <w:highlight w:val="none"/>
          <w:shd w:val="clear" w:color="auto" w:fill="auto"/>
        </w:rPr>
        <w:t>登记制度，对回收的再生资源品种、来源、去向、质量、数量、规格、新旧程度、入出库时间等信息如实进行登记，形成月度台账，相关记录保存3年以上，生产区域监控记录是保存3个月以上。回收生产性废旧金属时，出售人为单位的，应当查验出售单位开具的证明，并如实登记出售单位名称、经办人姓名、住址、身份证号码；出售人为个人的，应当如实登记出售人的姓名、住址、身份证号码。中转站和分拣中心应纳入再生资源回收监测统计系统，并按要求向相关部门上报统计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（5）分拣中心参照GB/T 19001、GB/T 24001等标准的要求建立企业内部管理体系，安全生产、劳动保护和职业危害防治条件符合GBZ1的相关标准。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（6）大型加工设备操作人员和质量检验等关键岗位人员按照国家相关行业准入条件进行培训和管理。特种设备操作人员须取得相关部门或机构颁发的对应工种职业技能证书。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kern w:val="0"/>
          <w:sz w:val="32"/>
          <w:szCs w:val="32"/>
          <w:highlight w:val="none"/>
          <w:shd w:val="clear" w:color="auto" w:fill="auto"/>
        </w:rPr>
      </w:pPr>
      <w:r>
        <w:rPr>
          <w:rFonts w:hint="default" w:ascii="Times New Roman" w:hAnsi="Times New Roman" w:eastAsia="仿宋" w:cs="Times New Roman"/>
          <w:bCs/>
          <w:kern w:val="0"/>
          <w:sz w:val="32"/>
          <w:szCs w:val="32"/>
          <w:highlight w:val="none"/>
          <w:shd w:val="clear" w:color="auto" w:fill="auto"/>
        </w:rPr>
        <w:t>（7）制定完善的岗位操作守则、工作流程、财务管理制度等内部制度。</w:t>
      </w:r>
      <w:bookmarkStart w:id="46" w:name="_Toc3714"/>
    </w:p>
    <w:p>
      <w:pPr>
        <w:pStyle w:val="4"/>
        <w:keepNext w:val="0"/>
        <w:keepLines w:val="0"/>
        <w:pageBreakBefore w:val="0"/>
        <w:widowControl w:val="0"/>
        <w:kinsoku/>
        <w:wordWrap/>
        <w:overflowPunct/>
        <w:topLinePunct w:val="0"/>
        <w:autoSpaceDE/>
        <w:autoSpaceDN/>
        <w:bidi w:val="0"/>
        <w:spacing w:line="560" w:lineRule="exact"/>
        <w:ind w:left="0" w:leftChars="0" w:firstLine="320" w:firstLineChars="100"/>
        <w:jc w:val="both"/>
        <w:textAlignment w:val="auto"/>
        <w:outlineLvl w:val="1"/>
        <w:rPr>
          <w:rFonts w:hint="eastAsia" w:ascii="楷体" w:hAnsi="楷体" w:eastAsia="楷体" w:cs="楷体"/>
          <w:b w:val="0"/>
          <w:bCs w:val="0"/>
          <w:color w:val="auto"/>
          <w:kern w:val="2"/>
          <w:sz w:val="32"/>
          <w:szCs w:val="24"/>
          <w:highlight w:val="none"/>
          <w:shd w:val="clear" w:color="auto" w:fill="auto"/>
          <w:lang w:eastAsia="zh-CN"/>
        </w:rPr>
      </w:pPr>
      <w:r>
        <w:rPr>
          <w:rFonts w:hint="eastAsia" w:eastAsia="仿宋" w:cs="Times New Roman"/>
          <w:bCs/>
          <w:color w:val="auto"/>
          <w:kern w:val="0"/>
          <w:sz w:val="32"/>
          <w:szCs w:val="32"/>
          <w:highlight w:val="none"/>
          <w:shd w:val="clear" w:color="auto" w:fill="auto"/>
          <w:lang w:val="en-US" w:eastAsia="zh-CN"/>
        </w:rPr>
        <w:t xml:space="preserve"> </w:t>
      </w:r>
      <w:r>
        <w:rPr>
          <w:rFonts w:hint="eastAsia" w:ascii="楷体" w:hAnsi="楷体" w:eastAsia="楷体" w:cs="楷体"/>
          <w:b w:val="0"/>
          <w:bCs w:val="0"/>
          <w:color w:val="auto"/>
          <w:kern w:val="2"/>
          <w:sz w:val="32"/>
          <w:szCs w:val="24"/>
          <w:highlight w:val="none"/>
          <w:shd w:val="clear" w:color="auto" w:fill="auto"/>
        </w:rPr>
        <w:t>（</w:t>
      </w:r>
      <w:r>
        <w:rPr>
          <w:rFonts w:hint="eastAsia" w:ascii="楷体" w:hAnsi="楷体" w:eastAsia="楷体" w:cs="楷体"/>
          <w:b w:val="0"/>
          <w:bCs w:val="0"/>
          <w:color w:val="auto"/>
          <w:kern w:val="2"/>
          <w:sz w:val="32"/>
          <w:szCs w:val="24"/>
          <w:highlight w:val="none"/>
          <w:shd w:val="clear" w:color="auto" w:fill="auto"/>
          <w:lang w:eastAsia="zh-CN"/>
        </w:rPr>
        <w:t>四</w:t>
      </w:r>
      <w:r>
        <w:rPr>
          <w:rFonts w:hint="eastAsia" w:ascii="楷体" w:hAnsi="楷体" w:eastAsia="楷体" w:cs="楷体"/>
          <w:b w:val="0"/>
          <w:bCs w:val="0"/>
          <w:color w:val="auto"/>
          <w:kern w:val="2"/>
          <w:sz w:val="32"/>
          <w:szCs w:val="24"/>
          <w:highlight w:val="none"/>
          <w:shd w:val="clear" w:color="auto" w:fill="auto"/>
        </w:rPr>
        <w:t>）</w:t>
      </w:r>
      <w:r>
        <w:rPr>
          <w:rFonts w:hint="eastAsia" w:ascii="楷体" w:hAnsi="楷体" w:eastAsia="楷体" w:cs="楷体"/>
          <w:b w:val="0"/>
          <w:bCs w:val="0"/>
          <w:color w:val="auto"/>
          <w:kern w:val="2"/>
          <w:sz w:val="32"/>
          <w:szCs w:val="24"/>
          <w:highlight w:val="none"/>
          <w:shd w:val="clear" w:color="auto" w:fill="auto"/>
          <w:lang w:eastAsia="zh-CN"/>
        </w:rPr>
        <w:t>工业园区网点设置</w:t>
      </w:r>
      <w:r>
        <w:rPr>
          <w:rFonts w:hint="eastAsia" w:ascii="楷体" w:hAnsi="楷体" w:eastAsia="楷体" w:cs="楷体"/>
          <w:b w:val="0"/>
          <w:bCs w:val="0"/>
          <w:color w:val="auto"/>
          <w:kern w:val="2"/>
          <w:sz w:val="32"/>
          <w:szCs w:val="24"/>
          <w:highlight w:val="none"/>
          <w:shd w:val="clear" w:color="auto" w:fill="auto"/>
        </w:rPr>
        <w:t>要求</w:t>
      </w:r>
      <w:r>
        <w:rPr>
          <w:rFonts w:hint="eastAsia" w:ascii="楷体" w:hAnsi="楷体" w:eastAsia="楷体" w:cs="楷体"/>
          <w:b w:val="0"/>
          <w:bCs w:val="0"/>
          <w:color w:val="auto"/>
          <w:kern w:val="2"/>
          <w:sz w:val="32"/>
          <w:szCs w:val="24"/>
          <w:highlight w:val="none"/>
          <w:shd w:val="clear" w:color="auto" w:fill="auto"/>
          <w:lang w:eastAsia="zh-CN"/>
        </w:rPr>
        <w:t>。</w:t>
      </w:r>
    </w:p>
    <w:p>
      <w:pPr>
        <w:keepNext w:val="0"/>
        <w:keepLines w:val="0"/>
        <w:widowControl/>
        <w:suppressLineNumbers w:val="0"/>
        <w:ind w:firstLine="640" w:firstLineChars="200"/>
        <w:jc w:val="left"/>
        <w:rPr>
          <w:color w:val="auto"/>
          <w:sz w:val="32"/>
          <w:szCs w:val="32"/>
          <w:highlight w:val="none"/>
        </w:rPr>
      </w:pPr>
      <w:r>
        <w:rPr>
          <w:rFonts w:ascii="仿宋" w:hAnsi="仿宋" w:eastAsia="仿宋" w:cs="仿宋"/>
          <w:color w:val="auto"/>
          <w:kern w:val="0"/>
          <w:sz w:val="32"/>
          <w:szCs w:val="32"/>
          <w:highlight w:val="none"/>
          <w:lang w:val="en-US" w:eastAsia="zh-CN" w:bidi="ar"/>
        </w:rPr>
        <w:t xml:space="preserve">县（区）内设置的工业园区由园区管理机构按照辖区内再生 </w:t>
      </w:r>
    </w:p>
    <w:p>
      <w:pPr>
        <w:keepNext w:val="0"/>
        <w:keepLines w:val="0"/>
        <w:widowControl/>
        <w:suppressLineNumbers w:val="0"/>
        <w:jc w:val="left"/>
        <w:rPr>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资源回收网点设置规划安排回收站点所需场地，用于开展再生资 </w:t>
      </w:r>
    </w:p>
    <w:p>
      <w:pPr>
        <w:spacing w:line="360" w:lineRule="auto"/>
        <w:rPr>
          <w:rFonts w:hint="eastAsia" w:ascii="仿宋_GB2312" w:hAnsi="仿宋" w:eastAsia="仿宋_GB2312" w:cs="Times New Roman"/>
          <w:color w:val="auto"/>
          <w:sz w:val="32"/>
          <w:szCs w:val="32"/>
          <w:highlight w:val="none"/>
        </w:rPr>
      </w:pPr>
      <w:r>
        <w:rPr>
          <w:rFonts w:hint="eastAsia" w:ascii="仿宋" w:hAnsi="仿宋" w:eastAsia="仿宋" w:cs="仿宋"/>
          <w:color w:val="auto"/>
          <w:kern w:val="0"/>
          <w:sz w:val="32"/>
          <w:szCs w:val="32"/>
          <w:highlight w:val="none"/>
          <w:lang w:val="en-US" w:eastAsia="zh-CN" w:bidi="ar"/>
        </w:rPr>
        <w:t>源回收活动。</w:t>
      </w:r>
      <w:r>
        <w:rPr>
          <w:rFonts w:hint="eastAsia" w:ascii="仿宋_GB2312" w:hAnsi="仿宋" w:eastAsia="仿宋_GB2312" w:cs="Times New Roman"/>
          <w:color w:val="auto"/>
          <w:sz w:val="32"/>
          <w:szCs w:val="32"/>
          <w:highlight w:val="none"/>
        </w:rPr>
        <w:t>各重点产业园区、工业区等工业企业较为集中的区域，应引导就近设立相应的回收企业，在政府引导下开展“企—企”合作，即再生资源类回收企业与工业生产类企业之间的合作，使再生资源的回收能够规模化、专业化、产业化，减少不必要的浪费与降低再次污染的可能。</w:t>
      </w:r>
    </w:p>
    <w:p>
      <w:pPr>
        <w:pStyle w:val="2"/>
        <w:ind w:firstLine="640" w:firstLineChars="200"/>
        <w:rPr>
          <w:rFonts w:hint="default"/>
          <w:highlight w:val="none"/>
        </w:rPr>
      </w:pPr>
      <w:r>
        <w:rPr>
          <w:rFonts w:hint="eastAsia" w:ascii="仿宋_GB2312" w:hAnsi="仿宋" w:eastAsia="仿宋_GB2312" w:cs="Times New Roman"/>
          <w:color w:val="auto"/>
          <w:sz w:val="32"/>
          <w:szCs w:val="32"/>
          <w:highlight w:val="none"/>
        </w:rPr>
        <w:t>规划建议每个工业园区设立或引入1至2个再生资源回收企业或连锁企业常驻，亦可以采取委托或合作方式，实行公司制经营，并接受</w:t>
      </w:r>
      <w:r>
        <w:rPr>
          <w:rFonts w:ascii="仿宋" w:hAnsi="仿宋" w:eastAsia="仿宋" w:cs="仿宋"/>
          <w:color w:val="auto"/>
          <w:kern w:val="0"/>
          <w:sz w:val="32"/>
          <w:szCs w:val="32"/>
          <w:highlight w:val="none"/>
          <w:lang w:val="en-US" w:eastAsia="zh-CN" w:bidi="ar"/>
        </w:rPr>
        <w:t>县（区）</w:t>
      </w:r>
      <w:r>
        <w:rPr>
          <w:rFonts w:hint="eastAsia" w:ascii="仿宋_GB2312" w:hAnsi="仿宋" w:eastAsia="仿宋_GB2312" w:cs="Times New Roman"/>
          <w:color w:val="auto"/>
          <w:sz w:val="32"/>
          <w:szCs w:val="32"/>
          <w:highlight w:val="none"/>
          <w:lang w:eastAsia="zh-CN"/>
        </w:rPr>
        <w:t>工信、</w:t>
      </w:r>
      <w:r>
        <w:rPr>
          <w:rFonts w:hint="eastAsia" w:ascii="仿宋_GB2312" w:hAnsi="仿宋" w:eastAsia="仿宋_GB2312" w:cs="Times New Roman"/>
          <w:color w:val="auto"/>
          <w:sz w:val="32"/>
          <w:szCs w:val="32"/>
          <w:highlight w:val="none"/>
        </w:rPr>
        <w:t>商务、</w:t>
      </w:r>
      <w:r>
        <w:rPr>
          <w:rFonts w:hint="eastAsia" w:ascii="仿宋_GB2312" w:hAnsi="仿宋" w:eastAsia="仿宋_GB2312" w:cs="Times New Roman"/>
          <w:color w:val="auto"/>
          <w:sz w:val="32"/>
          <w:szCs w:val="32"/>
          <w:highlight w:val="none"/>
          <w:lang w:eastAsia="zh-CN"/>
        </w:rPr>
        <w:t>生态环境</w:t>
      </w:r>
      <w:r>
        <w:rPr>
          <w:rFonts w:hint="eastAsia" w:ascii="仿宋_GB2312" w:hAnsi="仿宋" w:eastAsia="仿宋_GB2312" w:cs="Times New Roman"/>
          <w:color w:val="auto"/>
          <w:sz w:val="32"/>
          <w:szCs w:val="32"/>
          <w:highlight w:val="none"/>
        </w:rPr>
        <w:t>、公安、市场监管等部门监管。原则上，不对工业园区的再生资源回收网点做强制性统一规划，但应在进一步调研和沟通协调的基础上，引导各园区完善再生资源回收体系，尽可能设置相应的回收</w:t>
      </w:r>
      <w:r>
        <w:rPr>
          <w:rFonts w:hint="eastAsia" w:ascii="仿宋_GB2312" w:hAnsi="仿宋" w:eastAsia="仿宋_GB2312" w:cs="Times New Roman"/>
          <w:color w:val="auto"/>
          <w:sz w:val="32"/>
          <w:szCs w:val="32"/>
          <w:highlight w:val="none"/>
          <w:lang w:eastAsia="zh-CN"/>
        </w:rPr>
        <w:t>网</w:t>
      </w:r>
      <w:r>
        <w:rPr>
          <w:rFonts w:hint="eastAsia" w:ascii="仿宋_GB2312" w:hAnsi="仿宋" w:eastAsia="仿宋_GB2312" w:cs="Times New Roman"/>
          <w:color w:val="auto"/>
          <w:sz w:val="32"/>
          <w:szCs w:val="32"/>
          <w:highlight w:val="none"/>
        </w:rPr>
        <w:t>点。</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rPr>
          <w:rFonts w:hint="eastAsia" w:ascii="Times New Roman" w:hAnsi="Times New Roman" w:eastAsia="黑体" w:cs="Times New Roman"/>
          <w:b w:val="0"/>
          <w:bCs/>
          <w:sz w:val="32"/>
          <w:szCs w:val="24"/>
          <w:highlight w:val="none"/>
          <w:shd w:val="clear" w:color="auto" w:fill="auto"/>
        </w:rPr>
      </w:pPr>
      <w:bookmarkStart w:id="47" w:name="_Toc1339726938"/>
      <w:r>
        <w:rPr>
          <w:rFonts w:hint="eastAsia" w:ascii="Times New Roman" w:hAnsi="Times New Roman" w:eastAsia="黑体" w:cs="Times New Roman"/>
          <w:b w:val="0"/>
          <w:bCs/>
          <w:sz w:val="32"/>
          <w:szCs w:val="24"/>
          <w:highlight w:val="none"/>
          <w:shd w:val="clear" w:color="auto" w:fill="auto"/>
          <w:lang w:eastAsia="zh-CN"/>
        </w:rPr>
        <w:t>五</w:t>
      </w:r>
      <w:r>
        <w:rPr>
          <w:rFonts w:hint="eastAsia" w:ascii="Times New Roman" w:hAnsi="Times New Roman" w:eastAsia="黑体" w:cs="Times New Roman"/>
          <w:b w:val="0"/>
          <w:bCs/>
          <w:sz w:val="32"/>
          <w:szCs w:val="24"/>
          <w:highlight w:val="none"/>
          <w:shd w:val="clear" w:color="auto" w:fill="auto"/>
        </w:rPr>
        <w:t>、主要任务</w:t>
      </w:r>
      <w:bookmarkEnd w:id="46"/>
      <w:bookmarkEnd w:id="47"/>
    </w:p>
    <w:p>
      <w:pPr>
        <w:pStyle w:val="4"/>
        <w:keepNext w:val="0"/>
        <w:keepLines w:val="0"/>
        <w:pageBreakBefore w:val="0"/>
        <w:widowControl w:val="0"/>
        <w:kinsoku/>
        <w:wordWrap/>
        <w:overflowPunct/>
        <w:topLinePunct w:val="0"/>
        <w:autoSpaceDE/>
        <w:autoSpaceDN/>
        <w:bidi w:val="0"/>
        <w:spacing w:line="560" w:lineRule="exact"/>
        <w:ind w:firstLine="643"/>
        <w:outlineLvl w:val="1"/>
        <w:rPr>
          <w:rFonts w:hint="eastAsia" w:eastAsia="方正楷体_GBK"/>
          <w:b w:val="0"/>
          <w:kern w:val="2"/>
          <w:sz w:val="32"/>
          <w:szCs w:val="24"/>
          <w:highlight w:val="none"/>
          <w:shd w:val="clear" w:color="auto" w:fill="auto"/>
          <w:lang w:eastAsia="zh-CN"/>
        </w:rPr>
      </w:pPr>
      <w:bookmarkStart w:id="48" w:name="_Toc25115"/>
      <w:bookmarkStart w:id="49" w:name="_Toc316321693"/>
      <w:r>
        <w:rPr>
          <w:rFonts w:hint="eastAsia" w:eastAsia="方正楷体_GBK"/>
          <w:b w:val="0"/>
          <w:kern w:val="2"/>
          <w:sz w:val="32"/>
          <w:szCs w:val="24"/>
          <w:highlight w:val="none"/>
          <w:shd w:val="clear" w:color="auto" w:fill="auto"/>
        </w:rPr>
        <w:t>（一）做好规划设计，优化空间布局</w:t>
      </w:r>
      <w:bookmarkEnd w:id="48"/>
      <w:bookmarkEnd w:id="49"/>
      <w:r>
        <w:rPr>
          <w:rFonts w:hint="eastAsia"/>
          <w:b w:val="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bCs/>
          <w:color w:val="000000"/>
          <w:kern w:val="0"/>
          <w:sz w:val="32"/>
          <w:szCs w:val="32"/>
          <w:highlight w:val="none"/>
          <w:shd w:val="clear" w:color="auto" w:fill="auto"/>
        </w:rPr>
      </w:pPr>
      <w:r>
        <w:rPr>
          <w:rFonts w:eastAsia="仿宋"/>
          <w:bCs/>
          <w:kern w:val="0"/>
          <w:sz w:val="32"/>
          <w:szCs w:val="32"/>
          <w:highlight w:val="none"/>
          <w:shd w:val="clear" w:color="auto" w:fill="auto"/>
        </w:rPr>
        <w:t>以本规划为基础和指引，紧密结合各县</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区</w:t>
      </w:r>
      <w:r>
        <w:rPr>
          <w:rFonts w:hint="eastAsia" w:eastAsia="仿宋"/>
          <w:bCs/>
          <w:kern w:val="0"/>
          <w:sz w:val="32"/>
          <w:szCs w:val="32"/>
          <w:highlight w:val="none"/>
          <w:shd w:val="clear" w:color="auto" w:fill="auto"/>
          <w:lang w:eastAsia="zh-CN"/>
        </w:rPr>
        <w:t>）</w:t>
      </w:r>
      <w:r>
        <w:rPr>
          <w:rFonts w:eastAsia="仿宋"/>
          <w:bCs/>
          <w:kern w:val="0"/>
          <w:sz w:val="32"/>
          <w:szCs w:val="32"/>
          <w:highlight w:val="none"/>
          <w:shd w:val="clear" w:color="auto" w:fill="auto"/>
        </w:rPr>
        <w:t>实际情况，通过市场引导和行政监督结合的方式，改造旧点、增补新点、删减</w:t>
      </w:r>
      <w:r>
        <w:rPr>
          <w:rFonts w:eastAsia="仿宋"/>
          <w:bCs/>
          <w:color w:val="000000"/>
          <w:kern w:val="0"/>
          <w:sz w:val="32"/>
          <w:szCs w:val="32"/>
          <w:highlight w:val="none"/>
          <w:shd w:val="clear" w:color="auto" w:fill="auto"/>
        </w:rPr>
        <w:t>拥挤节点，优化再生资源回收网点空间布局。推进回收前端、中端、后端的紧密衔接，促进回收与加工处理深度合作，持续健全</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全过程</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全链条</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再生资源回收体系及相关机制。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rFonts w:eastAsia="仿宋"/>
          <w:b/>
          <w:color w:val="000000"/>
          <w:kern w:val="0"/>
          <w:sz w:val="32"/>
          <w:szCs w:val="32"/>
          <w:highlight w:val="none"/>
          <w:shd w:val="clear" w:color="auto" w:fill="auto"/>
        </w:rPr>
      </w:pPr>
      <w:r>
        <w:rPr>
          <w:rFonts w:hint="eastAsia" w:eastAsia="仿宋"/>
          <w:b w:val="0"/>
          <w:bCs/>
          <w:color w:val="000000"/>
          <w:kern w:val="0"/>
          <w:sz w:val="32"/>
          <w:szCs w:val="32"/>
          <w:highlight w:val="none"/>
          <w:shd w:val="clear" w:color="auto" w:fill="auto"/>
          <w:lang w:val="en-US" w:eastAsia="zh-CN"/>
        </w:rPr>
        <w:t xml:space="preserve">1. </w:t>
      </w:r>
      <w:r>
        <w:rPr>
          <w:rFonts w:eastAsia="仿宋"/>
          <w:b w:val="0"/>
          <w:bCs/>
          <w:color w:val="000000"/>
          <w:kern w:val="0"/>
          <w:sz w:val="32"/>
          <w:szCs w:val="32"/>
          <w:highlight w:val="none"/>
          <w:shd w:val="clear" w:color="auto" w:fill="auto"/>
        </w:rPr>
        <w:t>做好辖区内三级回收网点空间布局规划</w:t>
      </w:r>
      <w:r>
        <w:rPr>
          <w:rFonts w:eastAsia="方正楷体_GBK"/>
          <w:b w:val="0"/>
          <w:bCs/>
          <w:color w:val="000000"/>
          <w:sz w:val="32"/>
          <w:szCs w:val="32"/>
          <w:highlight w:val="none"/>
          <w:shd w:val="clear" w:color="auto" w:fill="auto"/>
        </w:rPr>
        <w:t>。</w:t>
      </w:r>
      <w:r>
        <w:rPr>
          <w:rFonts w:eastAsia="仿宋"/>
          <w:color w:val="000000"/>
          <w:sz w:val="32"/>
          <w:szCs w:val="32"/>
          <w:highlight w:val="none"/>
          <w:shd w:val="clear" w:color="auto" w:fill="auto"/>
        </w:rPr>
        <w:t>各县</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区</w:t>
      </w:r>
      <w:r>
        <w:rPr>
          <w:rFonts w:hint="eastAsia" w:eastAsia="仿宋"/>
          <w:color w:val="000000"/>
          <w:sz w:val="32"/>
          <w:szCs w:val="32"/>
          <w:highlight w:val="none"/>
          <w:shd w:val="clear" w:color="auto" w:fill="auto"/>
          <w:lang w:eastAsia="zh-CN"/>
        </w:rPr>
        <w:t>）</w:t>
      </w:r>
      <w:r>
        <w:rPr>
          <w:rFonts w:eastAsia="仿宋"/>
          <w:color w:val="000000"/>
          <w:kern w:val="0"/>
          <w:sz w:val="32"/>
          <w:szCs w:val="32"/>
          <w:highlight w:val="none"/>
          <w:shd w:val="clear" w:color="auto" w:fill="auto"/>
        </w:rPr>
        <w:t>全面摸查</w:t>
      </w:r>
      <w:r>
        <w:rPr>
          <w:rFonts w:hint="eastAsia" w:eastAsia="仿宋"/>
          <w:color w:val="000000"/>
          <w:kern w:val="0"/>
          <w:sz w:val="32"/>
          <w:szCs w:val="32"/>
          <w:highlight w:val="none"/>
          <w:shd w:val="clear" w:color="auto" w:fill="auto"/>
          <w:lang w:eastAsia="zh-CN"/>
        </w:rPr>
        <w:t>辖区</w:t>
      </w:r>
      <w:r>
        <w:rPr>
          <w:rFonts w:eastAsia="仿宋"/>
          <w:color w:val="000000"/>
          <w:kern w:val="0"/>
          <w:sz w:val="32"/>
          <w:szCs w:val="32"/>
          <w:highlight w:val="none"/>
          <w:shd w:val="clear" w:color="auto" w:fill="auto"/>
        </w:rPr>
        <w:t>内再生资源回收网点现状，调研行业发展现状与问题，根据辖区人口分布、用地状况、交通和产业发展等具体情况，组织编制回收网点空间布局规划，打造符合本辖区特色的</w:t>
      </w:r>
      <w:r>
        <w:rPr>
          <w:rFonts w:hint="eastAsia" w:eastAsia="仿宋"/>
          <w:color w:val="000000"/>
          <w:kern w:val="0"/>
          <w:sz w:val="32"/>
          <w:szCs w:val="32"/>
          <w:highlight w:val="none"/>
          <w:shd w:val="clear" w:color="auto" w:fill="auto"/>
          <w:lang w:eastAsia="zh-CN"/>
        </w:rPr>
        <w:t>“</w:t>
      </w:r>
      <w:r>
        <w:rPr>
          <w:rFonts w:eastAsia="仿宋"/>
          <w:color w:val="000000"/>
          <w:kern w:val="0"/>
          <w:sz w:val="32"/>
          <w:szCs w:val="32"/>
          <w:highlight w:val="none"/>
          <w:shd w:val="clear" w:color="auto" w:fill="auto"/>
        </w:rPr>
        <w:t>回收点</w:t>
      </w:r>
      <w:r>
        <w:rPr>
          <w:rFonts w:hint="eastAsia" w:ascii="Times New Roman" w:hAnsi="Times New Roman" w:eastAsia="方正仿宋_GBK" w:cs="方正仿宋_GBK"/>
          <w:b w:val="0"/>
          <w:bCs w:val="0"/>
          <w:color w:val="000000"/>
          <w:w w:val="95"/>
          <w:kern w:val="0"/>
          <w:sz w:val="32"/>
          <w:szCs w:val="32"/>
          <w:highlight w:val="none"/>
          <w:shd w:val="clear" w:color="auto" w:fill="auto"/>
          <w:lang w:val="en-US" w:eastAsia="zh-CN" w:bidi="ar"/>
        </w:rPr>
        <w:t>—</w:t>
      </w:r>
      <w:r>
        <w:rPr>
          <w:rFonts w:eastAsia="仿宋"/>
          <w:color w:val="000000"/>
          <w:kern w:val="0"/>
          <w:sz w:val="32"/>
          <w:szCs w:val="32"/>
          <w:highlight w:val="none"/>
          <w:shd w:val="clear" w:color="auto" w:fill="auto"/>
        </w:rPr>
        <w:t>中转站</w:t>
      </w:r>
      <w:r>
        <w:rPr>
          <w:rFonts w:hint="eastAsia" w:ascii="Times New Roman" w:hAnsi="Times New Roman" w:eastAsia="方正仿宋_GBK" w:cs="方正仿宋_GBK"/>
          <w:b w:val="0"/>
          <w:bCs w:val="0"/>
          <w:color w:val="000000"/>
          <w:w w:val="95"/>
          <w:kern w:val="0"/>
          <w:sz w:val="32"/>
          <w:szCs w:val="32"/>
          <w:highlight w:val="none"/>
          <w:shd w:val="clear" w:color="auto" w:fill="auto"/>
          <w:lang w:val="en-US" w:eastAsia="zh-CN" w:bidi="ar"/>
        </w:rPr>
        <w:t>—</w:t>
      </w:r>
      <w:r>
        <w:rPr>
          <w:rFonts w:eastAsia="仿宋"/>
          <w:color w:val="000000"/>
          <w:kern w:val="0"/>
          <w:sz w:val="32"/>
          <w:szCs w:val="32"/>
          <w:highlight w:val="none"/>
          <w:shd w:val="clear" w:color="auto" w:fill="auto"/>
        </w:rPr>
        <w:t>分拣中心</w:t>
      </w:r>
      <w:r>
        <w:rPr>
          <w:rFonts w:hint="eastAsia" w:eastAsia="仿宋"/>
          <w:color w:val="000000"/>
          <w:kern w:val="0"/>
          <w:sz w:val="32"/>
          <w:szCs w:val="32"/>
          <w:highlight w:val="none"/>
          <w:shd w:val="clear" w:color="auto" w:fill="auto"/>
          <w:lang w:eastAsia="zh-CN"/>
        </w:rPr>
        <w:t>”</w:t>
      </w:r>
      <w:r>
        <w:rPr>
          <w:rFonts w:eastAsia="仿宋"/>
          <w:color w:val="000000"/>
          <w:kern w:val="0"/>
          <w:sz w:val="32"/>
          <w:szCs w:val="32"/>
          <w:highlight w:val="none"/>
          <w:shd w:val="clear" w:color="auto" w:fill="auto"/>
        </w:rPr>
        <w:t>三级回收网络体系。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rPr>
          <w:rFonts w:eastAsia="仿宋"/>
          <w:color w:val="000000"/>
          <w:sz w:val="32"/>
          <w:szCs w:val="32"/>
          <w:highlight w:val="yellow"/>
          <w:shd w:val="clear" w:color="auto" w:fill="auto"/>
        </w:rPr>
      </w:pPr>
      <w:r>
        <w:rPr>
          <w:rFonts w:hint="eastAsia" w:eastAsia="仿宋"/>
          <w:b w:val="0"/>
          <w:bCs/>
          <w:color w:val="000000"/>
          <w:kern w:val="0"/>
          <w:sz w:val="32"/>
          <w:szCs w:val="32"/>
          <w:highlight w:val="none"/>
          <w:shd w:val="clear" w:color="auto" w:fill="auto"/>
          <w:lang w:val="en-US" w:eastAsia="zh-CN"/>
        </w:rPr>
        <w:t xml:space="preserve">2. </w:t>
      </w:r>
      <w:r>
        <w:rPr>
          <w:rFonts w:hint="default" w:eastAsia="仿宋"/>
          <w:b w:val="0"/>
          <w:bCs/>
          <w:color w:val="000000"/>
          <w:kern w:val="0"/>
          <w:sz w:val="32"/>
          <w:szCs w:val="32"/>
          <w:highlight w:val="none"/>
          <w:shd w:val="clear" w:color="auto" w:fill="auto"/>
        </w:rPr>
        <w:t>加快推动分拣中心建设</w:t>
      </w:r>
      <w:r>
        <w:rPr>
          <w:rFonts w:hint="eastAsia" w:eastAsia="方正楷体_GBK"/>
          <w:b w:val="0"/>
          <w:bCs/>
          <w:color w:val="000000"/>
          <w:sz w:val="32"/>
          <w:szCs w:val="32"/>
          <w:highlight w:val="none"/>
          <w:shd w:val="clear" w:color="auto" w:fill="auto"/>
        </w:rPr>
        <w:t>。</w:t>
      </w:r>
      <w:r>
        <w:rPr>
          <w:rFonts w:hint="eastAsia" w:eastAsia="仿宋"/>
          <w:color w:val="000000"/>
          <w:kern w:val="0"/>
          <w:sz w:val="32"/>
          <w:szCs w:val="32"/>
          <w:highlight w:val="none"/>
          <w:shd w:val="clear" w:color="auto" w:fill="auto"/>
        </w:rPr>
        <w:t>按</w:t>
      </w:r>
      <w:r>
        <w:rPr>
          <w:rFonts w:eastAsia="仿宋"/>
          <w:color w:val="000000"/>
          <w:kern w:val="0"/>
          <w:sz w:val="32"/>
          <w:szCs w:val="32"/>
          <w:highlight w:val="none"/>
          <w:shd w:val="clear" w:color="auto" w:fill="auto"/>
        </w:rPr>
        <w:t>土</w:t>
      </w:r>
      <w:r>
        <w:rPr>
          <w:rFonts w:eastAsia="仿宋"/>
          <w:color w:val="000000"/>
          <w:sz w:val="32"/>
          <w:szCs w:val="32"/>
          <w:highlight w:val="none"/>
          <w:shd w:val="clear" w:color="auto" w:fill="auto"/>
        </w:rPr>
        <w:t>地集约、</w:t>
      </w:r>
      <w:r>
        <w:rPr>
          <w:rFonts w:eastAsia="仿宋"/>
          <w:bCs/>
          <w:color w:val="000000"/>
          <w:kern w:val="0"/>
          <w:sz w:val="32"/>
          <w:szCs w:val="32"/>
          <w:highlight w:val="none"/>
          <w:shd w:val="clear" w:color="auto" w:fill="auto"/>
        </w:rPr>
        <w:t>生产洁净化、原料无害化</w:t>
      </w:r>
      <w:r>
        <w:rPr>
          <w:rFonts w:eastAsia="仿宋"/>
          <w:color w:val="000000"/>
          <w:sz w:val="32"/>
          <w:szCs w:val="32"/>
          <w:highlight w:val="none"/>
          <w:shd w:val="clear" w:color="auto" w:fill="auto"/>
        </w:rPr>
        <w:t>要求，参照《再生资源绿色分拣中心建设管理规范》（SB/T 10720</w:t>
      </w:r>
      <w:r>
        <w:rPr>
          <w:rFonts w:hint="eastAsia" w:ascii="Times New Roman" w:hAnsi="Times New Roman" w:eastAsia="方正仿宋_GBK" w:cs="方正仿宋_GBK"/>
          <w:b w:val="0"/>
          <w:bCs w:val="0"/>
          <w:color w:val="000000"/>
          <w:w w:val="95"/>
          <w:kern w:val="0"/>
          <w:sz w:val="32"/>
          <w:szCs w:val="32"/>
          <w:highlight w:val="none"/>
          <w:shd w:val="clear" w:color="auto" w:fill="auto"/>
          <w:lang w:val="en-US" w:eastAsia="zh-CN" w:bidi="ar"/>
        </w:rPr>
        <w:t>—</w:t>
      </w:r>
      <w:r>
        <w:rPr>
          <w:rFonts w:eastAsia="仿宋"/>
          <w:color w:val="000000"/>
          <w:sz w:val="32"/>
          <w:szCs w:val="32"/>
          <w:highlight w:val="none"/>
          <w:shd w:val="clear" w:color="auto" w:fill="auto"/>
        </w:rPr>
        <w:t>2021）的要求，</w:t>
      </w:r>
      <w:r>
        <w:rPr>
          <w:rFonts w:eastAsia="仿宋"/>
          <w:bCs/>
          <w:color w:val="000000"/>
          <w:kern w:val="0"/>
          <w:sz w:val="32"/>
          <w:szCs w:val="32"/>
          <w:highlight w:val="none"/>
          <w:shd w:val="clear" w:color="auto" w:fill="auto"/>
        </w:rPr>
        <w:t>结合辖区内回收点、中转站数量布局，在充分调研本辖区再生资源行业发展和市场需求的基础上，各</w:t>
      </w:r>
      <w:r>
        <w:rPr>
          <w:rFonts w:eastAsia="仿宋"/>
          <w:color w:val="000000"/>
          <w:sz w:val="32"/>
          <w:szCs w:val="32"/>
          <w:highlight w:val="none"/>
          <w:shd w:val="clear" w:color="auto" w:fill="auto"/>
        </w:rPr>
        <w:t>县</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区</w:t>
      </w:r>
      <w:r>
        <w:rPr>
          <w:rFonts w:hint="eastAsia" w:eastAsia="仿宋"/>
          <w:color w:val="000000"/>
          <w:sz w:val="32"/>
          <w:szCs w:val="32"/>
          <w:highlight w:val="none"/>
          <w:shd w:val="clear" w:color="auto" w:fill="auto"/>
          <w:lang w:eastAsia="zh-CN"/>
        </w:rPr>
        <w:t>）</w:t>
      </w:r>
      <w:r>
        <w:rPr>
          <w:rFonts w:eastAsia="仿宋"/>
          <w:bCs/>
          <w:color w:val="000000"/>
          <w:kern w:val="0"/>
          <w:sz w:val="32"/>
          <w:szCs w:val="32"/>
          <w:highlight w:val="none"/>
          <w:shd w:val="clear" w:color="auto" w:fill="auto"/>
        </w:rPr>
        <w:t>规划建设1个综合性分拣中心</w:t>
      </w:r>
      <w:r>
        <w:rPr>
          <w:rFonts w:eastAsia="仿宋"/>
          <w:color w:val="000000"/>
          <w:sz w:val="32"/>
          <w:szCs w:val="32"/>
          <w:highlight w:val="none"/>
          <w:shd w:val="clear" w:color="auto" w:fill="auto"/>
        </w:rPr>
        <w:t>，中心</w:t>
      </w:r>
      <w:r>
        <w:rPr>
          <w:rFonts w:eastAsia="仿宋"/>
          <w:bCs/>
          <w:color w:val="000000"/>
          <w:kern w:val="0"/>
          <w:sz w:val="32"/>
          <w:szCs w:val="32"/>
          <w:highlight w:val="none"/>
          <w:shd w:val="clear" w:color="auto" w:fill="auto"/>
        </w:rPr>
        <w:t>厂区面积原则上不少于1.5万平方米，年分拣能力不少于10万吨，厂区面积不低于总建设规划面积的50%。惠城区规划建设7个</w:t>
      </w:r>
      <w:r>
        <w:rPr>
          <w:rFonts w:eastAsia="仿宋"/>
          <w:color w:val="000000"/>
          <w:sz w:val="32"/>
          <w:szCs w:val="32"/>
          <w:highlight w:val="none"/>
          <w:shd w:val="clear" w:color="auto" w:fill="auto"/>
        </w:rPr>
        <w:t>回收单一品类再生资源的专业性分拣中心，标准与综合性分拣中心一致。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color w:val="000000"/>
          <w:sz w:val="32"/>
          <w:szCs w:val="32"/>
          <w:highlight w:val="none"/>
          <w:shd w:val="clear" w:color="auto" w:fill="auto"/>
        </w:rPr>
      </w:pPr>
      <w:r>
        <w:rPr>
          <w:rFonts w:eastAsia="仿宋"/>
          <w:color w:val="000000"/>
          <w:sz w:val="32"/>
          <w:szCs w:val="32"/>
          <w:highlight w:val="none"/>
          <w:shd w:val="clear" w:color="auto" w:fill="auto"/>
        </w:rPr>
        <w:t>各县</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区</w:t>
      </w:r>
      <w:r>
        <w:rPr>
          <w:rFonts w:hint="eastAsia" w:eastAsia="仿宋"/>
          <w:color w:val="000000"/>
          <w:sz w:val="32"/>
          <w:szCs w:val="32"/>
          <w:highlight w:val="none"/>
          <w:shd w:val="clear" w:color="auto" w:fill="auto"/>
          <w:lang w:eastAsia="zh-CN"/>
        </w:rPr>
        <w:t>）</w:t>
      </w:r>
      <w:r>
        <w:rPr>
          <w:rFonts w:eastAsia="仿宋"/>
          <w:color w:val="000000"/>
          <w:sz w:val="32"/>
          <w:szCs w:val="32"/>
          <w:highlight w:val="none"/>
          <w:shd w:val="clear" w:color="auto" w:fill="auto"/>
        </w:rPr>
        <w:t>根据</w:t>
      </w:r>
      <w:r>
        <w:rPr>
          <w:rFonts w:hint="eastAsia" w:eastAsia="仿宋"/>
          <w:color w:val="000000"/>
          <w:sz w:val="32"/>
          <w:szCs w:val="32"/>
          <w:highlight w:val="none"/>
          <w:shd w:val="clear" w:color="auto" w:fill="auto"/>
        </w:rPr>
        <w:t>《</w:t>
      </w:r>
      <w:r>
        <w:rPr>
          <w:rFonts w:eastAsia="仿宋"/>
          <w:color w:val="000000"/>
          <w:sz w:val="32"/>
          <w:szCs w:val="32"/>
          <w:highlight w:val="none"/>
          <w:shd w:val="clear" w:color="auto" w:fill="auto"/>
        </w:rPr>
        <w:t>惠州市城乡环境卫生专项规划（2017-2035）</w:t>
      </w:r>
      <w:r>
        <w:rPr>
          <w:rFonts w:hint="eastAsia" w:eastAsia="仿宋"/>
          <w:color w:val="000000"/>
          <w:sz w:val="32"/>
          <w:szCs w:val="32"/>
          <w:highlight w:val="none"/>
          <w:shd w:val="clear" w:color="auto" w:fill="auto"/>
        </w:rPr>
        <w:t>》</w:t>
      </w:r>
      <w:r>
        <w:rPr>
          <w:rFonts w:eastAsia="仿宋"/>
          <w:color w:val="000000"/>
          <w:sz w:val="32"/>
          <w:szCs w:val="32"/>
          <w:highlight w:val="none"/>
          <w:shd w:val="clear" w:color="auto" w:fill="auto"/>
        </w:rPr>
        <w:t>以及本辖区土地使用规划要求，充分利用限制土地、破旧厂房等做好选址、加快建设。</w:t>
      </w:r>
    </w:p>
    <w:p>
      <w:pPr>
        <w:pStyle w:val="35"/>
        <w:keepNext w:val="0"/>
        <w:keepLines w:val="0"/>
        <w:pageBreakBefore w:val="0"/>
        <w:widowControl w:val="0"/>
        <w:kinsoku/>
        <w:wordWrap/>
        <w:overflowPunct/>
        <w:topLinePunct w:val="0"/>
        <w:autoSpaceDE/>
        <w:autoSpaceDN/>
        <w:bidi w:val="0"/>
        <w:spacing w:line="560" w:lineRule="exact"/>
        <w:ind w:firstLine="640" w:firstLineChars="200"/>
        <w:rPr>
          <w:rFonts w:eastAsia="仿宋"/>
          <w:color w:val="000000"/>
          <w:sz w:val="32"/>
          <w:szCs w:val="32"/>
          <w:highlight w:val="none"/>
          <w:shd w:val="clear" w:color="auto" w:fill="auto"/>
        </w:rPr>
      </w:pPr>
      <w:r>
        <w:rPr>
          <w:rFonts w:eastAsia="仿宋"/>
          <w:color w:val="000000"/>
          <w:sz w:val="32"/>
          <w:szCs w:val="32"/>
          <w:highlight w:val="none"/>
          <w:shd w:val="clear" w:color="auto" w:fill="auto"/>
        </w:rPr>
        <w:t>已建成</w:t>
      </w:r>
      <w:r>
        <w:rPr>
          <w:rFonts w:hint="eastAsia" w:eastAsia="仿宋"/>
          <w:color w:val="000000"/>
          <w:sz w:val="32"/>
          <w:szCs w:val="32"/>
          <w:highlight w:val="none"/>
          <w:shd w:val="clear" w:color="auto" w:fill="auto"/>
          <w:lang w:eastAsia="zh-CN"/>
        </w:rPr>
        <w:t>的</w:t>
      </w:r>
      <w:r>
        <w:rPr>
          <w:rFonts w:eastAsia="仿宋"/>
          <w:color w:val="000000"/>
          <w:sz w:val="32"/>
          <w:szCs w:val="32"/>
          <w:highlight w:val="none"/>
          <w:shd w:val="clear" w:color="auto" w:fill="auto"/>
        </w:rPr>
        <w:t>社会化再生资源回收企业参照</w:t>
      </w:r>
      <w:r>
        <w:rPr>
          <w:rFonts w:hint="eastAsia" w:eastAsia="仿宋"/>
          <w:color w:val="000000"/>
          <w:sz w:val="32"/>
          <w:szCs w:val="32"/>
          <w:highlight w:val="none"/>
          <w:shd w:val="clear" w:color="auto" w:fill="auto"/>
          <w:lang w:eastAsia="zh-CN"/>
        </w:rPr>
        <w:t>国家</w:t>
      </w:r>
      <w:r>
        <w:rPr>
          <w:rFonts w:eastAsia="仿宋"/>
          <w:color w:val="000000"/>
          <w:sz w:val="32"/>
          <w:szCs w:val="32"/>
          <w:highlight w:val="none"/>
          <w:shd w:val="clear" w:color="auto" w:fill="auto"/>
        </w:rPr>
        <w:t>分拣中心建设</w:t>
      </w:r>
      <w:r>
        <w:rPr>
          <w:rFonts w:hint="eastAsia" w:eastAsia="仿宋"/>
          <w:color w:val="000000"/>
          <w:sz w:val="32"/>
          <w:szCs w:val="32"/>
          <w:highlight w:val="none"/>
          <w:shd w:val="clear" w:color="auto" w:fill="auto"/>
          <w:lang w:eastAsia="zh-CN"/>
        </w:rPr>
        <w:t>标准</w:t>
      </w:r>
      <w:r>
        <w:rPr>
          <w:rFonts w:eastAsia="仿宋"/>
          <w:color w:val="000000"/>
          <w:sz w:val="32"/>
          <w:szCs w:val="32"/>
          <w:highlight w:val="none"/>
          <w:shd w:val="clear" w:color="auto" w:fill="auto"/>
        </w:rPr>
        <w:t>管理规范升级改造，纳入全市标准化分拣中心规范管理。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rPr>
          <w:rFonts w:eastAsia="仿宋"/>
          <w:color w:val="000000"/>
          <w:sz w:val="32"/>
          <w:szCs w:val="32"/>
          <w:highlight w:val="none"/>
          <w:shd w:val="clear" w:color="auto" w:fill="auto"/>
        </w:rPr>
      </w:pPr>
      <w:r>
        <w:rPr>
          <w:rFonts w:hint="eastAsia" w:eastAsia="仿宋"/>
          <w:b w:val="0"/>
          <w:bCs/>
          <w:color w:val="000000"/>
          <w:kern w:val="0"/>
          <w:sz w:val="32"/>
          <w:szCs w:val="32"/>
          <w:highlight w:val="none"/>
          <w:shd w:val="clear" w:color="auto" w:fill="auto"/>
          <w:lang w:val="en-US" w:eastAsia="zh-CN"/>
        </w:rPr>
        <w:t xml:space="preserve">3. </w:t>
      </w:r>
      <w:r>
        <w:rPr>
          <w:rFonts w:eastAsia="仿宋"/>
          <w:b w:val="0"/>
          <w:bCs/>
          <w:color w:val="000000"/>
          <w:kern w:val="0"/>
          <w:sz w:val="32"/>
          <w:szCs w:val="32"/>
          <w:highlight w:val="none"/>
          <w:shd w:val="clear" w:color="auto" w:fill="auto"/>
        </w:rPr>
        <w:t>加快推动中转站、社区回收网点和农村回收网点建设</w:t>
      </w:r>
      <w:r>
        <w:rPr>
          <w:rFonts w:eastAsia="方正楷体_GBK"/>
          <w:b w:val="0"/>
          <w:bCs/>
          <w:color w:val="000000"/>
          <w:sz w:val="32"/>
          <w:szCs w:val="32"/>
          <w:highlight w:val="none"/>
          <w:shd w:val="clear" w:color="auto" w:fill="auto"/>
        </w:rPr>
        <w:t>。</w:t>
      </w:r>
      <w:r>
        <w:rPr>
          <w:rFonts w:eastAsia="仿宋"/>
          <w:color w:val="000000"/>
          <w:kern w:val="0"/>
          <w:sz w:val="32"/>
          <w:szCs w:val="32"/>
          <w:highlight w:val="none"/>
          <w:shd w:val="clear" w:color="auto" w:fill="auto"/>
        </w:rPr>
        <w:t>依据</w:t>
      </w:r>
      <w:r>
        <w:rPr>
          <w:rFonts w:eastAsia="仿宋"/>
          <w:color w:val="000000"/>
          <w:sz w:val="32"/>
          <w:szCs w:val="32"/>
          <w:highlight w:val="none"/>
          <w:shd w:val="clear" w:color="auto" w:fill="auto"/>
        </w:rPr>
        <w:t>《再生资源回收站点建设管理规范（SB/T 10719</w:t>
      </w:r>
      <w:r>
        <w:rPr>
          <w:rFonts w:hint="eastAsia" w:ascii="Times New Roman" w:hAnsi="Times New Roman" w:eastAsia="方正仿宋_GBK" w:cs="方正仿宋_GBK"/>
          <w:b w:val="0"/>
          <w:bCs w:val="0"/>
          <w:color w:val="000000"/>
          <w:w w:val="95"/>
          <w:kern w:val="0"/>
          <w:sz w:val="32"/>
          <w:szCs w:val="32"/>
          <w:highlight w:val="none"/>
          <w:shd w:val="clear" w:color="auto" w:fill="auto"/>
          <w:lang w:val="en-US" w:eastAsia="zh-CN" w:bidi="ar"/>
        </w:rPr>
        <w:t>—</w:t>
      </w:r>
      <w:r>
        <w:rPr>
          <w:rFonts w:eastAsia="仿宋"/>
          <w:color w:val="000000"/>
          <w:sz w:val="32"/>
          <w:szCs w:val="32"/>
          <w:highlight w:val="none"/>
          <w:shd w:val="clear" w:color="auto" w:fill="auto"/>
        </w:rPr>
        <w:t>2012）》</w:t>
      </w:r>
      <w:r>
        <w:rPr>
          <w:rFonts w:eastAsia="仿宋"/>
          <w:color w:val="000000"/>
          <w:kern w:val="0"/>
          <w:sz w:val="32"/>
          <w:szCs w:val="32"/>
          <w:highlight w:val="none"/>
          <w:shd w:val="clear" w:color="auto" w:fill="auto"/>
        </w:rPr>
        <w:t>《</w:t>
      </w:r>
      <w:r>
        <w:rPr>
          <w:rFonts w:eastAsia="仿宋"/>
          <w:color w:val="000000"/>
          <w:sz w:val="32"/>
          <w:szCs w:val="32"/>
          <w:highlight w:val="none"/>
          <w:shd w:val="clear" w:color="auto" w:fill="auto"/>
        </w:rPr>
        <w:t>惠州市城乡环境卫生专项规划（2017-2035）</w:t>
      </w:r>
      <w:r>
        <w:rPr>
          <w:rFonts w:eastAsia="仿宋"/>
          <w:color w:val="000000"/>
          <w:kern w:val="0"/>
          <w:sz w:val="32"/>
          <w:szCs w:val="32"/>
          <w:highlight w:val="none"/>
          <w:shd w:val="clear" w:color="auto" w:fill="auto"/>
        </w:rPr>
        <w:t>》建设标准，</w:t>
      </w:r>
      <w:r>
        <w:rPr>
          <w:rFonts w:eastAsia="仿宋"/>
          <w:color w:val="000000"/>
          <w:sz w:val="32"/>
          <w:szCs w:val="32"/>
          <w:highlight w:val="none"/>
          <w:shd w:val="clear" w:color="auto" w:fill="auto"/>
        </w:rPr>
        <w:t>纵深推进生活垃圾分类建设。</w:t>
      </w:r>
      <w:r>
        <w:rPr>
          <w:rFonts w:eastAsia="仿宋"/>
          <w:color w:val="000000"/>
          <w:kern w:val="0"/>
          <w:sz w:val="32"/>
          <w:szCs w:val="32"/>
          <w:highlight w:val="none"/>
          <w:shd w:val="clear" w:color="auto" w:fill="auto"/>
        </w:rPr>
        <w:t>按照</w:t>
      </w:r>
      <w:r>
        <w:rPr>
          <w:rFonts w:hint="eastAsia" w:eastAsia="仿宋"/>
          <w:color w:val="000000"/>
          <w:kern w:val="0"/>
          <w:sz w:val="32"/>
          <w:szCs w:val="32"/>
          <w:highlight w:val="none"/>
          <w:shd w:val="clear" w:color="auto" w:fill="auto"/>
          <w:lang w:eastAsia="zh-CN"/>
        </w:rPr>
        <w:t>“便于</w:t>
      </w:r>
      <w:r>
        <w:rPr>
          <w:rFonts w:eastAsia="仿宋"/>
          <w:color w:val="000000"/>
          <w:kern w:val="0"/>
          <w:sz w:val="32"/>
          <w:szCs w:val="32"/>
          <w:highlight w:val="none"/>
          <w:shd w:val="clear" w:color="auto" w:fill="auto"/>
        </w:rPr>
        <w:t>交售</w:t>
      </w:r>
      <w:r>
        <w:rPr>
          <w:rFonts w:hint="eastAsia" w:eastAsia="仿宋"/>
          <w:color w:val="000000"/>
          <w:kern w:val="0"/>
          <w:sz w:val="32"/>
          <w:szCs w:val="32"/>
          <w:highlight w:val="none"/>
          <w:shd w:val="clear" w:color="auto" w:fill="auto"/>
          <w:lang w:eastAsia="zh-CN"/>
        </w:rPr>
        <w:t>”</w:t>
      </w:r>
      <w:r>
        <w:rPr>
          <w:rFonts w:eastAsia="仿宋"/>
          <w:color w:val="000000"/>
          <w:kern w:val="0"/>
          <w:sz w:val="32"/>
          <w:szCs w:val="32"/>
          <w:highlight w:val="none"/>
          <w:shd w:val="clear" w:color="auto" w:fill="auto"/>
        </w:rPr>
        <w:t>的原则，在</w:t>
      </w:r>
      <w:r>
        <w:rPr>
          <w:rFonts w:eastAsia="仿宋"/>
          <w:color w:val="000000"/>
          <w:sz w:val="32"/>
          <w:szCs w:val="32"/>
          <w:highlight w:val="none"/>
          <w:shd w:val="clear" w:color="auto" w:fill="auto"/>
        </w:rPr>
        <w:t>县（区）中心区</w:t>
      </w:r>
      <w:r>
        <w:rPr>
          <w:rFonts w:eastAsia="仿宋"/>
          <w:color w:val="000000"/>
          <w:kern w:val="0"/>
          <w:sz w:val="32"/>
          <w:szCs w:val="32"/>
          <w:highlight w:val="none"/>
          <w:shd w:val="clear" w:color="auto" w:fill="auto"/>
        </w:rPr>
        <w:t>街道内的居民小区新建和改造生活垃圾分类可回收物回收设施，</w:t>
      </w:r>
      <w:bookmarkStart w:id="50" w:name="_Toc42519722"/>
      <w:r>
        <w:rPr>
          <w:rFonts w:eastAsia="仿宋"/>
          <w:color w:val="000000"/>
          <w:kern w:val="0"/>
          <w:sz w:val="32"/>
          <w:szCs w:val="32"/>
          <w:highlight w:val="none"/>
          <w:shd w:val="clear" w:color="auto" w:fill="auto"/>
        </w:rPr>
        <w:t>在农村乡镇按照</w:t>
      </w:r>
      <w:r>
        <w:rPr>
          <w:rFonts w:eastAsia="仿宋"/>
          <w:color w:val="000000"/>
          <w:sz w:val="32"/>
          <w:szCs w:val="32"/>
          <w:highlight w:val="none"/>
          <w:shd w:val="clear" w:color="auto" w:fill="auto"/>
        </w:rPr>
        <w:t>农村环卫体系规划</w:t>
      </w:r>
      <w:bookmarkEnd w:id="50"/>
      <w:r>
        <w:rPr>
          <w:rFonts w:eastAsia="仿宋"/>
          <w:color w:val="000000"/>
          <w:sz w:val="32"/>
          <w:szCs w:val="32"/>
          <w:highlight w:val="none"/>
          <w:shd w:val="clear" w:color="auto" w:fill="auto"/>
        </w:rPr>
        <w:t>加快设置规范农村生活垃圾可回收物收集点，</w:t>
      </w:r>
      <w:r>
        <w:rPr>
          <w:rFonts w:eastAsia="仿宋"/>
          <w:color w:val="000000"/>
          <w:kern w:val="0"/>
          <w:sz w:val="32"/>
          <w:szCs w:val="32"/>
          <w:highlight w:val="none"/>
          <w:shd w:val="clear" w:color="auto" w:fill="auto"/>
        </w:rPr>
        <w:t>实现再生资源可回收网点全覆盖。</w:t>
      </w:r>
    </w:p>
    <w:p>
      <w:pPr>
        <w:pStyle w:val="4"/>
        <w:keepNext w:val="0"/>
        <w:keepLines w:val="0"/>
        <w:pageBreakBefore w:val="0"/>
        <w:widowControl w:val="0"/>
        <w:kinsoku/>
        <w:wordWrap/>
        <w:overflowPunct/>
        <w:topLinePunct w:val="0"/>
        <w:autoSpaceDE/>
        <w:autoSpaceDN/>
        <w:bidi w:val="0"/>
        <w:spacing w:line="560" w:lineRule="exact"/>
        <w:ind w:firstLine="643"/>
        <w:outlineLvl w:val="1"/>
        <w:rPr>
          <w:rFonts w:hint="eastAsia" w:eastAsia="方正楷体_GBK"/>
          <w:b w:val="0"/>
          <w:color w:val="000000"/>
          <w:kern w:val="2"/>
          <w:sz w:val="32"/>
          <w:szCs w:val="24"/>
          <w:highlight w:val="none"/>
          <w:shd w:val="clear" w:color="auto" w:fill="auto"/>
          <w:lang w:eastAsia="zh-CN"/>
        </w:rPr>
      </w:pPr>
      <w:bookmarkStart w:id="51" w:name="_Toc51728353"/>
      <w:bookmarkStart w:id="52" w:name="_Toc7637"/>
      <w:r>
        <w:rPr>
          <w:rFonts w:hint="eastAsia" w:eastAsia="方正楷体_GBK"/>
          <w:b w:val="0"/>
          <w:color w:val="000000"/>
          <w:kern w:val="2"/>
          <w:sz w:val="32"/>
          <w:szCs w:val="24"/>
          <w:highlight w:val="none"/>
          <w:shd w:val="clear" w:color="auto" w:fill="auto"/>
        </w:rPr>
        <w:t>（二）健全回收体系，实现应收尽收</w:t>
      </w:r>
      <w:bookmarkEnd w:id="51"/>
      <w:bookmarkEnd w:id="52"/>
      <w:r>
        <w:rPr>
          <w:rFonts w:hint="eastAsia"/>
          <w:b w:val="0"/>
          <w:color w:val="000000"/>
          <w:kern w:val="2"/>
          <w:sz w:val="32"/>
          <w:szCs w:val="24"/>
          <w:highlight w:val="none"/>
          <w:shd w:val="clear" w:color="auto" w:fill="auto"/>
          <w:lang w:eastAsia="zh-CN"/>
        </w:rPr>
        <w:t>。</w:t>
      </w:r>
    </w:p>
    <w:p>
      <w:pPr>
        <w:pStyle w:val="35"/>
        <w:keepNext w:val="0"/>
        <w:keepLines w:val="0"/>
        <w:pageBreakBefore w:val="0"/>
        <w:widowControl w:val="0"/>
        <w:kinsoku/>
        <w:wordWrap/>
        <w:overflowPunct/>
        <w:topLinePunct w:val="0"/>
        <w:autoSpaceDE/>
        <w:autoSpaceDN/>
        <w:bidi w:val="0"/>
        <w:spacing w:line="560" w:lineRule="exact"/>
        <w:ind w:firstLine="640" w:firstLineChars="200"/>
        <w:rPr>
          <w:rFonts w:eastAsia="仿宋"/>
          <w:color w:val="000000"/>
          <w:sz w:val="32"/>
          <w:szCs w:val="32"/>
          <w:highlight w:val="none"/>
          <w:shd w:val="clear" w:color="auto" w:fill="auto"/>
        </w:rPr>
      </w:pPr>
      <w:r>
        <w:rPr>
          <w:rFonts w:eastAsia="仿宋"/>
          <w:bCs/>
          <w:color w:val="000000"/>
          <w:kern w:val="0"/>
          <w:sz w:val="32"/>
          <w:szCs w:val="32"/>
          <w:highlight w:val="none"/>
          <w:shd w:val="clear" w:color="auto" w:fill="auto"/>
        </w:rPr>
        <w:t>以</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无废城市</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建设和生活垃圾强制分类工作为契机，推动回收网点智能化建设，构建线上线下立体回收体系，加快再生资源逆向物流体系建设规划，先行先试智能化回收、以车代库等经营模式。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color w:val="000000"/>
          <w:sz w:val="32"/>
          <w:szCs w:val="32"/>
          <w:highlight w:val="none"/>
          <w:shd w:val="clear" w:color="auto" w:fill="auto"/>
        </w:rPr>
      </w:pPr>
      <w:r>
        <w:rPr>
          <w:rFonts w:hint="eastAsia" w:eastAsia="仿宋"/>
          <w:b w:val="0"/>
          <w:bCs/>
          <w:i w:val="0"/>
          <w:iCs w:val="0"/>
          <w:color w:val="000000"/>
          <w:kern w:val="0"/>
          <w:sz w:val="32"/>
          <w:szCs w:val="32"/>
          <w:highlight w:val="none"/>
          <w:shd w:val="clear" w:color="auto" w:fill="auto"/>
          <w:lang w:val="en-US" w:eastAsia="zh-CN"/>
        </w:rPr>
        <w:t>1</w:t>
      </w:r>
      <w:r>
        <w:rPr>
          <w:rFonts w:hint="eastAsia" w:eastAsia="仿宋"/>
          <w:b w:val="0"/>
          <w:bCs/>
          <w:color w:val="000000"/>
          <w:kern w:val="0"/>
          <w:sz w:val="32"/>
          <w:szCs w:val="32"/>
          <w:highlight w:val="none"/>
          <w:shd w:val="clear" w:color="auto" w:fill="auto"/>
          <w:lang w:val="en-US" w:eastAsia="zh-CN"/>
        </w:rPr>
        <w:t xml:space="preserve">. </w:t>
      </w:r>
      <w:r>
        <w:rPr>
          <w:rFonts w:eastAsia="仿宋"/>
          <w:b w:val="0"/>
          <w:bCs/>
          <w:i w:val="0"/>
          <w:iCs w:val="0"/>
          <w:color w:val="000000"/>
          <w:kern w:val="0"/>
          <w:sz w:val="32"/>
          <w:szCs w:val="32"/>
          <w:highlight w:val="none"/>
          <w:shd w:val="clear" w:color="auto" w:fill="auto"/>
        </w:rPr>
        <w:t>加快打造高效智能化回收体系。</w:t>
      </w:r>
      <w:r>
        <w:rPr>
          <w:rFonts w:eastAsia="仿宋"/>
          <w:bCs/>
          <w:color w:val="000000"/>
          <w:kern w:val="0"/>
          <w:sz w:val="32"/>
          <w:szCs w:val="32"/>
          <w:highlight w:val="none"/>
          <w:shd w:val="clear" w:color="auto" w:fill="auto"/>
        </w:rPr>
        <w:t>大力推动</w:t>
      </w:r>
      <w:r>
        <w:rPr>
          <w:rFonts w:eastAsia="仿宋"/>
          <w:color w:val="000000"/>
          <w:sz w:val="32"/>
          <w:szCs w:val="32"/>
          <w:highlight w:val="none"/>
          <w:shd w:val="clear" w:color="auto" w:fill="auto"/>
        </w:rPr>
        <w:t>县（区）中心区</w:t>
      </w:r>
      <w:r>
        <w:rPr>
          <w:rFonts w:eastAsia="仿宋"/>
          <w:bCs/>
          <w:color w:val="000000"/>
          <w:kern w:val="0"/>
          <w:sz w:val="32"/>
          <w:szCs w:val="32"/>
          <w:highlight w:val="none"/>
          <w:shd w:val="clear" w:color="auto" w:fill="auto"/>
        </w:rPr>
        <w:t>社区回收设施智能化改造和建设，加快推动智能型回收设施对传统回收设施的替代与置换，鼓励</w:t>
      </w:r>
      <w:r>
        <w:rPr>
          <w:rFonts w:eastAsia="仿宋"/>
          <w:color w:val="000000"/>
          <w:sz w:val="32"/>
          <w:szCs w:val="32"/>
          <w:highlight w:val="none"/>
          <w:shd w:val="clear" w:color="auto" w:fill="auto"/>
        </w:rPr>
        <w:t>县（区）中心区</w:t>
      </w:r>
      <w:r>
        <w:rPr>
          <w:rFonts w:eastAsia="仿宋"/>
          <w:bCs/>
          <w:color w:val="000000"/>
          <w:kern w:val="0"/>
          <w:sz w:val="32"/>
          <w:szCs w:val="32"/>
          <w:highlight w:val="none"/>
          <w:shd w:val="clear" w:color="auto" w:fill="auto"/>
        </w:rPr>
        <w:t>社区引进智能型回收设施。鼓励回收企业与各类产废企业和产业园区建立战略合作关系，推动回收企业与产废企业精准对接，减少中间环节，建构有利于生产企业生产的再生资源及时、快速、安全的转运处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sz w:val="32"/>
          <w:szCs w:val="32"/>
          <w:highlight w:val="none"/>
          <w:shd w:val="clear" w:color="auto" w:fill="auto"/>
        </w:rPr>
      </w:pPr>
      <w:r>
        <w:rPr>
          <w:rFonts w:hint="eastAsia" w:eastAsia="仿宋"/>
          <w:b w:val="0"/>
          <w:bCs/>
          <w:kern w:val="0"/>
          <w:sz w:val="32"/>
          <w:szCs w:val="32"/>
          <w:highlight w:val="none"/>
          <w:shd w:val="clear" w:color="auto" w:fill="auto"/>
          <w:lang w:val="en-US" w:eastAsia="zh-CN"/>
        </w:rPr>
        <w:t xml:space="preserve">2. </w:t>
      </w:r>
      <w:r>
        <w:rPr>
          <w:rFonts w:eastAsia="仿宋"/>
          <w:b w:val="0"/>
          <w:bCs/>
          <w:kern w:val="0"/>
          <w:sz w:val="32"/>
          <w:szCs w:val="32"/>
          <w:highlight w:val="none"/>
          <w:shd w:val="clear" w:color="auto" w:fill="auto"/>
        </w:rPr>
        <w:t>加快建设线上线下立体回收体系。</w:t>
      </w:r>
      <w:r>
        <w:rPr>
          <w:rFonts w:eastAsia="仿宋"/>
          <w:bCs/>
          <w:kern w:val="0"/>
          <w:sz w:val="32"/>
          <w:szCs w:val="32"/>
          <w:highlight w:val="none"/>
          <w:shd w:val="clear" w:color="auto" w:fill="auto"/>
        </w:rPr>
        <w:t>鼓励互联网技术在再生资源回收三级网络体系的应用，建设线上线下立体交售平台。鼓励再生资源回收企业充分利用各种信息技术，便捷化交售与支付。支持再生资源回收企业通过PC端、APP应用、微信小程序开发，创新回收经营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rPr>
          <w:rFonts w:eastAsia="仿宋"/>
          <w:b/>
          <w:color w:val="000000"/>
          <w:kern w:val="0"/>
          <w:sz w:val="32"/>
          <w:szCs w:val="32"/>
          <w:highlight w:val="none"/>
          <w:shd w:val="clear" w:color="auto" w:fill="auto"/>
        </w:rPr>
      </w:pPr>
      <w:r>
        <w:rPr>
          <w:rFonts w:hint="eastAsia" w:eastAsia="仿宋"/>
          <w:b w:val="0"/>
          <w:bCs/>
          <w:kern w:val="0"/>
          <w:sz w:val="32"/>
          <w:szCs w:val="32"/>
          <w:highlight w:val="none"/>
          <w:shd w:val="clear" w:color="auto" w:fill="auto"/>
          <w:lang w:val="en-US" w:eastAsia="zh-CN"/>
        </w:rPr>
        <w:t xml:space="preserve">3. </w:t>
      </w:r>
      <w:r>
        <w:rPr>
          <w:rFonts w:eastAsia="仿宋"/>
          <w:b w:val="0"/>
          <w:bCs/>
          <w:kern w:val="0"/>
          <w:sz w:val="32"/>
          <w:szCs w:val="32"/>
          <w:highlight w:val="none"/>
          <w:shd w:val="clear" w:color="auto" w:fill="auto"/>
        </w:rPr>
        <w:t>推广以车代库回收经营模式，加快逆向物流体系建设。</w:t>
      </w:r>
      <w:r>
        <w:rPr>
          <w:rFonts w:eastAsia="仿宋"/>
          <w:bCs/>
          <w:kern w:val="0"/>
          <w:sz w:val="32"/>
          <w:szCs w:val="32"/>
          <w:highlight w:val="none"/>
          <w:shd w:val="clear" w:color="auto" w:fill="auto"/>
        </w:rPr>
        <w:t>先行先试，鼓励城区再生资源回收网点采用以车代库新型再生资源</w:t>
      </w:r>
      <w:r>
        <w:rPr>
          <w:rFonts w:eastAsia="仿宋"/>
          <w:bCs/>
          <w:color w:val="000000"/>
          <w:kern w:val="0"/>
          <w:sz w:val="32"/>
          <w:szCs w:val="32"/>
          <w:highlight w:val="none"/>
          <w:shd w:val="clear" w:color="auto" w:fill="auto"/>
        </w:rPr>
        <w:t>回收模式，实行</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定点、定时、定车</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，灵活机动，扩大再生资源回收覆盖范围，解决传统固定回收点</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脏乱差</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的经营现状。加快推动生产性再生资源逆向物流体系规划建设，鼓励工业企业、医院、商场、小区物业、娱乐场所、酒店等经济主体参与逆向物流体系规划建设，完善收运制度，提高资源循环利用效率。</w:t>
      </w:r>
    </w:p>
    <w:p>
      <w:pPr>
        <w:pStyle w:val="35"/>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rPr>
          <w:color w:val="000000"/>
          <w:sz w:val="32"/>
          <w:szCs w:val="32"/>
          <w:highlight w:val="none"/>
          <w:shd w:val="clear" w:color="auto" w:fill="auto"/>
        </w:rPr>
      </w:pPr>
      <w:r>
        <w:rPr>
          <w:rFonts w:hint="eastAsia" w:eastAsia="仿宋"/>
          <w:b w:val="0"/>
          <w:bCs/>
          <w:color w:val="000000"/>
          <w:kern w:val="0"/>
          <w:sz w:val="32"/>
          <w:szCs w:val="32"/>
          <w:highlight w:val="none"/>
          <w:shd w:val="clear" w:color="auto" w:fill="auto"/>
          <w:lang w:val="en-US" w:eastAsia="zh-CN"/>
        </w:rPr>
        <w:t xml:space="preserve">4. </w:t>
      </w:r>
      <w:r>
        <w:rPr>
          <w:rFonts w:eastAsia="仿宋"/>
          <w:b w:val="0"/>
          <w:bCs/>
          <w:color w:val="000000"/>
          <w:kern w:val="0"/>
          <w:sz w:val="32"/>
          <w:szCs w:val="32"/>
          <w:highlight w:val="none"/>
          <w:shd w:val="clear" w:color="auto" w:fill="auto"/>
        </w:rPr>
        <w:t>促进低值再生资源应收尽收。</w:t>
      </w:r>
      <w:r>
        <w:rPr>
          <w:rFonts w:eastAsia="仿宋"/>
          <w:bCs/>
          <w:color w:val="000000"/>
          <w:kern w:val="0"/>
          <w:sz w:val="32"/>
          <w:szCs w:val="32"/>
          <w:highlight w:val="none"/>
          <w:shd w:val="clear" w:color="auto" w:fill="auto"/>
        </w:rPr>
        <w:t>通过成立专门管理机构、设立回收专项补贴基金、建设专门回收渠道和设施、打造专项安全物流体系、加强回收企业和加工处理企业对接合作等方式，确保玻璃、塑料、木材、织物、杂铁等低值再生资源应收尽收，不断提升低值再生资源回收利用率。</w:t>
      </w:r>
    </w:p>
    <w:p>
      <w:pPr>
        <w:pStyle w:val="4"/>
        <w:keepNext w:val="0"/>
        <w:keepLines w:val="0"/>
        <w:pageBreakBefore w:val="0"/>
        <w:widowControl w:val="0"/>
        <w:kinsoku/>
        <w:wordWrap/>
        <w:overflowPunct/>
        <w:topLinePunct w:val="0"/>
        <w:autoSpaceDE/>
        <w:autoSpaceDN/>
        <w:bidi w:val="0"/>
        <w:spacing w:line="560" w:lineRule="exact"/>
        <w:ind w:firstLine="643"/>
        <w:outlineLvl w:val="1"/>
        <w:rPr>
          <w:rFonts w:hint="eastAsia" w:ascii="Arial" w:hAnsi="Arial" w:eastAsia="方正楷体_GBK"/>
          <w:b w:val="0"/>
          <w:color w:val="000000"/>
          <w:kern w:val="2"/>
          <w:sz w:val="32"/>
          <w:szCs w:val="24"/>
          <w:highlight w:val="none"/>
          <w:shd w:val="clear" w:color="auto" w:fill="auto"/>
          <w:lang w:eastAsia="zh-CN"/>
        </w:rPr>
      </w:pPr>
      <w:bookmarkStart w:id="53" w:name="_Toc31042"/>
      <w:bookmarkStart w:id="54" w:name="_Toc578665831"/>
      <w:r>
        <w:rPr>
          <w:rFonts w:hint="eastAsia" w:ascii="Arial" w:hAnsi="Arial" w:eastAsia="方正楷体_GBK"/>
          <w:b w:val="0"/>
          <w:color w:val="000000"/>
          <w:kern w:val="2"/>
          <w:sz w:val="32"/>
          <w:szCs w:val="24"/>
          <w:highlight w:val="none"/>
          <w:shd w:val="clear" w:color="auto" w:fill="auto"/>
        </w:rPr>
        <w:t>（三）探索两网融合，提高利用水平</w:t>
      </w:r>
      <w:bookmarkEnd w:id="53"/>
      <w:bookmarkEnd w:id="54"/>
      <w:r>
        <w:rPr>
          <w:rFonts w:hint="eastAsia"/>
          <w:b w:val="0"/>
          <w:color w:val="00000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按照国家、省生活垃圾强制分类</w:t>
      </w:r>
      <w:r>
        <w:rPr>
          <w:rFonts w:hint="eastAsia" w:eastAsia="仿宋"/>
          <w:bCs/>
          <w:color w:val="000000"/>
          <w:kern w:val="0"/>
          <w:sz w:val="32"/>
          <w:szCs w:val="32"/>
          <w:highlight w:val="none"/>
          <w:shd w:val="clear" w:color="auto" w:fill="auto"/>
          <w:lang w:eastAsia="zh-CN"/>
        </w:rPr>
        <w:t>有关</w:t>
      </w:r>
      <w:r>
        <w:rPr>
          <w:rFonts w:eastAsia="仿宋"/>
          <w:bCs/>
          <w:color w:val="000000"/>
          <w:kern w:val="0"/>
          <w:sz w:val="32"/>
          <w:szCs w:val="32"/>
          <w:highlight w:val="none"/>
          <w:shd w:val="clear" w:color="auto" w:fill="auto"/>
        </w:rPr>
        <w:t>工作要求，积极探索再生资源回收体系与生活垃圾分类回收体系有效衔接和数据共享，借鉴</w:t>
      </w:r>
      <w:r>
        <w:rPr>
          <w:rFonts w:hint="eastAsia" w:eastAsia="仿宋"/>
          <w:bCs/>
          <w:color w:val="000000"/>
          <w:kern w:val="0"/>
          <w:sz w:val="32"/>
          <w:szCs w:val="32"/>
          <w:highlight w:val="none"/>
          <w:shd w:val="clear" w:color="auto" w:fill="auto"/>
          <w:lang w:eastAsia="zh-CN"/>
        </w:rPr>
        <w:t>广州、</w:t>
      </w:r>
      <w:r>
        <w:rPr>
          <w:rFonts w:eastAsia="仿宋"/>
          <w:bCs/>
          <w:color w:val="000000"/>
          <w:kern w:val="0"/>
          <w:sz w:val="32"/>
          <w:szCs w:val="32"/>
          <w:highlight w:val="none"/>
          <w:shd w:val="clear" w:color="auto" w:fill="auto"/>
        </w:rPr>
        <w:t>深圳、杭州等地的有益经验，加强部门间沟通联系，适时试点推行</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两网融合</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衔接工程，提高生活垃圾资源化利用水平。</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13" w:firstLine="643"/>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试点推行</w:t>
      </w:r>
      <w:r>
        <w:rPr>
          <w:rFonts w:hint="eastAsia" w:eastAsia="方正楷体_GBK"/>
          <w:b w:val="0"/>
          <w:bCs w:val="0"/>
          <w:color w:val="000000"/>
          <w:sz w:val="32"/>
          <w:szCs w:val="32"/>
          <w:highlight w:val="none"/>
          <w:shd w:val="clear" w:color="auto" w:fill="auto"/>
          <w:lang w:eastAsia="zh-CN"/>
        </w:rPr>
        <w:t>“</w:t>
      </w:r>
      <w:r>
        <w:rPr>
          <w:rFonts w:eastAsia="方正楷体_GBK"/>
          <w:b w:val="0"/>
          <w:bCs w:val="0"/>
          <w:color w:val="000000"/>
          <w:sz w:val="32"/>
          <w:szCs w:val="32"/>
          <w:highlight w:val="none"/>
          <w:shd w:val="clear" w:color="auto" w:fill="auto"/>
        </w:rPr>
        <w:t>两网融合</w:t>
      </w:r>
      <w:r>
        <w:rPr>
          <w:rFonts w:hint="eastAsia" w:eastAsia="方正楷体_GBK"/>
          <w:b w:val="0"/>
          <w:bCs w:val="0"/>
          <w:color w:val="000000"/>
          <w:sz w:val="32"/>
          <w:szCs w:val="32"/>
          <w:highlight w:val="none"/>
          <w:shd w:val="clear" w:color="auto" w:fill="auto"/>
          <w:lang w:eastAsia="zh-CN"/>
        </w:rPr>
        <w:t>”</w:t>
      </w:r>
      <w:r>
        <w:rPr>
          <w:rFonts w:eastAsia="方正楷体_GBK"/>
          <w:b w:val="0"/>
          <w:bCs w:val="0"/>
          <w:color w:val="000000"/>
          <w:sz w:val="32"/>
          <w:szCs w:val="32"/>
          <w:highlight w:val="none"/>
          <w:shd w:val="clear" w:color="auto" w:fill="auto"/>
        </w:rPr>
        <w:t>运营模式。</w:t>
      </w:r>
      <w:r>
        <w:rPr>
          <w:rFonts w:eastAsia="仿宋"/>
          <w:bCs/>
          <w:color w:val="000000"/>
          <w:kern w:val="0"/>
          <w:sz w:val="32"/>
          <w:szCs w:val="32"/>
          <w:highlight w:val="none"/>
          <w:shd w:val="clear" w:color="auto" w:fill="auto"/>
        </w:rPr>
        <w:t>鼓励惠城区在较为成熟的城市社区、产业园区、商业区、学校、医院及其他公共机构等区域试点推行“两网融合”运营模式，探索新的商业模式，及时总结运营经验，适时进行全面推广。</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13" w:leftChars="0" w:firstLine="643" w:firstLineChars="0"/>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实现</w:t>
      </w:r>
      <w:r>
        <w:rPr>
          <w:rFonts w:hint="eastAsia" w:eastAsia="方正楷体_GBK"/>
          <w:b w:val="0"/>
          <w:bCs w:val="0"/>
          <w:color w:val="000000"/>
          <w:sz w:val="32"/>
          <w:szCs w:val="32"/>
          <w:highlight w:val="none"/>
          <w:shd w:val="clear" w:color="auto" w:fill="auto"/>
          <w:lang w:eastAsia="zh-CN"/>
        </w:rPr>
        <w:t>“</w:t>
      </w:r>
      <w:r>
        <w:rPr>
          <w:rFonts w:eastAsia="方正楷体_GBK"/>
          <w:b w:val="0"/>
          <w:bCs w:val="0"/>
          <w:color w:val="000000"/>
          <w:sz w:val="32"/>
          <w:szCs w:val="32"/>
          <w:highlight w:val="none"/>
          <w:shd w:val="clear" w:color="auto" w:fill="auto"/>
        </w:rPr>
        <w:t>两网</w:t>
      </w:r>
      <w:r>
        <w:rPr>
          <w:rFonts w:hint="eastAsia" w:eastAsia="方正楷体_GBK"/>
          <w:b w:val="0"/>
          <w:bCs w:val="0"/>
          <w:color w:val="000000"/>
          <w:sz w:val="32"/>
          <w:szCs w:val="32"/>
          <w:highlight w:val="none"/>
          <w:shd w:val="clear" w:color="auto" w:fill="auto"/>
          <w:lang w:eastAsia="zh-CN"/>
        </w:rPr>
        <w:t>”</w:t>
      </w:r>
      <w:r>
        <w:rPr>
          <w:rFonts w:eastAsia="方正楷体_GBK"/>
          <w:b w:val="0"/>
          <w:bCs w:val="0"/>
          <w:color w:val="000000"/>
          <w:sz w:val="32"/>
          <w:szCs w:val="32"/>
          <w:highlight w:val="none"/>
          <w:shd w:val="clear" w:color="auto" w:fill="auto"/>
        </w:rPr>
        <w:t>数据共享。</w:t>
      </w:r>
      <w:r>
        <w:rPr>
          <w:rFonts w:eastAsia="仿宋"/>
          <w:bCs/>
          <w:color w:val="000000"/>
          <w:kern w:val="0"/>
          <w:sz w:val="32"/>
          <w:szCs w:val="32"/>
          <w:highlight w:val="none"/>
          <w:shd w:val="clear" w:color="auto" w:fill="auto"/>
        </w:rPr>
        <w:t>利用再生资源回收网络体系和生活垃圾分类体系，全面完整收集、申报各环节信息，打通</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两网</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数据信息平台，实现平台数据链接和信息互通，实现再生资源与生活垃圾分类回收数据共享。</w:t>
      </w:r>
    </w:p>
    <w:p>
      <w:pPr>
        <w:pStyle w:val="4"/>
        <w:keepNext w:val="0"/>
        <w:keepLines w:val="0"/>
        <w:pageBreakBefore w:val="0"/>
        <w:widowControl w:val="0"/>
        <w:kinsoku/>
        <w:wordWrap/>
        <w:overflowPunct/>
        <w:topLinePunct w:val="0"/>
        <w:autoSpaceDE/>
        <w:autoSpaceDN/>
        <w:bidi w:val="0"/>
        <w:spacing w:line="560" w:lineRule="exact"/>
        <w:ind w:firstLine="643"/>
        <w:outlineLvl w:val="1"/>
        <w:rPr>
          <w:rFonts w:hint="eastAsia" w:ascii="Arial" w:hAnsi="Arial" w:eastAsia="方正楷体_GBK"/>
          <w:b w:val="0"/>
          <w:color w:val="000000"/>
          <w:kern w:val="2"/>
          <w:sz w:val="32"/>
          <w:szCs w:val="24"/>
          <w:highlight w:val="none"/>
          <w:shd w:val="clear" w:color="auto" w:fill="auto"/>
          <w:lang w:eastAsia="zh-CN"/>
        </w:rPr>
      </w:pPr>
      <w:bookmarkStart w:id="55" w:name="_Toc244683473"/>
      <w:bookmarkStart w:id="56" w:name="_Toc25754"/>
      <w:r>
        <w:rPr>
          <w:rFonts w:hint="eastAsia" w:ascii="Arial" w:hAnsi="Arial" w:eastAsia="方正楷体_GBK"/>
          <w:b w:val="0"/>
          <w:color w:val="000000"/>
          <w:kern w:val="2"/>
          <w:sz w:val="32"/>
          <w:szCs w:val="24"/>
          <w:highlight w:val="none"/>
          <w:shd w:val="clear" w:color="auto" w:fill="auto"/>
        </w:rPr>
        <w:t>（四）培育龙头企业，促进升档提质</w:t>
      </w:r>
      <w:bookmarkEnd w:id="55"/>
      <w:bookmarkEnd w:id="56"/>
      <w:r>
        <w:rPr>
          <w:rFonts w:hint="eastAsia"/>
          <w:b w:val="0"/>
          <w:color w:val="00000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加大力度培育和引进一批行业龙头企业，壮大龙头企业规模和实力，延伸产业链和价值链，发挥龙头企业的带动性和示范性，加快企业管理与技术转型，促进行业高质量发展，提高行业整体实力。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rPr>
          <w:rFonts w:eastAsia="楷体_GB2312"/>
          <w:b/>
          <w:color w:val="000000"/>
          <w:sz w:val="32"/>
          <w:szCs w:val="32"/>
          <w:highlight w:val="none"/>
          <w:shd w:val="clear" w:color="auto" w:fill="auto"/>
        </w:rPr>
      </w:pPr>
      <w:r>
        <w:rPr>
          <w:rFonts w:hint="eastAsia" w:eastAsia="方正楷体_GBK"/>
          <w:b w:val="0"/>
          <w:bCs w:val="0"/>
          <w:color w:val="000000"/>
          <w:sz w:val="32"/>
          <w:szCs w:val="32"/>
          <w:highlight w:val="none"/>
          <w:shd w:val="clear" w:color="auto" w:fill="auto"/>
          <w:lang w:val="en-US" w:eastAsia="zh-CN"/>
        </w:rPr>
        <w:t xml:space="preserve">1. </w:t>
      </w:r>
      <w:r>
        <w:rPr>
          <w:rFonts w:eastAsia="方正楷体_GBK"/>
          <w:b w:val="0"/>
          <w:bCs w:val="0"/>
          <w:color w:val="000000"/>
          <w:sz w:val="32"/>
          <w:szCs w:val="32"/>
          <w:highlight w:val="none"/>
          <w:shd w:val="clear" w:color="auto" w:fill="auto"/>
        </w:rPr>
        <w:t>大力支持培育行业龙头企业。</w:t>
      </w:r>
      <w:r>
        <w:rPr>
          <w:rFonts w:eastAsia="仿宋"/>
          <w:b w:val="0"/>
          <w:bCs w:val="0"/>
          <w:color w:val="000000"/>
          <w:kern w:val="0"/>
          <w:sz w:val="32"/>
          <w:szCs w:val="32"/>
          <w:highlight w:val="none"/>
          <w:shd w:val="clear" w:color="auto" w:fill="auto"/>
        </w:rPr>
        <w:t>支</w:t>
      </w:r>
      <w:r>
        <w:rPr>
          <w:rFonts w:eastAsia="仿宋"/>
          <w:bCs/>
          <w:color w:val="000000"/>
          <w:kern w:val="0"/>
          <w:sz w:val="32"/>
          <w:szCs w:val="32"/>
          <w:highlight w:val="none"/>
          <w:shd w:val="clear" w:color="auto" w:fill="auto"/>
        </w:rPr>
        <w:t>持再生资源回收企业加强纵向整合与横向联合，整合行业优势资源，吸引社会资本，创新回收模式，延伸产业链条，逐步培养形成一批回收网络完整、经营规模大、经济效益好、技术水平高、带动能力强的行业龙头企业。鼓励龙头企业加快上下游重组、与国内各先进城市龙头企业开展技术交流与合作，升级业态、模式和技术，提升行业品牌化、集约化发展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rPr>
          <w:rFonts w:eastAsia="仿宋"/>
          <w:bCs/>
          <w:color w:val="000000"/>
          <w:kern w:val="0"/>
          <w:sz w:val="32"/>
          <w:szCs w:val="32"/>
          <w:highlight w:val="none"/>
          <w:shd w:val="clear" w:color="auto" w:fill="auto"/>
        </w:rPr>
      </w:pPr>
      <w:r>
        <w:rPr>
          <w:rFonts w:hint="eastAsia" w:eastAsia="方正楷体_GBK"/>
          <w:b w:val="0"/>
          <w:bCs w:val="0"/>
          <w:color w:val="000000"/>
          <w:sz w:val="32"/>
          <w:szCs w:val="32"/>
          <w:highlight w:val="none"/>
          <w:shd w:val="clear" w:color="auto" w:fill="auto"/>
          <w:lang w:val="en-US" w:eastAsia="zh-CN"/>
        </w:rPr>
        <w:t xml:space="preserve">2. </w:t>
      </w:r>
      <w:r>
        <w:rPr>
          <w:rFonts w:eastAsia="方正楷体_GBK"/>
          <w:b w:val="0"/>
          <w:bCs w:val="0"/>
          <w:color w:val="000000"/>
          <w:sz w:val="32"/>
          <w:szCs w:val="32"/>
          <w:highlight w:val="none"/>
          <w:shd w:val="clear" w:color="auto" w:fill="auto"/>
        </w:rPr>
        <w:t>加快促进行业高质量发展。</w:t>
      </w:r>
      <w:r>
        <w:rPr>
          <w:rFonts w:eastAsia="仿宋"/>
          <w:bCs/>
          <w:color w:val="000000"/>
          <w:kern w:val="0"/>
          <w:sz w:val="32"/>
          <w:szCs w:val="32"/>
          <w:highlight w:val="none"/>
          <w:shd w:val="clear" w:color="auto" w:fill="auto"/>
        </w:rPr>
        <w:t>鼓励企业充分利用自动化、智能化、精细化回收分拣技术，提高资源回收与利用效率，增加产品的附加值，减少二次污染。鼓励企业加快技术和管理转型，加强合规管理，提高经营规范性和专业性。制定再生资源行业发展的高质量发展规范体系，定期举办再生资源技术产品和工艺创新大赛，鼓励企业加强产学研合作，建立高质量发展示范企业名录。</w:t>
      </w:r>
      <w:bookmarkStart w:id="57" w:name="_Toc28011"/>
    </w:p>
    <w:p>
      <w:pPr>
        <w:pStyle w:val="4"/>
        <w:pageBreakBefore w:val="0"/>
        <w:widowControl w:val="0"/>
        <w:kinsoku/>
        <w:wordWrap/>
        <w:overflowPunct/>
        <w:topLinePunct w:val="0"/>
        <w:autoSpaceDE/>
        <w:autoSpaceDN/>
        <w:bidi w:val="0"/>
        <w:adjustRightInd w:val="0"/>
        <w:snapToGrid w:val="0"/>
        <w:spacing w:line="560" w:lineRule="exact"/>
        <w:ind w:left="-13" w:firstLine="643"/>
        <w:rPr>
          <w:rFonts w:hint="eastAsia" w:ascii="Arial" w:hAnsi="Arial" w:eastAsia="方正楷体_GBK"/>
          <w:b w:val="0"/>
          <w:color w:val="000000"/>
          <w:kern w:val="2"/>
          <w:sz w:val="32"/>
          <w:szCs w:val="24"/>
          <w:highlight w:val="none"/>
          <w:shd w:val="clear" w:color="auto" w:fill="auto"/>
          <w:lang w:eastAsia="zh-CN"/>
        </w:rPr>
      </w:pPr>
      <w:bookmarkStart w:id="58" w:name="_Toc1071651791"/>
      <w:r>
        <w:rPr>
          <w:rFonts w:hint="eastAsia" w:ascii="Arial" w:hAnsi="Arial" w:eastAsia="方正楷体_GBK"/>
          <w:b w:val="0"/>
          <w:color w:val="000000"/>
          <w:kern w:val="2"/>
          <w:sz w:val="32"/>
          <w:szCs w:val="24"/>
          <w:highlight w:val="none"/>
          <w:shd w:val="clear" w:color="auto" w:fill="auto"/>
        </w:rPr>
        <w:t>（五）健全风控体系，建立预警机制</w:t>
      </w:r>
      <w:bookmarkEnd w:id="57"/>
      <w:bookmarkEnd w:id="58"/>
      <w:r>
        <w:rPr>
          <w:rFonts w:hint="eastAsia"/>
          <w:b w:val="0"/>
          <w:color w:val="00000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加强再生资源回收行业风险防控，建立行业风险分级管理体系与事故预警机制，提供风险辨识、评估、预警和处置行为标准与规范，排除事故隐患，预防事故发生，做好事故应急处理，营造安全生产良好环境。</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13" w:firstLine="643"/>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加快建立行业安全风险分级管理体系。</w:t>
      </w:r>
      <w:r>
        <w:rPr>
          <w:rFonts w:eastAsia="仿宋"/>
          <w:bCs/>
          <w:color w:val="000000"/>
          <w:kern w:val="0"/>
          <w:sz w:val="32"/>
          <w:szCs w:val="32"/>
          <w:highlight w:val="none"/>
          <w:shd w:val="clear" w:color="auto" w:fill="auto"/>
        </w:rPr>
        <w:t>根据再生资源回收三级体系经营面积、场所分布以及再生资源类型特点，加快建立行业风险分级体系，以主动识别、精准分析、及时管控、有效管理为原则，制定风险管控及应急管理机制，降低风险隐患，保障经营安全。</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13" w:leftChars="0" w:firstLine="643" w:firstLineChars="0"/>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加快建立行业安全风险预警机制。</w:t>
      </w:r>
      <w:r>
        <w:rPr>
          <w:rFonts w:eastAsia="仿宋"/>
          <w:bCs/>
          <w:color w:val="000000"/>
          <w:kern w:val="0"/>
          <w:sz w:val="32"/>
          <w:szCs w:val="32"/>
          <w:highlight w:val="none"/>
          <w:shd w:val="clear" w:color="auto" w:fill="auto"/>
        </w:rPr>
        <w:t>建立县（区）、乡镇（街道）、村（居委会）三级再生资源回收行业安全监测预警系统，将远程监控和实地监管有效结合，实现对回收网络场所、经营企业实时动态监测和风险预警。建立完善再生资源企业、回收网点基础信息库，完善经营企业和回收场所档案信息，实现监管专业化和精细化。通过实行领导责任制，建立各部门检查记录簿，完善定期检查、考核和责任追究等综合治理长效工作机制。</w:t>
      </w:r>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b w:val="0"/>
          <w:color w:val="000000"/>
          <w:kern w:val="2"/>
          <w:sz w:val="32"/>
          <w:szCs w:val="24"/>
          <w:highlight w:val="none"/>
          <w:shd w:val="clear" w:color="auto" w:fill="auto"/>
          <w:lang w:eastAsia="zh-CN"/>
        </w:rPr>
      </w:pPr>
      <w:bookmarkStart w:id="59" w:name="_Toc352120122"/>
      <w:bookmarkStart w:id="60" w:name="_Toc26460"/>
      <w:r>
        <w:rPr>
          <w:rFonts w:hint="eastAsia" w:ascii="Arial" w:hAnsi="Arial" w:eastAsia="方正楷体_GBK"/>
          <w:b w:val="0"/>
          <w:color w:val="000000"/>
          <w:kern w:val="2"/>
          <w:sz w:val="32"/>
          <w:szCs w:val="24"/>
          <w:highlight w:val="none"/>
          <w:shd w:val="clear" w:color="auto" w:fill="auto"/>
        </w:rPr>
        <w:t>（六）构建信息平台，促进共享合作</w:t>
      </w:r>
      <w:bookmarkEnd w:id="59"/>
      <w:bookmarkEnd w:id="60"/>
      <w:r>
        <w:rPr>
          <w:rFonts w:hint="eastAsia"/>
          <w:b w:val="0"/>
          <w:color w:val="000000"/>
          <w:kern w:val="2"/>
          <w:sz w:val="32"/>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构建行业信息共享平台和网上交易平台，集成数据库、网站和流媒体功能，提高信息透明度和可视化，促进行业信息要素流动，实现行业信息共享，促进行业管理科学和市场交易公平。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rPr>
          <w:rFonts w:eastAsia="仿宋"/>
          <w:b/>
          <w:color w:val="000000"/>
          <w:kern w:val="0"/>
          <w:sz w:val="32"/>
          <w:szCs w:val="32"/>
          <w:highlight w:val="none"/>
          <w:shd w:val="clear" w:color="auto" w:fill="auto"/>
        </w:rPr>
      </w:pPr>
      <w:r>
        <w:rPr>
          <w:rFonts w:hint="eastAsia" w:eastAsia="方正楷体_GBK"/>
          <w:b w:val="0"/>
          <w:bCs w:val="0"/>
          <w:color w:val="000000"/>
          <w:sz w:val="32"/>
          <w:szCs w:val="32"/>
          <w:highlight w:val="none"/>
          <w:shd w:val="clear" w:color="auto" w:fill="auto"/>
          <w:lang w:val="en-US" w:eastAsia="zh-CN"/>
        </w:rPr>
        <w:t xml:space="preserve">1. </w:t>
      </w:r>
      <w:r>
        <w:rPr>
          <w:rFonts w:eastAsia="方正楷体_GBK"/>
          <w:b w:val="0"/>
          <w:bCs w:val="0"/>
          <w:color w:val="000000"/>
          <w:sz w:val="32"/>
          <w:szCs w:val="32"/>
          <w:highlight w:val="none"/>
          <w:shd w:val="clear" w:color="auto" w:fill="auto"/>
        </w:rPr>
        <w:t>建立行业信息共享平台。</w:t>
      </w:r>
      <w:r>
        <w:rPr>
          <w:rFonts w:eastAsia="仿宋"/>
          <w:b w:val="0"/>
          <w:bCs w:val="0"/>
          <w:color w:val="000000"/>
          <w:kern w:val="0"/>
          <w:sz w:val="32"/>
          <w:szCs w:val="32"/>
          <w:highlight w:val="none"/>
          <w:shd w:val="clear" w:color="auto" w:fill="auto"/>
        </w:rPr>
        <w:t>构建</w:t>
      </w:r>
      <w:r>
        <w:rPr>
          <w:rFonts w:eastAsia="仿宋"/>
          <w:bCs/>
          <w:color w:val="000000"/>
          <w:kern w:val="0"/>
          <w:sz w:val="32"/>
          <w:szCs w:val="32"/>
          <w:highlight w:val="none"/>
          <w:shd w:val="clear" w:color="auto" w:fill="auto"/>
        </w:rPr>
        <w:t>再生资源信息共享平台，集成行业数据库功能、再生资源行业信息共享功能、政府监管信息动态化功能、政府与企业信息互联互通功能、线上培训功能、从业人员备案登记功能，建立部门联动机制，制定企业自主填报制度，优化行业统计机制，实现对再生资源回收行业数字化、规范化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rPr>
          <w:rFonts w:eastAsia="仿宋"/>
          <w:bCs/>
          <w:color w:val="000000"/>
          <w:kern w:val="0"/>
          <w:sz w:val="32"/>
          <w:szCs w:val="32"/>
          <w:highlight w:val="none"/>
          <w:shd w:val="clear" w:color="auto" w:fill="auto"/>
        </w:rPr>
      </w:pPr>
      <w:r>
        <w:rPr>
          <w:rFonts w:hint="eastAsia" w:eastAsia="方正楷体_GBK"/>
          <w:b w:val="0"/>
          <w:bCs w:val="0"/>
          <w:color w:val="000000"/>
          <w:sz w:val="32"/>
          <w:szCs w:val="32"/>
          <w:highlight w:val="none"/>
          <w:shd w:val="clear" w:color="auto" w:fill="auto"/>
          <w:lang w:val="en-US" w:eastAsia="zh-CN"/>
        </w:rPr>
        <w:t xml:space="preserve">2. </w:t>
      </w:r>
      <w:r>
        <w:rPr>
          <w:rFonts w:eastAsia="方正楷体_GBK"/>
          <w:b w:val="0"/>
          <w:bCs w:val="0"/>
          <w:color w:val="000000"/>
          <w:sz w:val="32"/>
          <w:szCs w:val="32"/>
          <w:highlight w:val="none"/>
          <w:shd w:val="clear" w:color="auto" w:fill="auto"/>
        </w:rPr>
        <w:t>建立生产性再生资源网上交易平台。</w:t>
      </w:r>
      <w:r>
        <w:rPr>
          <w:rFonts w:eastAsia="仿宋"/>
          <w:bCs/>
          <w:color w:val="000000"/>
          <w:kern w:val="0"/>
          <w:sz w:val="32"/>
          <w:szCs w:val="32"/>
          <w:highlight w:val="none"/>
          <w:shd w:val="clear" w:color="auto" w:fill="auto"/>
        </w:rPr>
        <w:t>构建全市统一的生产性再生资源交易平台，实现交易申报、项目审批、交易竞价、交易鉴证、支付结算、自动扣税的全过程线上操作，以及线上交易行为监督、大数据分析管理功能，保障再生资源线上交易公开化、透明化。畅通再生资源交易渠道，提升再生资源交易效率，引导更多居民和商事主体加入再生资源回收、交易的队伍中来，实现回收、交易、利用紧密衔接的良性循环。加强交易平台监管与交易统计，确保市内再生资源交易为产生税收提供依据。</w:t>
      </w:r>
    </w:p>
    <w:p>
      <w:pPr>
        <w:pStyle w:val="4"/>
        <w:pageBreakBefore w:val="0"/>
        <w:widowControl w:val="0"/>
        <w:kinsoku/>
        <w:wordWrap/>
        <w:overflowPunct/>
        <w:topLinePunct w:val="0"/>
        <w:autoSpaceDE/>
        <w:autoSpaceDN/>
        <w:bidi w:val="0"/>
        <w:spacing w:before="0" w:beforeLines="0" w:after="0" w:afterLines="0" w:line="560" w:lineRule="exact"/>
        <w:ind w:firstLine="643"/>
        <w:outlineLvl w:val="1"/>
        <w:rPr>
          <w:rFonts w:hint="eastAsia" w:ascii="Arial" w:hAnsi="Arial" w:eastAsia="方正楷体_GBK"/>
          <w:b w:val="0"/>
          <w:color w:val="000000"/>
          <w:kern w:val="2"/>
          <w:sz w:val="32"/>
          <w:szCs w:val="24"/>
          <w:highlight w:val="none"/>
          <w:shd w:val="clear" w:color="auto" w:fill="auto"/>
          <w:lang w:eastAsia="zh-CN"/>
        </w:rPr>
      </w:pPr>
      <w:bookmarkStart w:id="61" w:name="_Toc11139"/>
      <w:bookmarkStart w:id="62" w:name="_Toc892935082"/>
      <w:r>
        <w:rPr>
          <w:rFonts w:hint="eastAsia" w:ascii="Arial" w:hAnsi="Arial" w:eastAsia="方正楷体_GBK"/>
          <w:b w:val="0"/>
          <w:color w:val="000000"/>
          <w:kern w:val="2"/>
          <w:sz w:val="32"/>
          <w:szCs w:val="24"/>
          <w:highlight w:val="none"/>
          <w:shd w:val="clear" w:color="auto" w:fill="auto"/>
        </w:rPr>
        <w:t>（七）加强规范管理，优化经营环境</w:t>
      </w:r>
      <w:bookmarkEnd w:id="61"/>
      <w:bookmarkEnd w:id="62"/>
      <w:r>
        <w:rPr>
          <w:rFonts w:hint="eastAsia"/>
          <w:b w:val="0"/>
          <w:color w:val="000000"/>
          <w:kern w:val="2"/>
          <w:sz w:val="32"/>
          <w:szCs w:val="24"/>
          <w:highlight w:val="none"/>
          <w:shd w:val="clear" w:color="auto" w:fill="auto"/>
          <w:lang w:eastAsia="zh-CN"/>
        </w:rPr>
        <w:t>。</w:t>
      </w:r>
    </w:p>
    <w:p>
      <w:pPr>
        <w:pStyle w:val="10"/>
        <w:keepNext w:val="0"/>
        <w:keepLines w:val="0"/>
        <w:pageBreakBefore w:val="0"/>
        <w:widowControl w:val="0"/>
        <w:kinsoku/>
        <w:wordWrap/>
        <w:overflowPunct/>
        <w:topLinePunct w:val="0"/>
        <w:autoSpaceDE/>
        <w:autoSpaceDN/>
        <w:bidi w:val="0"/>
        <w:spacing w:line="560" w:lineRule="exact"/>
        <w:ind w:firstLine="640" w:firstLineChars="200"/>
        <w:rPr>
          <w:rFonts w:eastAsia="仿宋"/>
          <w:bCs/>
          <w:color w:val="000000"/>
          <w:kern w:val="0"/>
          <w:sz w:val="32"/>
          <w:szCs w:val="32"/>
          <w:highlight w:val="none"/>
          <w:shd w:val="clear" w:color="auto" w:fill="auto"/>
        </w:rPr>
      </w:pPr>
      <w:r>
        <w:rPr>
          <w:rFonts w:eastAsia="仿宋"/>
          <w:bCs/>
          <w:color w:val="000000"/>
          <w:kern w:val="0"/>
          <w:sz w:val="32"/>
          <w:szCs w:val="32"/>
          <w:highlight w:val="none"/>
          <w:shd w:val="clear" w:color="auto" w:fill="auto"/>
        </w:rPr>
        <w:t>加强行业整治与管理，建立符合惠州市社会经济发展需要的行业标准，努力营造我市再生资源回收市场环境，使我市再生资源回收行业不断走向规范化发展道路。</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3" w:firstLine="643"/>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完善再生资源行业管理制度和商事主体管理制度。</w:t>
      </w:r>
      <w:r>
        <w:rPr>
          <w:rFonts w:eastAsia="仿宋"/>
          <w:b w:val="0"/>
          <w:bCs w:val="0"/>
          <w:color w:val="000000"/>
          <w:kern w:val="0"/>
          <w:sz w:val="32"/>
          <w:szCs w:val="32"/>
          <w:highlight w:val="none"/>
          <w:shd w:val="clear" w:color="auto" w:fill="auto"/>
        </w:rPr>
        <w:t>加强</w:t>
      </w:r>
      <w:r>
        <w:rPr>
          <w:rFonts w:eastAsia="仿宋"/>
          <w:bCs/>
          <w:color w:val="000000"/>
          <w:kern w:val="0"/>
          <w:sz w:val="32"/>
          <w:szCs w:val="32"/>
          <w:highlight w:val="none"/>
          <w:shd w:val="clear" w:color="auto" w:fill="auto"/>
        </w:rPr>
        <w:t>再生资源经营属地监管责任，强化县（区）、乡镇（街道）、村（居委会）三级管理责任。制定行业管理规范与监管流程，建立经营网点、企业的经营现状、回收量等信息的申报制度和基层网点日常巡查制度。加强再生资源回收行业监管，完善再生资源回收行业商事登记制度，规范登记再生资源回收行业经营范围，遏制再生资源回收企业数量无序增长态势。重点整治网点“散乱污”问题，各相关职能部门严厉查处无证无照经营再生资源回收活动。</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3" w:leftChars="0" w:firstLine="643" w:firstLineChars="0"/>
        <w:rPr>
          <w:color w:val="000000"/>
          <w:sz w:val="32"/>
          <w:szCs w:val="32"/>
          <w:highlight w:val="none"/>
          <w:shd w:val="clear" w:color="auto" w:fill="auto"/>
        </w:rPr>
      </w:pPr>
      <w:r>
        <w:rPr>
          <w:rFonts w:eastAsia="方正楷体_GBK"/>
          <w:b w:val="0"/>
          <w:bCs w:val="0"/>
          <w:color w:val="000000"/>
          <w:sz w:val="32"/>
          <w:szCs w:val="32"/>
          <w:highlight w:val="none"/>
          <w:shd w:val="clear" w:color="auto" w:fill="auto"/>
        </w:rPr>
        <w:t>制定再生资源行业惠州标准。</w:t>
      </w:r>
      <w:r>
        <w:rPr>
          <w:rFonts w:eastAsia="仿宋"/>
          <w:b w:val="0"/>
          <w:bCs w:val="0"/>
          <w:color w:val="000000"/>
          <w:kern w:val="0"/>
          <w:sz w:val="32"/>
          <w:szCs w:val="32"/>
          <w:highlight w:val="none"/>
          <w:shd w:val="clear" w:color="auto" w:fill="auto"/>
        </w:rPr>
        <w:t>依据《</w:t>
      </w:r>
      <w:r>
        <w:rPr>
          <w:rFonts w:eastAsia="仿宋"/>
          <w:bCs/>
          <w:color w:val="000000"/>
          <w:kern w:val="0"/>
          <w:sz w:val="32"/>
          <w:szCs w:val="32"/>
          <w:highlight w:val="none"/>
          <w:shd w:val="clear" w:color="auto" w:fill="auto"/>
        </w:rPr>
        <w:t>再生资源回收体系建设规范》（GB/T 37515</w:t>
      </w:r>
      <w:r>
        <w:rPr>
          <w:rFonts w:hint="eastAsia" w:ascii="Times New Roman" w:hAnsi="Times New Roman" w:eastAsia="方正仿宋_GBK" w:cs="方正仿宋_GBK"/>
          <w:b w:val="0"/>
          <w:bCs w:val="0"/>
          <w:color w:val="000000"/>
          <w:w w:val="95"/>
          <w:kern w:val="0"/>
          <w:sz w:val="32"/>
          <w:szCs w:val="32"/>
          <w:highlight w:val="none"/>
          <w:shd w:val="clear" w:color="auto" w:fill="auto"/>
          <w:lang w:val="en-US" w:eastAsia="zh-CN" w:bidi="ar"/>
        </w:rPr>
        <w:t>—</w:t>
      </w:r>
      <w:r>
        <w:rPr>
          <w:rFonts w:eastAsia="仿宋"/>
          <w:bCs/>
          <w:color w:val="000000"/>
          <w:kern w:val="0"/>
          <w:sz w:val="32"/>
          <w:szCs w:val="32"/>
          <w:highlight w:val="none"/>
          <w:shd w:val="clear" w:color="auto" w:fill="auto"/>
        </w:rPr>
        <w:t>2019），加强行业标准体系建设。制定符合惠州社会与经济发展需要、立足行业发展现状并着眼未来的再生源分类、分拣技术，推动再生资源回收标准化、专业化发展，鼓励引进先进分拣工艺技术，提高分类投放、分类运输、分类处置效率。制定再生资源回收网点、中转站和分拣中心管理标准，提高站场管理规范水平。编制再生资源分类目录，建立回收指南。鼓励行业相关的科研院所、行业协会、龙头企业参与制定再生资源领域</w:t>
      </w:r>
      <w:r>
        <w:rPr>
          <w:rFonts w:hint="eastAsia" w:eastAsia="仿宋"/>
          <w:bCs/>
          <w:color w:val="000000"/>
          <w:kern w:val="0"/>
          <w:sz w:val="32"/>
          <w:szCs w:val="32"/>
          <w:highlight w:val="none"/>
          <w:shd w:val="clear" w:color="auto" w:fill="auto"/>
          <w:lang w:eastAsia="zh-CN"/>
        </w:rPr>
        <w:t>的</w:t>
      </w:r>
      <w:r>
        <w:rPr>
          <w:rFonts w:hint="eastAsia" w:ascii="Times New Roman" w:hAnsi="Times New Roman" w:eastAsia="方正仿宋_GBK" w:cs="方正仿宋_GBK"/>
          <w:bCs/>
          <w:color w:val="000000"/>
          <w:kern w:val="0"/>
          <w:sz w:val="32"/>
          <w:szCs w:val="32"/>
          <w:highlight w:val="none"/>
          <w:shd w:val="clear" w:color="auto" w:fill="auto"/>
        </w:rPr>
        <w:t>地方标准、团体标准</w:t>
      </w:r>
      <w:r>
        <w:rPr>
          <w:rFonts w:hint="eastAsia" w:ascii="Times New Roman" w:hAnsi="Times New Roman" w:eastAsia="方正仿宋_GBK" w:cs="方正仿宋_GBK"/>
          <w:bCs/>
          <w:color w:val="000000"/>
          <w:kern w:val="0"/>
          <w:sz w:val="32"/>
          <w:szCs w:val="32"/>
          <w:highlight w:val="none"/>
          <w:shd w:val="clear" w:color="auto" w:fill="auto"/>
          <w:lang w:eastAsia="zh-CN"/>
        </w:rPr>
        <w:t>、企业标准</w:t>
      </w:r>
      <w:r>
        <w:rPr>
          <w:rFonts w:eastAsia="仿宋"/>
          <w:bCs/>
          <w:color w:val="000000"/>
          <w:kern w:val="0"/>
          <w:sz w:val="32"/>
          <w:szCs w:val="32"/>
          <w:highlight w:val="none"/>
          <w:shd w:val="clear" w:color="auto" w:fill="auto"/>
        </w:rPr>
        <w:t>，提升再生资源行业竞争力和企业品牌影响力。</w:t>
      </w:r>
    </w:p>
    <w:p>
      <w:pPr>
        <w:pStyle w:val="8"/>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3" w:leftChars="0" w:firstLine="643" w:firstLineChars="0"/>
        <w:rPr>
          <w:rFonts w:eastAsia="仿宋"/>
          <w:bCs/>
          <w:color w:val="000000"/>
          <w:kern w:val="0"/>
          <w:sz w:val="32"/>
          <w:szCs w:val="32"/>
          <w:highlight w:val="none"/>
          <w:shd w:val="clear" w:color="auto" w:fill="auto"/>
        </w:rPr>
      </w:pPr>
      <w:r>
        <w:rPr>
          <w:rFonts w:eastAsia="方正楷体_GBK"/>
          <w:b w:val="0"/>
          <w:bCs w:val="0"/>
          <w:color w:val="000000"/>
          <w:sz w:val="32"/>
          <w:szCs w:val="32"/>
          <w:highlight w:val="none"/>
          <w:shd w:val="clear" w:color="auto" w:fill="auto"/>
        </w:rPr>
        <w:t>建立再生资源回收行业的信用体系。</w:t>
      </w:r>
      <w:r>
        <w:rPr>
          <w:rFonts w:eastAsia="仿宋"/>
          <w:b w:val="0"/>
          <w:bCs w:val="0"/>
          <w:color w:val="000000"/>
          <w:kern w:val="0"/>
          <w:sz w:val="32"/>
          <w:szCs w:val="32"/>
          <w:highlight w:val="none"/>
          <w:shd w:val="clear" w:color="auto" w:fill="auto"/>
        </w:rPr>
        <w:t>建</w:t>
      </w:r>
      <w:r>
        <w:rPr>
          <w:rFonts w:eastAsia="仿宋"/>
          <w:bCs/>
          <w:color w:val="000000"/>
          <w:kern w:val="0"/>
          <w:sz w:val="32"/>
          <w:szCs w:val="32"/>
          <w:highlight w:val="none"/>
          <w:shd w:val="clear" w:color="auto" w:fill="auto"/>
        </w:rPr>
        <w:t>立以信用为基础的再生资源市场监管机制，将再生资源回收产业信用体系建设作为巩固提升惠州市国家社会信用体系、建设示范城市的重要任务来抓。在全面推行信用承诺制度和</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双随机、一公开</w:t>
      </w:r>
      <w:r>
        <w:rPr>
          <w:rFonts w:hint="eastAsia" w:eastAsia="仿宋"/>
          <w:bCs/>
          <w:color w:val="000000"/>
          <w:kern w:val="0"/>
          <w:sz w:val="32"/>
          <w:szCs w:val="32"/>
          <w:highlight w:val="none"/>
          <w:shd w:val="clear" w:color="auto" w:fill="auto"/>
          <w:lang w:eastAsia="zh-CN"/>
        </w:rPr>
        <w:t>”</w:t>
      </w:r>
      <w:r>
        <w:rPr>
          <w:rFonts w:eastAsia="仿宋"/>
          <w:bCs/>
          <w:color w:val="000000"/>
          <w:kern w:val="0"/>
          <w:sz w:val="32"/>
          <w:szCs w:val="32"/>
          <w:highlight w:val="none"/>
          <w:shd w:val="clear" w:color="auto" w:fill="auto"/>
        </w:rPr>
        <w:t>市场监管机制的基础上，建立再生资源市场诚信管理平台。加强再生资源信用数据的规范采集、常态管理和分析利用，完善信用分级分类监管和信用奖惩制度，兼顾诚信缺失突出问题长效治理和守信用主体权益保护。以信用管理为抓手，引导行业守法诚信经营，规范有序发展。</w:t>
      </w:r>
      <w:bookmarkStart w:id="63" w:name="_Toc23245"/>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13" w:firstLine="643" w:firstLineChars="0"/>
        <w:textAlignment w:val="auto"/>
        <w:rPr>
          <w:rFonts w:hint="eastAsia" w:ascii="黑体" w:hAnsi="黑体" w:eastAsia="黑体" w:cs="黑体"/>
          <w:b w:val="0"/>
          <w:bCs/>
          <w:color w:val="000000"/>
          <w:sz w:val="32"/>
          <w:szCs w:val="24"/>
          <w:highlight w:val="none"/>
          <w:shd w:val="clear" w:color="auto" w:fill="auto"/>
        </w:rPr>
      </w:pPr>
      <w:bookmarkStart w:id="64" w:name="_Toc909261696"/>
      <w:r>
        <w:rPr>
          <w:rFonts w:hint="eastAsia" w:ascii="黑体" w:hAnsi="黑体" w:eastAsia="黑体" w:cs="黑体"/>
          <w:b w:val="0"/>
          <w:bCs/>
          <w:color w:val="000000"/>
          <w:sz w:val="32"/>
          <w:szCs w:val="24"/>
          <w:highlight w:val="none"/>
          <w:shd w:val="clear" w:color="auto" w:fill="auto"/>
          <w:lang w:eastAsia="zh-CN"/>
        </w:rPr>
        <w:t>六</w:t>
      </w:r>
      <w:r>
        <w:rPr>
          <w:rFonts w:hint="eastAsia" w:ascii="黑体" w:hAnsi="黑体" w:eastAsia="黑体" w:cs="黑体"/>
          <w:b w:val="0"/>
          <w:bCs/>
          <w:color w:val="000000"/>
          <w:sz w:val="32"/>
          <w:szCs w:val="24"/>
          <w:highlight w:val="none"/>
          <w:shd w:val="clear" w:color="auto" w:fill="auto"/>
        </w:rPr>
        <w:t>、实施保障</w:t>
      </w:r>
      <w:bookmarkEnd w:id="63"/>
      <w:bookmarkEnd w:id="64"/>
    </w:p>
    <w:p>
      <w:pPr>
        <w:pStyle w:val="4"/>
        <w:keepNext w:val="0"/>
        <w:keepLines w:val="0"/>
        <w:pageBreakBefore w:val="0"/>
        <w:widowControl w:val="0"/>
        <w:kinsoku/>
        <w:wordWrap/>
        <w:overflowPunct/>
        <w:topLinePunct w:val="0"/>
        <w:autoSpaceDE/>
        <w:autoSpaceDN/>
        <w:bidi w:val="0"/>
        <w:adjustRightInd/>
        <w:snapToGrid/>
        <w:spacing w:line="560" w:lineRule="exact"/>
        <w:ind w:left="0" w:firstLine="643"/>
        <w:textAlignment w:val="auto"/>
        <w:outlineLvl w:val="1"/>
        <w:rPr>
          <w:rFonts w:hint="eastAsia" w:ascii="楷体" w:hAnsi="楷体" w:eastAsia="楷体" w:cs="楷体"/>
          <w:b w:val="0"/>
          <w:color w:val="000000"/>
          <w:kern w:val="2"/>
          <w:sz w:val="32"/>
          <w:szCs w:val="24"/>
          <w:highlight w:val="none"/>
          <w:shd w:val="clear" w:color="auto" w:fill="auto"/>
          <w:lang w:val="en-US" w:eastAsia="zh-CN"/>
        </w:rPr>
      </w:pPr>
      <w:bookmarkStart w:id="65" w:name="_Toc29117"/>
      <w:bookmarkStart w:id="66" w:name="_Toc1719636850"/>
      <w:bookmarkStart w:id="67" w:name="_Toc16673"/>
      <w:r>
        <w:rPr>
          <w:rFonts w:hint="eastAsia" w:ascii="楷体" w:hAnsi="楷体" w:eastAsia="楷体" w:cs="楷体"/>
          <w:b w:val="0"/>
          <w:color w:val="000000"/>
          <w:kern w:val="2"/>
          <w:sz w:val="32"/>
          <w:szCs w:val="24"/>
          <w:highlight w:val="none"/>
          <w:shd w:val="clear" w:color="auto" w:fill="auto"/>
        </w:rPr>
        <w:t>（</w:t>
      </w:r>
      <w:r>
        <w:rPr>
          <w:rFonts w:hint="eastAsia" w:ascii="楷体" w:hAnsi="楷体" w:eastAsia="楷体" w:cs="楷体"/>
          <w:b w:val="0"/>
          <w:color w:val="000000"/>
          <w:kern w:val="2"/>
          <w:sz w:val="32"/>
          <w:szCs w:val="24"/>
          <w:highlight w:val="none"/>
          <w:shd w:val="clear" w:color="auto" w:fill="auto"/>
          <w:lang w:val="en-US" w:eastAsia="zh-CN"/>
        </w:rPr>
        <w:t>一</w:t>
      </w:r>
      <w:r>
        <w:rPr>
          <w:rFonts w:hint="eastAsia" w:ascii="楷体" w:hAnsi="楷体" w:eastAsia="楷体" w:cs="楷体"/>
          <w:b w:val="0"/>
          <w:color w:val="000000"/>
          <w:kern w:val="2"/>
          <w:sz w:val="32"/>
          <w:szCs w:val="24"/>
          <w:highlight w:val="none"/>
          <w:shd w:val="clear" w:color="auto" w:fill="auto"/>
        </w:rPr>
        <w:t>）</w:t>
      </w:r>
      <w:r>
        <w:rPr>
          <w:rFonts w:hint="eastAsia" w:ascii="楷体" w:hAnsi="楷体" w:eastAsia="楷体" w:cs="楷体"/>
          <w:b w:val="0"/>
          <w:color w:val="000000"/>
          <w:kern w:val="2"/>
          <w:sz w:val="32"/>
          <w:szCs w:val="24"/>
          <w:highlight w:val="none"/>
          <w:shd w:val="clear" w:color="auto" w:fill="auto"/>
          <w:lang w:val="en-US" w:eastAsia="zh-CN"/>
        </w:rPr>
        <w:t>加强</w:t>
      </w:r>
      <w:r>
        <w:rPr>
          <w:rFonts w:hint="eastAsia" w:ascii="楷体" w:hAnsi="楷体" w:eastAsia="楷体" w:cs="楷体"/>
          <w:b w:val="0"/>
          <w:color w:val="000000"/>
          <w:kern w:val="2"/>
          <w:sz w:val="32"/>
          <w:szCs w:val="24"/>
          <w:highlight w:val="none"/>
          <w:shd w:val="clear" w:color="auto" w:fill="auto"/>
        </w:rPr>
        <w:t>组织</w:t>
      </w:r>
      <w:bookmarkEnd w:id="65"/>
      <w:r>
        <w:rPr>
          <w:rFonts w:hint="eastAsia" w:ascii="楷体" w:hAnsi="楷体" w:eastAsia="楷体" w:cs="楷体"/>
          <w:b w:val="0"/>
          <w:color w:val="000000"/>
          <w:kern w:val="2"/>
          <w:sz w:val="32"/>
          <w:szCs w:val="24"/>
          <w:highlight w:val="none"/>
          <w:shd w:val="clear" w:color="auto" w:fill="auto"/>
          <w:lang w:val="en-US" w:eastAsia="zh-CN"/>
        </w:rPr>
        <w:t>领导</w:t>
      </w:r>
      <w:bookmarkEnd w:id="66"/>
      <w:r>
        <w:rPr>
          <w:rFonts w:hint="eastAsia" w:ascii="楷体" w:hAnsi="楷体" w:eastAsia="楷体" w:cs="楷体"/>
          <w:b w:val="0"/>
          <w:color w:val="000000"/>
          <w:kern w:val="2"/>
          <w:sz w:val="32"/>
          <w:szCs w:val="24"/>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b/>
          <w:color w:val="000000"/>
          <w:kern w:val="0"/>
          <w:sz w:val="32"/>
          <w:szCs w:val="32"/>
          <w:highlight w:val="none"/>
          <w:shd w:val="clear" w:color="auto" w:fill="auto"/>
        </w:rPr>
      </w:pPr>
      <w:r>
        <w:rPr>
          <w:rFonts w:hint="default" w:ascii="Times New Roman" w:hAnsi="Times New Roman" w:eastAsia="仿宋" w:cs="Times New Roman"/>
          <w:color w:val="000000"/>
          <w:sz w:val="32"/>
          <w:szCs w:val="32"/>
          <w:highlight w:val="none"/>
          <w:shd w:val="clear" w:color="auto" w:fill="auto"/>
        </w:rPr>
        <w:t>为保证</w:t>
      </w:r>
      <w:r>
        <w:rPr>
          <w:rFonts w:hint="default" w:ascii="Times New Roman" w:hAnsi="Times New Roman" w:eastAsia="仿宋" w:cs="Times New Roman"/>
          <w:color w:val="000000"/>
          <w:sz w:val="32"/>
          <w:szCs w:val="32"/>
          <w:highlight w:val="none"/>
          <w:shd w:val="clear" w:color="auto" w:fill="auto"/>
          <w:lang w:eastAsia="zh-CN"/>
        </w:rPr>
        <w:t>规划</w:t>
      </w:r>
      <w:r>
        <w:rPr>
          <w:rFonts w:hint="default" w:ascii="Times New Roman" w:hAnsi="Times New Roman" w:eastAsia="仿宋" w:cs="Times New Roman"/>
          <w:color w:val="000000"/>
          <w:sz w:val="32"/>
          <w:szCs w:val="32"/>
          <w:highlight w:val="none"/>
          <w:shd w:val="clear" w:color="auto" w:fill="auto"/>
        </w:rPr>
        <w:t>的顺利实施，充分发挥惠州市再生资源回收管理工作领导小组统筹</w:t>
      </w:r>
      <w:r>
        <w:rPr>
          <w:rFonts w:hint="eastAsia" w:ascii="Times New Roman" w:hAnsi="Times New Roman" w:eastAsia="仿宋" w:cs="Times New Roman"/>
          <w:color w:val="000000"/>
          <w:sz w:val="32"/>
          <w:szCs w:val="32"/>
          <w:highlight w:val="none"/>
          <w:shd w:val="clear" w:color="auto" w:fill="auto"/>
          <w:lang w:eastAsia="zh-CN"/>
        </w:rPr>
        <w:t>协调</w:t>
      </w:r>
      <w:r>
        <w:rPr>
          <w:rFonts w:hint="default" w:ascii="Times New Roman" w:hAnsi="Times New Roman" w:eastAsia="仿宋" w:cs="Times New Roman"/>
          <w:color w:val="000000"/>
          <w:sz w:val="32"/>
          <w:szCs w:val="32"/>
          <w:highlight w:val="none"/>
          <w:shd w:val="clear" w:color="auto" w:fill="auto"/>
        </w:rPr>
        <w:t>作用，</w:t>
      </w:r>
      <w:r>
        <w:rPr>
          <w:rFonts w:hint="default" w:ascii="Times New Roman" w:hAnsi="Times New Roman" w:eastAsia="仿宋" w:cs="Times New Roman"/>
          <w:bCs/>
          <w:color w:val="000000"/>
          <w:sz w:val="32"/>
          <w:szCs w:val="32"/>
          <w:highlight w:val="none"/>
          <w:shd w:val="clear" w:color="auto" w:fill="auto"/>
        </w:rPr>
        <w:t>及时研究解决工作推进中各种问题，</w:t>
      </w:r>
      <w:r>
        <w:rPr>
          <w:rFonts w:hint="default" w:ascii="Times New Roman" w:hAnsi="Times New Roman" w:eastAsia="仿宋" w:cs="Times New Roman"/>
          <w:color w:val="000000"/>
          <w:sz w:val="32"/>
          <w:szCs w:val="32"/>
          <w:highlight w:val="none"/>
          <w:shd w:val="clear" w:color="auto" w:fill="auto"/>
        </w:rPr>
        <w:t>统筹推进网点规划建设</w:t>
      </w:r>
      <w:r>
        <w:rPr>
          <w:rFonts w:hint="default" w:ascii="Times New Roman" w:hAnsi="Times New Roman" w:eastAsia="仿宋" w:cs="Times New Roman"/>
          <w:color w:val="000000"/>
          <w:sz w:val="32"/>
          <w:szCs w:val="32"/>
          <w:highlight w:val="none"/>
          <w:shd w:val="clear" w:color="auto" w:fill="auto"/>
          <w:lang w:eastAsia="zh-CN"/>
        </w:rPr>
        <w:t>任务</w:t>
      </w:r>
      <w:r>
        <w:rPr>
          <w:rFonts w:hint="default" w:ascii="Times New Roman" w:hAnsi="Times New Roman" w:eastAsia="仿宋" w:cs="Times New Roman"/>
          <w:color w:val="000000"/>
          <w:sz w:val="32"/>
          <w:szCs w:val="32"/>
          <w:highlight w:val="none"/>
          <w:shd w:val="clear" w:color="auto" w:fill="auto"/>
        </w:rPr>
        <w:t>，制定实施方案</w:t>
      </w:r>
      <w:r>
        <w:rPr>
          <w:rFonts w:hint="default" w:ascii="Times New Roman" w:hAnsi="Times New Roman"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确定</w:t>
      </w:r>
      <w:r>
        <w:rPr>
          <w:rFonts w:hint="default" w:ascii="Times New Roman" w:hAnsi="Times New Roman" w:eastAsia="仿宋" w:cs="Times New Roman"/>
          <w:color w:val="000000"/>
          <w:sz w:val="32"/>
          <w:szCs w:val="32"/>
          <w:highlight w:val="none"/>
          <w:shd w:val="clear" w:color="auto" w:fill="auto"/>
          <w:lang w:val="en-US" w:eastAsia="zh-CN"/>
        </w:rPr>
        <w:t>工作</w:t>
      </w:r>
      <w:r>
        <w:rPr>
          <w:rFonts w:hint="default" w:ascii="Times New Roman" w:hAnsi="Times New Roman" w:eastAsia="仿宋" w:cs="Times New Roman"/>
          <w:color w:val="000000"/>
          <w:sz w:val="32"/>
          <w:szCs w:val="32"/>
          <w:highlight w:val="none"/>
          <w:shd w:val="clear" w:color="auto" w:fill="auto"/>
        </w:rPr>
        <w:t>环节</w:t>
      </w:r>
      <w:r>
        <w:rPr>
          <w:rFonts w:hint="default" w:ascii="Times New Roman" w:hAnsi="Times New Roman" w:eastAsia="仿宋" w:cs="Times New Roman"/>
          <w:color w:val="000000"/>
          <w:sz w:val="32"/>
          <w:szCs w:val="32"/>
          <w:highlight w:val="none"/>
          <w:shd w:val="clear" w:color="auto" w:fill="auto"/>
          <w:lang w:val="en-US" w:eastAsia="zh-CN"/>
        </w:rPr>
        <w:t>和</w:t>
      </w:r>
      <w:r>
        <w:rPr>
          <w:rFonts w:hint="default" w:ascii="Times New Roman" w:hAnsi="Times New Roman" w:eastAsia="仿宋" w:cs="Times New Roman"/>
          <w:color w:val="000000"/>
          <w:sz w:val="32"/>
          <w:szCs w:val="32"/>
          <w:highlight w:val="none"/>
          <w:shd w:val="clear" w:color="auto" w:fill="auto"/>
          <w:lang w:eastAsia="zh-CN"/>
        </w:rPr>
        <w:t>网点规划的具体实施部门，</w:t>
      </w:r>
      <w:r>
        <w:rPr>
          <w:rFonts w:hint="default" w:ascii="Times New Roman" w:hAnsi="Times New Roman" w:eastAsia="仿宋" w:cs="Times New Roman"/>
          <w:color w:val="000000"/>
          <w:sz w:val="32"/>
          <w:szCs w:val="32"/>
          <w:highlight w:val="none"/>
          <w:shd w:val="clear" w:color="auto" w:fill="auto"/>
          <w:lang w:val="en-US" w:eastAsia="zh-CN"/>
        </w:rPr>
        <w:t>明确</w:t>
      </w:r>
      <w:r>
        <w:rPr>
          <w:rFonts w:hint="default" w:ascii="Times New Roman" w:hAnsi="Times New Roman" w:eastAsia="仿宋" w:cs="Times New Roman"/>
          <w:color w:val="000000"/>
          <w:sz w:val="32"/>
          <w:szCs w:val="32"/>
          <w:highlight w:val="none"/>
          <w:shd w:val="clear" w:color="auto" w:fill="auto"/>
        </w:rPr>
        <w:t>资金投入、技术推广、标准制订、监管执法等职责边界，明确责任领导和责任人，促进各部门工作落实到位</w:t>
      </w:r>
      <w:r>
        <w:rPr>
          <w:rFonts w:hint="default" w:ascii="Times New Roman" w:hAnsi="Times New Roman"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lang w:val="en-US" w:eastAsia="zh-CN"/>
        </w:rPr>
        <w:t>并</w:t>
      </w:r>
      <w:r>
        <w:rPr>
          <w:rFonts w:hint="default" w:ascii="Times New Roman" w:hAnsi="Times New Roman" w:eastAsia="仿宋" w:cs="Times New Roman"/>
          <w:color w:val="000000"/>
          <w:sz w:val="32"/>
          <w:szCs w:val="32"/>
          <w:highlight w:val="none"/>
          <w:shd w:val="clear" w:color="auto" w:fill="auto"/>
        </w:rPr>
        <w:t>建立定期例会制度，</w:t>
      </w:r>
      <w:r>
        <w:rPr>
          <w:rFonts w:hint="default" w:ascii="Times New Roman" w:hAnsi="Times New Roman" w:eastAsia="仿宋" w:cs="Times New Roman"/>
          <w:color w:val="000000"/>
          <w:sz w:val="32"/>
          <w:szCs w:val="32"/>
          <w:highlight w:val="none"/>
          <w:shd w:val="clear" w:color="auto" w:fill="auto"/>
          <w:lang w:val="en-US" w:eastAsia="zh-CN"/>
        </w:rPr>
        <w:t>及时协调解决工作推进重点难点问题。各</w:t>
      </w:r>
      <w:r>
        <w:rPr>
          <w:rFonts w:hint="eastAsia" w:ascii="Times New Roman" w:hAnsi="Times New Roman" w:eastAsia="仿宋" w:cs="Times New Roman"/>
          <w:color w:val="000000"/>
          <w:sz w:val="32"/>
          <w:szCs w:val="32"/>
          <w:highlight w:val="none"/>
          <w:shd w:val="clear" w:color="auto" w:fill="auto"/>
          <w:lang w:val="en-US" w:eastAsia="zh-CN"/>
        </w:rPr>
        <w:t>级</w:t>
      </w:r>
      <w:r>
        <w:rPr>
          <w:rFonts w:hint="default" w:ascii="Times New Roman" w:hAnsi="Times New Roman" w:eastAsia="仿宋" w:cs="Times New Roman"/>
          <w:color w:val="000000"/>
          <w:sz w:val="32"/>
          <w:szCs w:val="32"/>
          <w:highlight w:val="none"/>
          <w:shd w:val="clear" w:color="auto" w:fill="auto"/>
          <w:lang w:val="en-US" w:eastAsia="zh-CN"/>
        </w:rPr>
        <w:t>各</w:t>
      </w:r>
      <w:r>
        <w:rPr>
          <w:rFonts w:hint="eastAsia" w:ascii="Times New Roman" w:hAnsi="Times New Roman" w:eastAsia="仿宋" w:cs="Times New Roman"/>
          <w:color w:val="000000"/>
          <w:sz w:val="32"/>
          <w:szCs w:val="32"/>
          <w:highlight w:val="none"/>
          <w:shd w:val="clear" w:color="auto" w:fill="auto"/>
          <w:lang w:val="en-US" w:eastAsia="zh-CN"/>
        </w:rPr>
        <w:t>有关</w:t>
      </w:r>
      <w:r>
        <w:rPr>
          <w:rFonts w:hint="default" w:ascii="Times New Roman" w:hAnsi="Times New Roman" w:eastAsia="仿宋" w:cs="Times New Roman"/>
          <w:color w:val="000000"/>
          <w:sz w:val="32"/>
          <w:szCs w:val="32"/>
          <w:highlight w:val="none"/>
          <w:shd w:val="clear" w:color="auto" w:fill="auto"/>
          <w:lang w:val="en-US" w:eastAsia="zh-CN"/>
        </w:rPr>
        <w:t>部门要根据《规划》中的重点工作内容，</w:t>
      </w:r>
      <w:r>
        <w:rPr>
          <w:rFonts w:hint="default" w:ascii="Times New Roman" w:hAnsi="Times New Roman" w:eastAsia="仿宋" w:cs="Times New Roman"/>
          <w:bCs/>
          <w:color w:val="000000"/>
          <w:sz w:val="32"/>
          <w:szCs w:val="32"/>
          <w:highlight w:val="none"/>
          <w:shd w:val="clear" w:color="auto" w:fill="auto"/>
        </w:rPr>
        <w:t>制定年度实施计划，细化工作目标、措施及进度，责任到人，强化流程管理和节点管理。</w:t>
      </w:r>
      <w:r>
        <w:rPr>
          <w:rFonts w:hint="default" w:ascii="Times New Roman" w:hAnsi="Times New Roman" w:eastAsia="仿宋" w:cs="Times New Roman"/>
          <w:color w:val="000000"/>
          <w:sz w:val="32"/>
          <w:szCs w:val="32"/>
          <w:highlight w:val="none"/>
          <w:shd w:val="clear" w:color="auto" w:fill="auto"/>
          <w:lang w:eastAsia="zh-CN"/>
        </w:rPr>
        <w:t>各县</w:t>
      </w:r>
      <w:r>
        <w:rPr>
          <w:rFonts w:hint="eastAsia"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lang w:eastAsia="zh-CN"/>
        </w:rPr>
        <w:t>区</w:t>
      </w:r>
      <w:r>
        <w:rPr>
          <w:rFonts w:hint="eastAsia" w:eastAsia="仿宋" w:cs="Times New Roman"/>
          <w:color w:val="000000"/>
          <w:sz w:val="32"/>
          <w:szCs w:val="32"/>
          <w:highlight w:val="none"/>
          <w:shd w:val="clear" w:color="auto" w:fill="auto"/>
          <w:lang w:eastAsia="zh-CN"/>
        </w:rPr>
        <w:t>）</w:t>
      </w:r>
      <w:r>
        <w:rPr>
          <w:rFonts w:hint="eastAsia" w:ascii="Times New Roman" w:hAnsi="Times New Roman" w:eastAsia="仿宋" w:cs="Times New Roman"/>
          <w:color w:val="000000"/>
          <w:sz w:val="32"/>
          <w:szCs w:val="32"/>
          <w:highlight w:val="none"/>
          <w:shd w:val="clear" w:color="auto" w:fill="auto"/>
          <w:lang w:eastAsia="zh-CN"/>
        </w:rPr>
        <w:t>应</w:t>
      </w:r>
      <w:r>
        <w:rPr>
          <w:rFonts w:hint="default" w:ascii="Times New Roman" w:hAnsi="Times New Roman" w:eastAsia="仿宋" w:cs="Times New Roman"/>
          <w:color w:val="000000"/>
          <w:sz w:val="32"/>
          <w:szCs w:val="32"/>
          <w:highlight w:val="none"/>
          <w:shd w:val="clear" w:color="auto" w:fill="auto"/>
        </w:rPr>
        <w:t>成立相应的领导小组，负责</w:t>
      </w:r>
      <w:r>
        <w:rPr>
          <w:rFonts w:hint="default" w:ascii="Times New Roman" w:hAnsi="Times New Roman" w:eastAsia="仿宋" w:cs="Times New Roman"/>
          <w:color w:val="000000"/>
          <w:sz w:val="32"/>
          <w:szCs w:val="32"/>
          <w:highlight w:val="none"/>
          <w:shd w:val="clear" w:color="auto" w:fill="auto"/>
          <w:lang w:eastAsia="zh-CN"/>
        </w:rPr>
        <w:t>本辖区网点规划</w:t>
      </w:r>
      <w:r>
        <w:rPr>
          <w:rFonts w:hint="default" w:ascii="Times New Roman" w:hAnsi="Times New Roman" w:eastAsia="仿宋" w:cs="Times New Roman"/>
          <w:color w:val="000000"/>
          <w:sz w:val="32"/>
          <w:szCs w:val="32"/>
          <w:highlight w:val="none"/>
          <w:shd w:val="clear" w:color="auto" w:fill="auto"/>
        </w:rPr>
        <w:t>重点工作的推进、实施。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textAlignment w:val="auto"/>
        <w:outlineLvl w:val="1"/>
        <w:rPr>
          <w:rFonts w:hint="eastAsia" w:ascii="楷体" w:hAnsi="楷体" w:eastAsia="楷体" w:cs="楷体"/>
          <w:b w:val="0"/>
          <w:color w:val="000000"/>
          <w:kern w:val="2"/>
          <w:sz w:val="32"/>
          <w:szCs w:val="24"/>
          <w:highlight w:val="none"/>
          <w:shd w:val="clear" w:color="auto" w:fill="auto"/>
          <w:lang w:val="en-US" w:eastAsia="zh-CN"/>
        </w:rPr>
      </w:pPr>
      <w:bookmarkStart w:id="68" w:name="_Toc1639789056"/>
      <w:r>
        <w:rPr>
          <w:rFonts w:hint="eastAsia" w:ascii="楷体" w:hAnsi="楷体" w:eastAsia="楷体" w:cs="楷体"/>
          <w:b w:val="0"/>
          <w:bCs w:val="0"/>
          <w:color w:val="000000"/>
          <w:kern w:val="2"/>
          <w:sz w:val="32"/>
          <w:szCs w:val="24"/>
          <w:highlight w:val="none"/>
          <w:shd w:val="clear" w:color="auto" w:fill="auto"/>
          <w:lang w:val="en-US" w:eastAsia="zh-CN"/>
        </w:rPr>
        <w:t>（二）</w:t>
      </w:r>
      <w:r>
        <w:rPr>
          <w:rFonts w:hint="eastAsia" w:ascii="楷体" w:hAnsi="楷体" w:eastAsia="楷体" w:cs="楷体"/>
          <w:b w:val="0"/>
          <w:color w:val="000000"/>
          <w:kern w:val="2"/>
          <w:sz w:val="32"/>
          <w:szCs w:val="24"/>
          <w:highlight w:val="none"/>
          <w:shd w:val="clear" w:color="auto" w:fill="auto"/>
          <w:lang w:val="en-US" w:eastAsia="zh-CN"/>
        </w:rPr>
        <w:t>落实政策保障</w:t>
      </w:r>
      <w:bookmarkEnd w:id="68"/>
      <w:r>
        <w:rPr>
          <w:rFonts w:hint="eastAsia" w:ascii="楷体" w:hAnsi="楷体" w:eastAsia="楷体" w:cs="楷体"/>
          <w:b w:val="0"/>
          <w:color w:val="000000"/>
          <w:kern w:val="2"/>
          <w:sz w:val="32"/>
          <w:szCs w:val="24"/>
          <w:highlight w:val="none"/>
          <w:shd w:val="clear" w:color="auto" w:fill="auto"/>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2"/>
        <w:rPr>
          <w:rFonts w:hint="eastAsia" w:ascii="Times New Roman" w:hAnsi="Times New Roman" w:eastAsia="仿宋" w:cs="Times New Roman"/>
          <w:b w:val="0"/>
          <w:bCs/>
          <w:color w:val="000000"/>
          <w:kern w:val="0"/>
          <w:sz w:val="32"/>
          <w:szCs w:val="32"/>
          <w:highlight w:val="none"/>
          <w:shd w:val="clear" w:color="auto" w:fill="auto"/>
          <w:lang w:eastAsia="zh-CN"/>
        </w:rPr>
      </w:pPr>
      <w:bookmarkStart w:id="69" w:name="_Toc1165094251"/>
      <w:r>
        <w:rPr>
          <w:rFonts w:hint="default" w:ascii="Times New Roman" w:hAnsi="Times New Roman" w:eastAsia="仿宋" w:cs="Times New Roman"/>
          <w:b w:val="0"/>
          <w:bCs/>
          <w:color w:val="000000"/>
          <w:kern w:val="0"/>
          <w:sz w:val="32"/>
          <w:szCs w:val="32"/>
          <w:highlight w:val="none"/>
          <w:shd w:val="clear" w:color="auto" w:fill="auto"/>
          <w:lang w:val="en-US" w:eastAsia="zh-CN"/>
        </w:rPr>
        <w:t>1.</w:t>
      </w:r>
      <w:r>
        <w:rPr>
          <w:rFonts w:hint="eastAsia" w:ascii="Times New Roman" w:hAnsi="Times New Roman" w:eastAsia="仿宋" w:cs="Times New Roman"/>
          <w:b w:val="0"/>
          <w:bCs/>
          <w:color w:val="000000"/>
          <w:kern w:val="0"/>
          <w:sz w:val="32"/>
          <w:szCs w:val="32"/>
          <w:highlight w:val="none"/>
          <w:shd w:val="clear" w:color="auto" w:fill="auto"/>
          <w:lang w:val="en-US" w:eastAsia="zh-CN"/>
        </w:rPr>
        <w:t xml:space="preserve"> </w:t>
      </w:r>
      <w:r>
        <w:rPr>
          <w:rFonts w:hint="default" w:ascii="Times New Roman" w:hAnsi="Times New Roman" w:eastAsia="仿宋" w:cs="Times New Roman"/>
          <w:b w:val="0"/>
          <w:bCs/>
          <w:color w:val="000000"/>
          <w:kern w:val="0"/>
          <w:sz w:val="32"/>
          <w:szCs w:val="32"/>
          <w:highlight w:val="none"/>
          <w:shd w:val="clear" w:color="auto" w:fill="auto"/>
          <w:lang w:val="en-US" w:eastAsia="zh-CN"/>
        </w:rPr>
        <w:t>经费</w:t>
      </w:r>
      <w:r>
        <w:rPr>
          <w:rFonts w:hint="default" w:ascii="Times New Roman" w:hAnsi="Times New Roman" w:eastAsia="仿宋" w:cs="Times New Roman"/>
          <w:b w:val="0"/>
          <w:bCs/>
          <w:color w:val="000000"/>
          <w:kern w:val="0"/>
          <w:sz w:val="32"/>
          <w:szCs w:val="32"/>
          <w:highlight w:val="none"/>
          <w:shd w:val="clear" w:color="auto" w:fill="auto"/>
        </w:rPr>
        <w:t>保障</w:t>
      </w:r>
      <w:bookmarkEnd w:id="67"/>
      <w:bookmarkEnd w:id="69"/>
      <w:r>
        <w:rPr>
          <w:rFonts w:hint="eastAsia" w:ascii="Times New Roman" w:hAnsi="Times New Roman" w:eastAsia="仿宋" w:cs="Times New Roman"/>
          <w:b w:val="0"/>
          <w:bCs/>
          <w:color w:val="000000"/>
          <w:kern w:val="0"/>
          <w:sz w:val="32"/>
          <w:szCs w:val="32"/>
          <w:highlight w:val="none"/>
          <w:shd w:val="clear" w:color="auto" w:fill="auto"/>
          <w:lang w:eastAsia="zh-CN"/>
        </w:rPr>
        <w:t>。</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 w:cs="Times New Roman"/>
          <w:b/>
          <w:bCs/>
          <w:color w:val="000000"/>
          <w:kern w:val="2"/>
          <w:sz w:val="32"/>
          <w:szCs w:val="32"/>
          <w:highlight w:val="none"/>
          <w:shd w:val="clear" w:color="auto" w:fill="auto"/>
        </w:rPr>
      </w:pPr>
      <w:r>
        <w:rPr>
          <w:rFonts w:hint="default" w:ascii="Times New Roman" w:hAnsi="Times New Roman" w:eastAsia="仿宋" w:cs="Times New Roman"/>
          <w:color w:val="000000"/>
          <w:sz w:val="32"/>
          <w:szCs w:val="32"/>
          <w:highlight w:val="none"/>
          <w:shd w:val="clear" w:color="auto" w:fill="auto"/>
        </w:rPr>
        <w:t>贯彻落实国家发展改革委、财政部《关于规范实施政府和社会资本合作新机制的指导意见》</w:t>
      </w:r>
      <w:r>
        <w:rPr>
          <w:rFonts w:hint="default" w:ascii="Times New Roman" w:hAnsi="Times New Roman"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规范实施政府和社会资本合作新机制，充分发挥市场机制作用，拓宽民间投资空间，坚决遏制新增地方政府隐性债务，提高基础设施和公用事业项目建设运营水平，确保规范发展、阳光运行。</w:t>
      </w:r>
      <w:r>
        <w:rPr>
          <w:rFonts w:hint="default" w:ascii="Times New Roman" w:hAnsi="Times New Roman" w:eastAsia="仿宋" w:cs="Times New Roman"/>
          <w:color w:val="000000"/>
          <w:kern w:val="2"/>
          <w:sz w:val="32"/>
          <w:szCs w:val="32"/>
          <w:highlight w:val="none"/>
          <w:shd w:val="clear" w:color="auto" w:fill="auto"/>
          <w:lang w:val="en-US" w:eastAsia="zh-CN" w:bidi="ar-SA"/>
        </w:rPr>
        <w:t>探</w:t>
      </w:r>
      <w:r>
        <w:rPr>
          <w:rFonts w:hint="eastAsia" w:eastAsia="仿宋" w:cs="Times New Roman"/>
          <w:color w:val="000000"/>
          <w:kern w:val="2"/>
          <w:sz w:val="32"/>
          <w:szCs w:val="32"/>
          <w:highlight w:val="none"/>
          <w:shd w:val="clear" w:color="auto" w:fill="auto"/>
          <w:lang w:val="en-US" w:eastAsia="zh-CN" w:bidi="ar-SA"/>
        </w:rPr>
        <w:t>索</w:t>
      </w:r>
      <w:r>
        <w:rPr>
          <w:rFonts w:hint="default" w:ascii="Times New Roman" w:hAnsi="Times New Roman" w:eastAsia="仿宋" w:cs="Times New Roman"/>
          <w:color w:val="000000"/>
          <w:kern w:val="2"/>
          <w:sz w:val="32"/>
          <w:szCs w:val="32"/>
          <w:highlight w:val="none"/>
          <w:shd w:val="clear" w:color="auto" w:fill="auto"/>
          <w:lang w:val="en-US" w:eastAsia="zh-CN" w:bidi="ar-SA"/>
        </w:rPr>
        <w:t>由政府主导、企业参与、特许经营的模式，发挥政府在土地使用、调配中的支配作用，以及企业市场化运营的主观能动作用。探索</w:t>
      </w:r>
      <w:r>
        <w:rPr>
          <w:rFonts w:hint="default" w:ascii="Times New Roman" w:hAnsi="Times New Roman" w:eastAsia="仿宋" w:cs="Times New Roman"/>
          <w:color w:val="000000"/>
          <w:sz w:val="32"/>
          <w:szCs w:val="32"/>
          <w:highlight w:val="none"/>
          <w:shd w:val="clear" w:color="auto" w:fill="auto"/>
        </w:rPr>
        <w:t>由</w:t>
      </w:r>
      <w:r>
        <w:rPr>
          <w:rFonts w:hint="default" w:ascii="Times New Roman" w:hAnsi="Times New Roman" w:eastAsia="仿宋" w:cs="Times New Roman"/>
          <w:color w:val="000000"/>
          <w:sz w:val="32"/>
          <w:szCs w:val="32"/>
          <w:highlight w:val="none"/>
          <w:shd w:val="clear" w:color="auto" w:fill="auto"/>
          <w:lang w:eastAsia="zh-CN"/>
        </w:rPr>
        <w:t>国企</w:t>
      </w:r>
      <w:r>
        <w:rPr>
          <w:rFonts w:hint="default" w:ascii="Times New Roman" w:hAnsi="Times New Roman" w:eastAsia="仿宋" w:cs="Times New Roman"/>
          <w:color w:val="000000"/>
          <w:sz w:val="32"/>
          <w:szCs w:val="32"/>
          <w:highlight w:val="none"/>
          <w:shd w:val="clear" w:color="auto" w:fill="auto"/>
        </w:rPr>
        <w:t>主导建立再生资源</w:t>
      </w:r>
      <w:r>
        <w:rPr>
          <w:rFonts w:hint="default" w:ascii="Times New Roman" w:hAnsi="Times New Roman" w:eastAsia="仿宋" w:cs="Times New Roman"/>
          <w:color w:val="000000"/>
          <w:sz w:val="32"/>
          <w:szCs w:val="32"/>
          <w:highlight w:val="none"/>
          <w:shd w:val="clear" w:color="auto" w:fill="auto"/>
          <w:lang w:eastAsia="zh-CN"/>
        </w:rPr>
        <w:t>产</w:t>
      </w:r>
      <w:r>
        <w:rPr>
          <w:rFonts w:hint="default" w:ascii="Times New Roman" w:hAnsi="Times New Roman" w:eastAsia="仿宋" w:cs="Times New Roman"/>
          <w:color w:val="000000"/>
          <w:sz w:val="32"/>
          <w:szCs w:val="32"/>
          <w:highlight w:val="none"/>
          <w:shd w:val="clear" w:color="auto" w:fill="auto"/>
        </w:rPr>
        <w:t>业发展扶持基金，各</w:t>
      </w:r>
      <w:r>
        <w:rPr>
          <w:rFonts w:hint="default" w:ascii="Times New Roman" w:hAnsi="Times New Roman" w:eastAsia="仿宋" w:cs="Times New Roman"/>
          <w:color w:val="000000"/>
          <w:sz w:val="32"/>
          <w:szCs w:val="32"/>
          <w:highlight w:val="none"/>
          <w:shd w:val="clear" w:color="auto" w:fill="auto"/>
          <w:lang w:eastAsia="zh-CN"/>
        </w:rPr>
        <w:t>县</w:t>
      </w:r>
      <w:r>
        <w:rPr>
          <w:rFonts w:hint="eastAsia"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区</w:t>
      </w:r>
      <w:r>
        <w:rPr>
          <w:rFonts w:hint="eastAsia" w:eastAsia="仿宋" w:cs="Times New Roman"/>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建</w:t>
      </w:r>
      <w:r>
        <w:rPr>
          <w:rFonts w:hint="default" w:ascii="Times New Roman" w:hAnsi="Times New Roman" w:eastAsia="仿宋" w:cs="Times New Roman"/>
          <w:bCs/>
          <w:color w:val="000000"/>
          <w:sz w:val="32"/>
          <w:szCs w:val="32"/>
          <w:highlight w:val="none"/>
          <w:shd w:val="clear" w:color="auto" w:fill="auto"/>
        </w:rPr>
        <w:t>立相应配套扶持资金</w:t>
      </w:r>
      <w:r>
        <w:rPr>
          <w:rFonts w:hint="default" w:ascii="Times New Roman" w:hAnsi="Times New Roman" w:eastAsia="仿宋" w:cs="Times New Roman"/>
          <w:bCs/>
          <w:color w:val="000000"/>
          <w:sz w:val="32"/>
          <w:szCs w:val="32"/>
          <w:highlight w:val="none"/>
          <w:shd w:val="clear" w:color="auto" w:fill="auto"/>
          <w:lang w:eastAsia="zh-CN"/>
        </w:rPr>
        <w:t>，</w:t>
      </w:r>
      <w:r>
        <w:rPr>
          <w:rFonts w:hint="default" w:ascii="Times New Roman" w:hAnsi="Times New Roman" w:eastAsia="仿宋" w:cs="Times New Roman"/>
          <w:bCs/>
          <w:color w:val="000000"/>
          <w:sz w:val="32"/>
          <w:szCs w:val="32"/>
          <w:highlight w:val="none"/>
          <w:shd w:val="clear" w:color="auto" w:fill="auto"/>
        </w:rPr>
        <w:t>以目标为导向建立资金使用绩效评价制度</w:t>
      </w:r>
      <w:r>
        <w:rPr>
          <w:rFonts w:hint="default" w:ascii="Times New Roman" w:hAnsi="Times New Roman" w:eastAsia="仿宋" w:cs="Times New Roman"/>
          <w:bCs/>
          <w:color w:val="00000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强化财政资金与社会融资的联动</w:t>
      </w:r>
      <w:r>
        <w:rPr>
          <w:rFonts w:hint="default" w:ascii="Times New Roman" w:hAnsi="Times New Roman" w:eastAsia="仿宋" w:cs="Times New Roman"/>
          <w:color w:val="000000"/>
          <w:sz w:val="32"/>
          <w:szCs w:val="32"/>
          <w:highlight w:val="none"/>
          <w:shd w:val="clear" w:color="auto" w:fill="auto"/>
          <w:lang w:eastAsia="zh-CN"/>
        </w:rPr>
        <w:t>；</w:t>
      </w:r>
      <w:r>
        <w:rPr>
          <w:rFonts w:hint="default" w:ascii="Times New Roman" w:hAnsi="Times New Roman" w:eastAsia="仿宋" w:cs="Times New Roman"/>
          <w:b w:val="0"/>
          <w:bCs w:val="0"/>
          <w:color w:val="000000"/>
          <w:kern w:val="2"/>
          <w:sz w:val="32"/>
          <w:szCs w:val="32"/>
          <w:highlight w:val="none"/>
          <w:shd w:val="clear" w:color="auto" w:fill="auto"/>
          <w:vertAlign w:val="baseline"/>
          <w:lang w:val="en-US" w:eastAsia="zh-CN" w:bidi="ar-SA"/>
        </w:rPr>
        <w:t>探索特许经营模式和第三方服务方式引导社会资本参与投资建设再生资源回收三级网络体系、共享信息平台、再生资源交易平台，保障规划具体实施</w:t>
      </w:r>
      <w:r>
        <w:rPr>
          <w:rFonts w:hint="default" w:ascii="Times New Roman" w:hAnsi="Times New Roman" w:eastAsia="仿宋" w:cs="Times New Roman"/>
          <w:b w:val="0"/>
          <w:bCs w:val="0"/>
          <w:color w:val="000000"/>
          <w:sz w:val="32"/>
          <w:szCs w:val="32"/>
          <w:highlight w:val="none"/>
          <w:shd w:val="clear" w:color="auto" w:fill="auto"/>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630" w:leftChars="0"/>
        <w:textAlignment w:val="auto"/>
        <w:outlineLvl w:val="2"/>
        <w:rPr>
          <w:rFonts w:hint="default" w:ascii="Times New Roman" w:hAnsi="Times New Roman" w:eastAsia="仿宋" w:cs="Times New Roman"/>
          <w:b w:val="0"/>
          <w:bCs/>
          <w:color w:val="000000"/>
          <w:kern w:val="0"/>
          <w:sz w:val="32"/>
          <w:szCs w:val="32"/>
          <w:highlight w:val="none"/>
          <w:shd w:val="clear" w:color="auto" w:fill="auto"/>
          <w:lang w:val="en-US" w:eastAsia="zh-CN" w:bidi="ar-SA"/>
        </w:rPr>
      </w:pPr>
      <w:r>
        <w:rPr>
          <w:rFonts w:hint="eastAsia" w:ascii="Times New Roman" w:hAnsi="Times New Roman" w:eastAsia="仿宋" w:cs="Times New Roman"/>
          <w:b w:val="0"/>
          <w:bCs/>
          <w:color w:val="000000"/>
          <w:kern w:val="0"/>
          <w:sz w:val="32"/>
          <w:szCs w:val="32"/>
          <w:highlight w:val="none"/>
          <w:shd w:val="clear" w:color="auto" w:fill="auto"/>
          <w:lang w:val="en-US" w:eastAsia="zh-CN" w:bidi="ar-SA"/>
        </w:rPr>
        <w:t xml:space="preserve">2. </w:t>
      </w:r>
      <w:r>
        <w:rPr>
          <w:rFonts w:hint="default" w:ascii="Times New Roman" w:hAnsi="Times New Roman" w:eastAsia="仿宋" w:cs="Times New Roman"/>
          <w:b w:val="0"/>
          <w:bCs/>
          <w:color w:val="000000"/>
          <w:kern w:val="0"/>
          <w:sz w:val="32"/>
          <w:szCs w:val="32"/>
          <w:highlight w:val="none"/>
          <w:shd w:val="clear" w:color="auto" w:fill="auto"/>
          <w:lang w:val="en-US" w:eastAsia="zh-CN" w:bidi="ar-SA"/>
        </w:rPr>
        <w:t>税收优惠保障</w:t>
      </w:r>
      <w:r>
        <w:rPr>
          <w:rFonts w:hint="eastAsia" w:ascii="Times New Roman" w:hAnsi="Times New Roman" w:eastAsia="仿宋" w:cs="Times New Roman"/>
          <w:b w:val="0"/>
          <w:bCs/>
          <w:color w:val="000000"/>
          <w:kern w:val="0"/>
          <w:sz w:val="32"/>
          <w:szCs w:val="32"/>
          <w:highlight w:val="none"/>
          <w:shd w:val="clear" w:color="auto" w:fill="auto"/>
          <w:lang w:val="en-US" w:eastAsia="zh-CN" w:bidi="ar-SA"/>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000000"/>
          <w:sz w:val="32"/>
          <w:szCs w:val="32"/>
          <w:highlight w:val="none"/>
          <w:shd w:val="clear" w:color="auto" w:fill="auto"/>
        </w:rPr>
      </w:pPr>
      <w:r>
        <w:rPr>
          <w:rFonts w:hint="default" w:ascii="Times New Roman" w:hAnsi="Times New Roman" w:eastAsia="仿宋" w:cs="Times New Roman"/>
          <w:i w:val="0"/>
          <w:iCs w:val="0"/>
          <w:caps w:val="0"/>
          <w:color w:val="000000"/>
          <w:spacing w:val="0"/>
          <w:sz w:val="32"/>
          <w:szCs w:val="32"/>
          <w:highlight w:val="none"/>
          <w:shd w:val="clear" w:color="auto" w:fill="auto"/>
          <w:lang w:eastAsia="zh-CN"/>
        </w:rPr>
        <w:t>贯彻落实</w:t>
      </w:r>
      <w:r>
        <w:rPr>
          <w:rFonts w:hint="default" w:ascii="Times New Roman" w:hAnsi="Times New Roman" w:eastAsia="仿宋" w:cs="Times New Roman"/>
          <w:i w:val="0"/>
          <w:iCs w:val="0"/>
          <w:caps w:val="0"/>
          <w:color w:val="000000"/>
          <w:spacing w:val="0"/>
          <w:sz w:val="32"/>
          <w:szCs w:val="32"/>
          <w:highlight w:val="none"/>
          <w:shd w:val="clear" w:color="auto" w:fill="auto"/>
        </w:rPr>
        <w:t>财政部、</w:t>
      </w:r>
      <w:r>
        <w:rPr>
          <w:rFonts w:hint="eastAsia" w:eastAsia="仿宋" w:cs="Times New Roman"/>
          <w:i w:val="0"/>
          <w:iCs w:val="0"/>
          <w:caps w:val="0"/>
          <w:color w:val="000000"/>
          <w:spacing w:val="0"/>
          <w:sz w:val="32"/>
          <w:szCs w:val="32"/>
          <w:highlight w:val="none"/>
          <w:shd w:val="clear" w:color="auto" w:fill="auto"/>
          <w:lang w:eastAsia="zh-CN"/>
        </w:rPr>
        <w:t>国家</w:t>
      </w:r>
      <w:r>
        <w:rPr>
          <w:rFonts w:hint="default" w:ascii="Times New Roman" w:hAnsi="Times New Roman" w:eastAsia="仿宋" w:cs="Times New Roman"/>
          <w:i w:val="0"/>
          <w:iCs w:val="0"/>
          <w:caps w:val="0"/>
          <w:color w:val="000000"/>
          <w:spacing w:val="0"/>
          <w:sz w:val="32"/>
          <w:szCs w:val="32"/>
          <w:highlight w:val="none"/>
          <w:shd w:val="clear" w:color="auto" w:fill="auto"/>
        </w:rPr>
        <w:t>税务总局、发展改革委、生态环境部《环境保护、节能节水项目企业所得税优惠目录</w:t>
      </w:r>
      <w:r>
        <w:rPr>
          <w:rFonts w:hint="eastAsia" w:ascii="Times New Roman" w:hAnsi="Times New Roman" w:eastAsia="仿宋"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 w:cs="Times New Roman"/>
          <w:i w:val="0"/>
          <w:iCs w:val="0"/>
          <w:caps w:val="0"/>
          <w:color w:val="000000"/>
          <w:spacing w:val="0"/>
          <w:sz w:val="32"/>
          <w:szCs w:val="32"/>
          <w:highlight w:val="none"/>
          <w:shd w:val="clear" w:color="auto" w:fill="auto"/>
        </w:rPr>
        <w:t>2021年版</w:t>
      </w:r>
      <w:r>
        <w:rPr>
          <w:rFonts w:hint="eastAsia" w:ascii="Times New Roman" w:hAnsi="Times New Roman" w:eastAsia="仿宋"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 w:cs="Times New Roman"/>
          <w:i w:val="0"/>
          <w:iCs w:val="0"/>
          <w:caps w:val="0"/>
          <w:color w:val="000000"/>
          <w:spacing w:val="0"/>
          <w:sz w:val="32"/>
          <w:szCs w:val="32"/>
          <w:highlight w:val="none"/>
          <w:shd w:val="clear" w:color="auto" w:fill="auto"/>
        </w:rPr>
        <w:t>》和《资源综合利用企业所得税优惠目录</w:t>
      </w:r>
      <w:r>
        <w:rPr>
          <w:rFonts w:hint="eastAsia" w:ascii="Times New Roman" w:hAnsi="Times New Roman" w:eastAsia="仿宋"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 w:cs="Times New Roman"/>
          <w:i w:val="0"/>
          <w:iCs w:val="0"/>
          <w:caps w:val="0"/>
          <w:color w:val="000000"/>
          <w:spacing w:val="0"/>
          <w:sz w:val="32"/>
          <w:szCs w:val="32"/>
          <w:highlight w:val="none"/>
          <w:shd w:val="clear" w:color="auto" w:fill="auto"/>
        </w:rPr>
        <w:t>2021年版</w:t>
      </w:r>
      <w:r>
        <w:rPr>
          <w:rFonts w:hint="eastAsia" w:ascii="Times New Roman" w:hAnsi="Times New Roman" w:eastAsia="仿宋"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 w:cs="Times New Roman"/>
          <w:i w:val="0"/>
          <w:iCs w:val="0"/>
          <w:caps w:val="0"/>
          <w:color w:val="000000"/>
          <w:spacing w:val="0"/>
          <w:sz w:val="32"/>
          <w:szCs w:val="32"/>
          <w:highlight w:val="none"/>
          <w:shd w:val="clear" w:color="auto" w:fill="auto"/>
        </w:rPr>
        <w:t>》</w:t>
      </w:r>
      <w:r>
        <w:rPr>
          <w:rFonts w:hint="default" w:ascii="Times New Roman" w:hAnsi="Times New Roman" w:eastAsia="仿宋"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 w:cs="Times New Roman"/>
          <w:b w:val="0"/>
          <w:bCs w:val="0"/>
          <w:color w:val="000000"/>
          <w:kern w:val="0"/>
          <w:sz w:val="32"/>
          <w:szCs w:val="32"/>
          <w:highlight w:val="none"/>
          <w:shd w:val="clear" w:color="auto" w:fill="auto"/>
          <w:lang w:val="en-US" w:eastAsia="zh-CN" w:bidi="ar"/>
        </w:rPr>
        <w:t>推动</w:t>
      </w:r>
      <w:r>
        <w:rPr>
          <w:rFonts w:hint="default" w:ascii="Times New Roman" w:hAnsi="Times New Roman" w:eastAsia="仿宋" w:cs="Times New Roman"/>
          <w:bCs/>
          <w:color w:val="000000"/>
          <w:sz w:val="32"/>
          <w:szCs w:val="32"/>
          <w:highlight w:val="none"/>
          <w:shd w:val="clear" w:color="auto" w:fill="auto"/>
        </w:rPr>
        <w:t>税收优惠政策</w:t>
      </w:r>
      <w:r>
        <w:rPr>
          <w:rFonts w:hint="default" w:ascii="Times New Roman" w:hAnsi="Times New Roman" w:eastAsia="仿宋" w:cs="Times New Roman"/>
          <w:bCs/>
          <w:color w:val="000000"/>
          <w:sz w:val="32"/>
          <w:szCs w:val="32"/>
          <w:highlight w:val="none"/>
          <w:shd w:val="clear" w:color="auto" w:fill="auto"/>
          <w:lang w:eastAsia="zh-CN"/>
        </w:rPr>
        <w:t>执行落地。</w:t>
      </w:r>
      <w:r>
        <w:rPr>
          <w:rFonts w:hint="default" w:ascii="Times New Roman" w:hAnsi="Times New Roman" w:eastAsia="仿宋" w:cs="Times New Roman"/>
          <w:bCs/>
          <w:color w:val="000000"/>
          <w:sz w:val="32"/>
          <w:szCs w:val="32"/>
          <w:highlight w:val="none"/>
          <w:shd w:val="clear" w:color="auto" w:fill="auto"/>
        </w:rPr>
        <w:t>鼓励再生资源回收</w:t>
      </w:r>
      <w:r>
        <w:rPr>
          <w:rFonts w:hint="default" w:ascii="Times New Roman" w:hAnsi="Times New Roman" w:eastAsia="仿宋" w:cs="Times New Roman"/>
          <w:bCs/>
          <w:color w:val="000000"/>
          <w:sz w:val="32"/>
          <w:szCs w:val="32"/>
          <w:highlight w:val="none"/>
          <w:shd w:val="clear" w:color="auto" w:fill="auto"/>
          <w:lang w:eastAsia="zh-CN"/>
        </w:rPr>
        <w:t>企业在资源综合利用过程中</w:t>
      </w:r>
      <w:r>
        <w:rPr>
          <w:rFonts w:hint="default" w:ascii="Times New Roman" w:hAnsi="Times New Roman" w:eastAsia="仿宋" w:cs="Times New Roman"/>
          <w:bCs/>
          <w:color w:val="000000"/>
          <w:sz w:val="32"/>
          <w:szCs w:val="32"/>
          <w:highlight w:val="none"/>
          <w:shd w:val="clear" w:color="auto" w:fill="auto"/>
        </w:rPr>
        <w:t>，</w:t>
      </w:r>
      <w:r>
        <w:rPr>
          <w:rFonts w:hint="default" w:ascii="Times New Roman" w:hAnsi="Times New Roman" w:eastAsia="仿宋" w:cs="Times New Roman"/>
          <w:bCs/>
          <w:color w:val="000000"/>
          <w:sz w:val="32"/>
          <w:szCs w:val="32"/>
          <w:highlight w:val="none"/>
          <w:shd w:val="clear" w:color="auto" w:fill="auto"/>
          <w:lang w:eastAsia="zh-CN"/>
        </w:rPr>
        <w:t>引进环境保护、节能节水项目，引进高效节能加工生产设备，积极参与环境污染防治、节能减排、节水技术改造及非常规水利用，享受企业所得税优惠政策，</w:t>
      </w:r>
      <w:r>
        <w:rPr>
          <w:rFonts w:hint="default" w:ascii="Times New Roman" w:hAnsi="Times New Roman" w:eastAsia="仿宋" w:cs="Times New Roman"/>
          <w:bCs/>
          <w:color w:val="000000"/>
          <w:sz w:val="32"/>
          <w:szCs w:val="32"/>
          <w:highlight w:val="none"/>
          <w:shd w:val="clear" w:color="auto" w:fill="auto"/>
        </w:rPr>
        <w:t>降低企业成本</w:t>
      </w:r>
      <w:r>
        <w:rPr>
          <w:rFonts w:hint="default" w:ascii="Times New Roman" w:hAnsi="Times New Roman" w:eastAsia="仿宋" w:cs="Times New Roman"/>
          <w:bCs/>
          <w:color w:val="000000"/>
          <w:sz w:val="32"/>
          <w:szCs w:val="32"/>
          <w:highlight w:val="none"/>
          <w:shd w:val="clear" w:color="auto" w:fill="auto"/>
          <w:lang w:eastAsia="zh-CN"/>
        </w:rPr>
        <w:t>，</w:t>
      </w:r>
      <w:r>
        <w:rPr>
          <w:rFonts w:hint="default" w:ascii="Times New Roman" w:hAnsi="Times New Roman" w:eastAsia="仿宋" w:cs="Times New Roman"/>
          <w:bCs/>
          <w:color w:val="000000"/>
          <w:sz w:val="32"/>
          <w:szCs w:val="32"/>
          <w:highlight w:val="none"/>
          <w:shd w:val="clear" w:color="auto" w:fill="auto"/>
        </w:rPr>
        <w:t>促进再生资源回收产业可持续发展。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630" w:leftChars="0"/>
        <w:textAlignment w:val="auto"/>
        <w:outlineLvl w:val="2"/>
        <w:rPr>
          <w:rFonts w:hint="default" w:ascii="Times New Roman" w:hAnsi="Times New Roman" w:eastAsia="仿宋" w:cs="Times New Roman"/>
          <w:b w:val="0"/>
          <w:bCs/>
          <w:color w:val="000000"/>
          <w:kern w:val="0"/>
          <w:sz w:val="32"/>
          <w:szCs w:val="32"/>
          <w:highlight w:val="none"/>
          <w:shd w:val="clear" w:color="auto" w:fill="auto"/>
          <w:lang w:val="en-US" w:eastAsia="zh-CN" w:bidi="ar-SA"/>
        </w:rPr>
      </w:pPr>
      <w:r>
        <w:rPr>
          <w:rFonts w:hint="eastAsia" w:ascii="Times New Roman" w:hAnsi="Times New Roman" w:eastAsia="仿宋" w:cs="Times New Roman"/>
          <w:b w:val="0"/>
          <w:bCs/>
          <w:color w:val="000000"/>
          <w:kern w:val="0"/>
          <w:sz w:val="32"/>
          <w:szCs w:val="32"/>
          <w:highlight w:val="none"/>
          <w:shd w:val="clear" w:color="auto" w:fill="auto"/>
          <w:lang w:val="en-US" w:eastAsia="zh-CN" w:bidi="ar-SA"/>
        </w:rPr>
        <w:t xml:space="preserve">3. </w:t>
      </w:r>
      <w:r>
        <w:rPr>
          <w:rFonts w:hint="default" w:ascii="Times New Roman" w:hAnsi="Times New Roman" w:eastAsia="仿宋" w:cs="Times New Roman"/>
          <w:b w:val="0"/>
          <w:bCs/>
          <w:color w:val="000000"/>
          <w:kern w:val="0"/>
          <w:sz w:val="32"/>
          <w:szCs w:val="32"/>
          <w:highlight w:val="none"/>
          <w:shd w:val="clear" w:color="auto" w:fill="auto"/>
          <w:lang w:val="en-US" w:eastAsia="zh-CN" w:bidi="ar-SA"/>
        </w:rPr>
        <w:t>土地物流保障</w:t>
      </w:r>
      <w:r>
        <w:rPr>
          <w:rFonts w:hint="eastAsia" w:ascii="Times New Roman" w:hAnsi="Times New Roman" w:eastAsia="仿宋" w:cs="Times New Roman"/>
          <w:b w:val="0"/>
          <w:bCs/>
          <w:color w:val="000000"/>
          <w:kern w:val="0"/>
          <w:sz w:val="32"/>
          <w:szCs w:val="32"/>
          <w:highlight w:val="none"/>
          <w:shd w:val="clear" w:color="auto" w:fill="auto"/>
          <w:lang w:val="en-US" w:eastAsia="zh-CN" w:bidi="ar-SA"/>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000000"/>
          <w:kern w:val="2"/>
          <w:sz w:val="32"/>
          <w:szCs w:val="32"/>
          <w:highlight w:val="none"/>
          <w:shd w:val="clear" w:color="auto" w:fill="auto"/>
        </w:rPr>
      </w:pPr>
      <w:r>
        <w:rPr>
          <w:rFonts w:hint="default" w:ascii="Times New Roman" w:hAnsi="Times New Roman" w:eastAsia="仿宋" w:cs="Times New Roman"/>
          <w:color w:val="000000"/>
          <w:kern w:val="2"/>
          <w:sz w:val="32"/>
          <w:szCs w:val="32"/>
          <w:highlight w:val="none"/>
          <w:shd w:val="clear" w:color="auto" w:fill="auto"/>
        </w:rPr>
        <w:t>在符合国土空间规划有关要求的前提下，落实和完善用地政策，将经批准的再生资源回收体系建设项目用地统筹纳入国土空间规划。地方政府、回收企业共同协作完成以分拣中心为主的回收站点的选址及建设工作。保障再生资源回收车辆合理路权，对车辆配备、通行区域、上路时段等予以支持和规范。推动再生资源的物流运输顺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1"/>
        <w:rPr>
          <w:rFonts w:hint="eastAsia" w:ascii="楷体" w:hAnsi="楷体" w:eastAsia="楷体" w:cs="楷体"/>
          <w:b w:val="0"/>
          <w:color w:val="000000"/>
          <w:kern w:val="2"/>
          <w:sz w:val="32"/>
          <w:szCs w:val="24"/>
          <w:highlight w:val="none"/>
          <w:shd w:val="clear" w:color="auto" w:fill="auto"/>
          <w:lang w:val="en-US"/>
        </w:rPr>
      </w:pPr>
      <w:bookmarkStart w:id="70" w:name="_Toc13455"/>
      <w:bookmarkStart w:id="71" w:name="_Toc1077108450"/>
      <w:r>
        <w:rPr>
          <w:rFonts w:hint="eastAsia" w:ascii="楷体" w:hAnsi="楷体" w:eastAsia="楷体" w:cs="楷体"/>
          <w:b w:val="0"/>
          <w:color w:val="000000"/>
          <w:kern w:val="2"/>
          <w:sz w:val="32"/>
          <w:szCs w:val="24"/>
          <w:highlight w:val="none"/>
          <w:shd w:val="clear" w:color="auto" w:fill="auto"/>
          <w:lang w:val="en-US" w:eastAsia="zh-CN"/>
        </w:rPr>
        <w:t>（三）强化</w:t>
      </w:r>
      <w:bookmarkEnd w:id="70"/>
      <w:r>
        <w:rPr>
          <w:rFonts w:hint="eastAsia" w:ascii="楷体" w:hAnsi="楷体" w:eastAsia="楷体" w:cs="楷体"/>
          <w:b w:val="0"/>
          <w:color w:val="000000"/>
          <w:kern w:val="2"/>
          <w:sz w:val="32"/>
          <w:szCs w:val="24"/>
          <w:highlight w:val="none"/>
          <w:shd w:val="clear" w:color="auto" w:fill="auto"/>
          <w:lang w:val="en-US" w:eastAsia="zh-CN"/>
        </w:rPr>
        <w:t>监督管理</w:t>
      </w:r>
      <w:bookmarkEnd w:id="71"/>
      <w:r>
        <w:rPr>
          <w:rFonts w:hint="eastAsia" w:ascii="楷体" w:hAnsi="楷体" w:eastAsia="楷体" w:cs="楷体"/>
          <w:b w:val="0"/>
          <w:color w:val="000000"/>
          <w:kern w:val="2"/>
          <w:sz w:val="32"/>
          <w:szCs w:val="24"/>
          <w:highlight w:val="none"/>
          <w:shd w:val="clear" w:color="auto" w:fill="auto"/>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 w:cs="Times New Roman"/>
          <w:bCs/>
          <w:color w:val="000000"/>
          <w:kern w:val="0"/>
          <w:sz w:val="32"/>
          <w:szCs w:val="32"/>
          <w:highlight w:val="none"/>
          <w:shd w:val="clear" w:color="auto" w:fill="auto"/>
        </w:rPr>
      </w:pPr>
      <w:bookmarkStart w:id="72" w:name="_Toc1909154238"/>
      <w:r>
        <w:rPr>
          <w:rFonts w:hint="default" w:ascii="Times New Roman" w:hAnsi="Times New Roman" w:eastAsia="仿宋" w:cs="Times New Roman"/>
          <w:color w:val="000000"/>
          <w:sz w:val="32"/>
          <w:szCs w:val="32"/>
          <w:highlight w:val="none"/>
          <w:shd w:val="clear" w:color="auto" w:fill="auto"/>
        </w:rPr>
        <w:t>完善行政监督体系和信息管理平台，收集企业基本信息、再生资源回收数量、交易信息，加强统计数据分析，掌握行业发展动态；开发监管信息共享系统，利用互联网、手机APP，实时推送监管信息，及时反馈处理情况，强化事中事后监管力度</w:t>
      </w:r>
      <w:r>
        <w:rPr>
          <w:rFonts w:hint="default" w:ascii="Times New Roman" w:hAnsi="Times New Roman" w:eastAsia="仿宋" w:cs="Times New Roman"/>
          <w:color w:val="000000"/>
          <w:sz w:val="32"/>
          <w:szCs w:val="32"/>
          <w:highlight w:val="none"/>
          <w:shd w:val="clear" w:color="auto" w:fill="auto"/>
          <w:lang w:val="en-US" w:eastAsia="zh-CN"/>
        </w:rPr>
        <w:t>，</w:t>
      </w:r>
      <w:r>
        <w:rPr>
          <w:rFonts w:hint="default" w:ascii="Times New Roman" w:hAnsi="Times New Roman" w:eastAsia="仿宋" w:cs="Times New Roman"/>
          <w:color w:val="000000"/>
          <w:kern w:val="2"/>
          <w:sz w:val="32"/>
          <w:szCs w:val="32"/>
          <w:highlight w:val="none"/>
          <w:shd w:val="clear" w:color="auto" w:fill="auto"/>
          <w:lang w:val="en-US" w:eastAsia="zh-CN" w:bidi="ar-SA"/>
        </w:rPr>
        <w:t>政府行政管理部门在合规运营、数据采集等方面做好监督管理工作。</w:t>
      </w:r>
      <w:r>
        <w:rPr>
          <w:rFonts w:hint="default" w:ascii="Times New Roman" w:hAnsi="Times New Roman" w:eastAsia="仿宋" w:cs="Times New Roman"/>
          <w:bCs/>
          <w:color w:val="000000"/>
          <w:kern w:val="0"/>
          <w:sz w:val="32"/>
          <w:szCs w:val="32"/>
          <w:highlight w:val="none"/>
          <w:shd w:val="clear" w:color="auto" w:fill="auto"/>
        </w:rPr>
        <w:t>支持行业协会优化人员队伍结构，加强自我管理能力和综合服务能力提升</w:t>
      </w:r>
      <w:r>
        <w:rPr>
          <w:rFonts w:hint="default" w:ascii="Times New Roman" w:hAnsi="Times New Roman" w:eastAsia="仿宋" w:cs="Times New Roman"/>
          <w:bCs/>
          <w:color w:val="000000"/>
          <w:kern w:val="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lang w:eastAsia="zh-CN"/>
        </w:rPr>
        <w:t>充分</w:t>
      </w:r>
      <w:r>
        <w:rPr>
          <w:rFonts w:hint="default" w:ascii="Times New Roman" w:hAnsi="Times New Roman" w:eastAsia="仿宋" w:cs="Times New Roman"/>
          <w:bCs/>
          <w:color w:val="000000"/>
          <w:kern w:val="0"/>
          <w:sz w:val="32"/>
          <w:szCs w:val="32"/>
          <w:highlight w:val="none"/>
          <w:shd w:val="clear" w:color="auto" w:fill="auto"/>
        </w:rPr>
        <w:t>发挥再生资源回收行业协会作用，制订行业自律规范，推动建立行业规范标准</w:t>
      </w:r>
      <w:r>
        <w:rPr>
          <w:rFonts w:hint="default" w:ascii="Times New Roman" w:hAnsi="Times New Roman" w:eastAsia="仿宋" w:cs="Times New Roman"/>
          <w:bCs/>
          <w:color w:val="000000"/>
          <w:kern w:val="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通过普法宣传</w:t>
      </w:r>
      <w:r>
        <w:rPr>
          <w:rFonts w:hint="default" w:ascii="Times New Roman" w:hAnsi="Times New Roman" w:eastAsia="仿宋" w:cs="Times New Roman"/>
          <w:color w:val="000000"/>
          <w:sz w:val="32"/>
          <w:szCs w:val="32"/>
          <w:highlight w:val="none"/>
          <w:shd w:val="clear" w:color="auto" w:fill="auto"/>
          <w:lang w:eastAsia="zh-CN"/>
        </w:rPr>
        <w:t>教育</w:t>
      </w:r>
      <w:r>
        <w:rPr>
          <w:rFonts w:hint="default" w:ascii="Times New Roman" w:hAnsi="Times New Roman" w:eastAsia="仿宋" w:cs="Times New Roman"/>
          <w:color w:val="000000"/>
          <w:sz w:val="32"/>
          <w:szCs w:val="32"/>
          <w:highlight w:val="none"/>
          <w:shd w:val="clear" w:color="auto" w:fill="auto"/>
        </w:rPr>
        <w:t>，</w:t>
      </w:r>
      <w:r>
        <w:rPr>
          <w:rFonts w:hint="default" w:ascii="Times New Roman" w:hAnsi="Times New Roman" w:eastAsia="仿宋" w:cs="Times New Roman"/>
          <w:bCs/>
          <w:color w:val="000000"/>
          <w:kern w:val="0"/>
          <w:sz w:val="32"/>
          <w:szCs w:val="32"/>
          <w:highlight w:val="none"/>
          <w:shd w:val="clear" w:color="auto" w:fill="auto"/>
        </w:rPr>
        <w:t>定期组织再生资源回收企业负责人学习政策文件和规范经营准则，加强从业人员安全生产知识及应急处置培训</w:t>
      </w:r>
      <w:r>
        <w:rPr>
          <w:rFonts w:hint="default" w:ascii="Times New Roman" w:hAnsi="Times New Roman" w:eastAsia="仿宋" w:cs="Times New Roman"/>
          <w:bCs/>
          <w:color w:val="000000"/>
          <w:kern w:val="0"/>
          <w:sz w:val="32"/>
          <w:szCs w:val="32"/>
          <w:highlight w:val="none"/>
          <w:shd w:val="clear" w:color="auto" w:fill="auto"/>
          <w:lang w:eastAsia="zh-CN"/>
        </w:rPr>
        <w:t>，</w:t>
      </w:r>
      <w:r>
        <w:rPr>
          <w:rFonts w:hint="default" w:ascii="Times New Roman" w:hAnsi="Times New Roman" w:eastAsia="仿宋" w:cs="Times New Roman"/>
          <w:color w:val="000000"/>
          <w:sz w:val="32"/>
          <w:szCs w:val="32"/>
          <w:highlight w:val="none"/>
          <w:shd w:val="clear" w:color="auto" w:fill="auto"/>
        </w:rPr>
        <w:t>提高从业人员的素质。</w:t>
      </w:r>
      <w:bookmarkEnd w:id="72"/>
    </w:p>
    <w:p>
      <w:pPr>
        <w:pStyle w:val="4"/>
        <w:keepNext w:val="0"/>
        <w:keepLines w:val="0"/>
        <w:pageBreakBefore w:val="0"/>
        <w:widowControl w:val="0"/>
        <w:kinsoku/>
        <w:wordWrap/>
        <w:overflowPunct/>
        <w:topLinePunct w:val="0"/>
        <w:autoSpaceDE/>
        <w:autoSpaceDN/>
        <w:bidi w:val="0"/>
        <w:adjustRightInd/>
        <w:snapToGrid/>
        <w:spacing w:line="560" w:lineRule="exact"/>
        <w:ind w:left="0" w:firstLine="643"/>
        <w:textAlignment w:val="auto"/>
        <w:outlineLvl w:val="1"/>
        <w:rPr>
          <w:rFonts w:hint="eastAsia" w:ascii="楷体" w:hAnsi="楷体" w:eastAsia="楷体" w:cs="楷体"/>
          <w:b w:val="0"/>
          <w:color w:val="000000"/>
          <w:kern w:val="2"/>
          <w:sz w:val="32"/>
          <w:szCs w:val="24"/>
          <w:highlight w:val="none"/>
          <w:shd w:val="clear" w:color="auto" w:fill="auto"/>
          <w:lang w:val="en-US" w:eastAsia="zh-CN"/>
        </w:rPr>
      </w:pPr>
      <w:bookmarkStart w:id="73" w:name="_Toc12252"/>
      <w:bookmarkStart w:id="74" w:name="_Toc341204592"/>
      <w:r>
        <w:rPr>
          <w:rFonts w:hint="eastAsia" w:ascii="楷体" w:hAnsi="楷体" w:eastAsia="楷体" w:cs="楷体"/>
          <w:b w:val="0"/>
          <w:color w:val="000000"/>
          <w:kern w:val="2"/>
          <w:sz w:val="32"/>
          <w:szCs w:val="24"/>
          <w:highlight w:val="none"/>
          <w:shd w:val="clear" w:color="auto" w:fill="auto"/>
        </w:rPr>
        <w:t>（</w:t>
      </w:r>
      <w:r>
        <w:rPr>
          <w:rFonts w:hint="eastAsia" w:ascii="楷体" w:hAnsi="楷体" w:eastAsia="楷体" w:cs="楷体"/>
          <w:b w:val="0"/>
          <w:color w:val="000000"/>
          <w:kern w:val="2"/>
          <w:sz w:val="32"/>
          <w:szCs w:val="24"/>
          <w:highlight w:val="none"/>
          <w:shd w:val="clear" w:color="auto" w:fill="auto"/>
          <w:lang w:val="en-US" w:eastAsia="zh-CN"/>
        </w:rPr>
        <w:t>四</w:t>
      </w:r>
      <w:r>
        <w:rPr>
          <w:rFonts w:hint="eastAsia" w:ascii="楷体" w:hAnsi="楷体" w:eastAsia="楷体" w:cs="楷体"/>
          <w:b w:val="0"/>
          <w:color w:val="000000"/>
          <w:kern w:val="2"/>
          <w:sz w:val="32"/>
          <w:szCs w:val="24"/>
          <w:highlight w:val="none"/>
          <w:shd w:val="clear" w:color="auto" w:fill="auto"/>
        </w:rPr>
        <w:t>）</w:t>
      </w:r>
      <w:bookmarkEnd w:id="73"/>
      <w:r>
        <w:rPr>
          <w:rFonts w:hint="eastAsia" w:ascii="楷体" w:hAnsi="楷体" w:eastAsia="楷体" w:cs="楷体"/>
          <w:b w:val="0"/>
          <w:color w:val="000000"/>
          <w:kern w:val="2"/>
          <w:sz w:val="32"/>
          <w:szCs w:val="24"/>
          <w:highlight w:val="none"/>
          <w:shd w:val="clear" w:color="auto" w:fill="auto"/>
          <w:lang w:val="en-US" w:eastAsia="zh-CN"/>
        </w:rPr>
        <w:t>加大宣传推广</w:t>
      </w:r>
      <w:bookmarkEnd w:id="74"/>
      <w:r>
        <w:rPr>
          <w:rFonts w:hint="eastAsia" w:ascii="楷体" w:hAnsi="楷体" w:eastAsia="楷体" w:cs="楷体"/>
          <w:b w:val="0"/>
          <w:color w:val="000000"/>
          <w:kern w:val="2"/>
          <w:sz w:val="32"/>
          <w:szCs w:val="24"/>
          <w:highlight w:val="none"/>
          <w:shd w:val="clear" w:color="auto" w:fill="auto"/>
          <w:lang w:val="en-US" w:eastAsia="zh-CN"/>
        </w:rPr>
        <w:t>。</w:t>
      </w:r>
    </w:p>
    <w:p>
      <w:pPr>
        <w:pStyle w:val="4"/>
        <w:adjustRightInd/>
        <w:snapToGrid/>
        <w:spacing w:line="560" w:lineRule="exact"/>
        <w:ind w:left="0" w:firstLine="640" w:firstLineChars="200"/>
        <w:rPr>
          <w:rFonts w:hint="eastAsia" w:ascii="Times New Roman" w:hAnsi="Times New Roman" w:eastAsia="黑体" w:cs="黑体"/>
          <w:sz w:val="32"/>
          <w:szCs w:val="32"/>
          <w:highlight w:val="none"/>
          <w:shd w:val="clear" w:color="auto" w:fill="auto"/>
        </w:rPr>
      </w:pPr>
      <w:bookmarkStart w:id="75" w:name="_Toc866004997"/>
      <w:r>
        <w:rPr>
          <w:rFonts w:hint="default" w:ascii="Times New Roman" w:hAnsi="Times New Roman" w:eastAsia="仿宋" w:cs="Times New Roman"/>
          <w:sz w:val="32"/>
          <w:szCs w:val="32"/>
          <w:highlight w:val="none"/>
          <w:shd w:val="clear" w:color="auto" w:fill="auto"/>
        </w:rPr>
        <w:t>广泛宣传普及再生资源回收体系建设的重要性和必要性，深入推进生活垃圾分类，加快生活垃圾源头减量。通过网络、电视、报刊等媒体及民间</w:t>
      </w:r>
      <w:r>
        <w:rPr>
          <w:rFonts w:hint="default" w:ascii="Times New Roman" w:hAnsi="Times New Roman" w:eastAsia="仿宋" w:cs="Times New Roman"/>
          <w:sz w:val="32"/>
          <w:szCs w:val="32"/>
          <w:highlight w:val="none"/>
          <w:shd w:val="clear" w:color="auto" w:fill="auto"/>
          <w:lang w:eastAsia="zh-CN"/>
        </w:rPr>
        <w:t>团体等</w:t>
      </w:r>
      <w:r>
        <w:rPr>
          <w:rFonts w:hint="default" w:ascii="Times New Roman" w:hAnsi="Times New Roman" w:eastAsia="仿宋" w:cs="Times New Roman"/>
          <w:sz w:val="32"/>
          <w:szCs w:val="32"/>
          <w:highlight w:val="none"/>
          <w:shd w:val="clear" w:color="auto" w:fill="auto"/>
        </w:rPr>
        <w:t>组织，加大对再生资源</w:t>
      </w:r>
      <w:r>
        <w:rPr>
          <w:rFonts w:hint="default" w:ascii="Times New Roman" w:hAnsi="Times New Roman" w:eastAsia="仿宋" w:cs="Times New Roman"/>
          <w:sz w:val="32"/>
          <w:szCs w:val="32"/>
          <w:highlight w:val="none"/>
          <w:shd w:val="clear" w:color="auto" w:fill="auto"/>
          <w:lang w:eastAsia="zh-CN"/>
        </w:rPr>
        <w:t>回收利用</w:t>
      </w:r>
      <w:r>
        <w:rPr>
          <w:rFonts w:hint="default" w:ascii="Times New Roman" w:hAnsi="Times New Roman" w:eastAsia="仿宋" w:cs="Times New Roman"/>
          <w:sz w:val="32"/>
          <w:szCs w:val="32"/>
          <w:highlight w:val="none"/>
          <w:shd w:val="clear" w:color="auto" w:fill="auto"/>
        </w:rPr>
        <w:t>知识</w:t>
      </w:r>
      <w:r>
        <w:rPr>
          <w:rFonts w:hint="default" w:ascii="Times New Roman" w:hAnsi="Times New Roman" w:eastAsia="仿宋" w:cs="Times New Roman"/>
          <w:sz w:val="32"/>
          <w:szCs w:val="32"/>
          <w:highlight w:val="none"/>
          <w:shd w:val="clear" w:color="auto" w:fill="auto"/>
          <w:lang w:eastAsia="zh-CN"/>
        </w:rPr>
        <w:t>的推广</w:t>
      </w:r>
      <w:r>
        <w:rPr>
          <w:rFonts w:hint="default" w:ascii="Times New Roman" w:hAnsi="Times New Roman" w:eastAsia="仿宋" w:cs="Times New Roman"/>
          <w:sz w:val="32"/>
          <w:szCs w:val="32"/>
          <w:highlight w:val="none"/>
          <w:shd w:val="clear" w:color="auto" w:fill="auto"/>
        </w:rPr>
        <w:t>普及，增强市民</w:t>
      </w:r>
      <w:r>
        <w:rPr>
          <w:rFonts w:hint="default" w:ascii="Times New Roman" w:hAnsi="Times New Roman" w:eastAsia="仿宋" w:cs="Times New Roman"/>
          <w:sz w:val="32"/>
          <w:szCs w:val="32"/>
          <w:highlight w:val="none"/>
          <w:shd w:val="clear" w:color="auto" w:fill="auto"/>
          <w:lang w:eastAsia="zh-CN"/>
        </w:rPr>
        <w:t>生态环境保护</w:t>
      </w:r>
      <w:r>
        <w:rPr>
          <w:rFonts w:hint="default" w:ascii="Times New Roman" w:hAnsi="Times New Roman" w:eastAsia="仿宋" w:cs="Times New Roman"/>
          <w:sz w:val="32"/>
          <w:szCs w:val="32"/>
          <w:highlight w:val="none"/>
          <w:shd w:val="clear" w:color="auto" w:fill="auto"/>
        </w:rPr>
        <w:t>意识，倡导绿色低碳、环保健康、循环利用的生产生活方式</w:t>
      </w:r>
      <w:r>
        <w:rPr>
          <w:rFonts w:hint="default" w:ascii="Times New Roman" w:hAnsi="Times New Roman" w:eastAsia="仿宋" w:cs="Times New Roman"/>
          <w:sz w:val="32"/>
          <w:szCs w:val="32"/>
          <w:highlight w:val="none"/>
          <w:shd w:val="clear" w:color="auto" w:fill="auto"/>
          <w:lang w:eastAsia="zh-CN"/>
        </w:rPr>
        <w:t>，引导社会民众积极参与城市垃圾分类和</w:t>
      </w:r>
      <w:r>
        <w:rPr>
          <w:rFonts w:hint="eastAsia"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shd w:val="clear" w:color="auto" w:fill="auto"/>
          <w:lang w:eastAsia="zh-CN"/>
        </w:rPr>
        <w:t>无废城市</w:t>
      </w:r>
      <w:r>
        <w:rPr>
          <w:rFonts w:hint="eastAsia"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shd w:val="clear" w:color="auto" w:fill="auto"/>
          <w:lang w:eastAsia="zh-CN"/>
        </w:rPr>
        <w:t>建设。</w:t>
      </w:r>
      <w:r>
        <w:rPr>
          <w:rFonts w:hint="default" w:ascii="Times New Roman" w:hAnsi="Times New Roman" w:eastAsia="仿宋" w:cs="Times New Roman"/>
          <w:sz w:val="32"/>
          <w:szCs w:val="32"/>
          <w:highlight w:val="none"/>
          <w:shd w:val="clear" w:color="auto" w:fill="auto"/>
        </w:rPr>
        <w:t>专题报道再生资源回收行业整治、网点规划建设及行业自律规约，引导再生资源回收行业从业人员依法守规经营；培育或引进再生资源回收龙头示范企业，发挥典型带动效应，为行业规范建设树标立杆。</w:t>
      </w:r>
      <w:bookmarkEnd w:id="75"/>
    </w:p>
    <w:sectPr>
      <w:headerReference r:id="rId3" w:type="default"/>
      <w:footerReference r:id="rId4" w:type="default"/>
      <w:pgSz w:w="11906" w:h="16838"/>
      <w:pgMar w:top="1440" w:right="1417" w:bottom="1440" w:left="155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00"/>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Style w:val="26"/>
                            </w:rPr>
                          </w:pPr>
                          <w:r>
                            <w:fldChar w:fldCharType="begin"/>
                          </w:r>
                          <w:r>
                            <w:rPr>
                              <w:rStyle w:val="26"/>
                            </w:rPr>
                            <w:instrText xml:space="preserve">PAGE  </w:instrText>
                          </w:r>
                          <w:r>
                            <w:fldChar w:fldCharType="separate"/>
                          </w:r>
                          <w:r>
                            <w:rPr>
                              <w:rStyle w:val="26"/>
                            </w:rPr>
                            <w:t>2</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7MBDMgBAACf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q4oSywy++OXnj8uvP5ff38m6&#10;rOok0eChwcp7j7VxfOdGXJwlDhhMzEcZTPoiJ4J5FPh8FViMkfB0qa7qusQUx9ziIH7xcN0HiO+F&#10;MyQZLQ34gllYdvoIcSpdSlI36+6U1vkVtf0ngJhTROQ1mG8nJtPEyYrjfpzp7V13RnYDrkJLLW4+&#10;JfqDRaXT1ixGWIz9bKSO4G+PEcfI0yXUCQpZJQffLfObdywtxmM/Vz38V9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ezAQzIAQAAnwMAAA4AAAAAAAAAAQAgAAAAHgEAAGRycy9lMm9Eb2Mu&#10;eG1sUEsFBgAAAAAGAAYAWQEAAFgFAAAAAA==&#10;">
              <v:fill on="f" focussize="0,0"/>
              <v:stroke on="f"/>
              <v:imagedata o:title=""/>
              <o:lock v:ext="edit" aspectratio="f"/>
              <v:textbox inset="0mm,0mm,0mm,0mm" style="mso-fit-shape-to-text:t;">
                <w:txbxContent>
                  <w:p>
                    <w:pPr>
                      <w:pStyle w:val="14"/>
                      <w:rPr>
                        <w:rStyle w:val="26"/>
                      </w:rPr>
                    </w:pPr>
                    <w:r>
                      <w:fldChar w:fldCharType="begin"/>
                    </w:r>
                    <w:r>
                      <w:rPr>
                        <w:rStyle w:val="26"/>
                      </w:rPr>
                      <w:instrText xml:space="preserve">PAGE  </w:instrText>
                    </w:r>
                    <w:r>
                      <w:fldChar w:fldCharType="separate"/>
                    </w:r>
                    <w:r>
                      <w:rPr>
                        <w:rStyle w:val="26"/>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1D68A"/>
    <w:multiLevelType w:val="singleLevel"/>
    <w:tmpl w:val="9651D68A"/>
    <w:lvl w:ilvl="0" w:tentative="0">
      <w:start w:val="1"/>
      <w:numFmt w:val="decimal"/>
      <w:suff w:val="space"/>
      <w:lvlText w:val="%1."/>
      <w:lvlJc w:val="left"/>
    </w:lvl>
  </w:abstractNum>
  <w:abstractNum w:abstractNumId="1">
    <w:nsid w:val="972E451A"/>
    <w:multiLevelType w:val="singleLevel"/>
    <w:tmpl w:val="972E451A"/>
    <w:lvl w:ilvl="0" w:tentative="0">
      <w:start w:val="2"/>
      <w:numFmt w:val="decimal"/>
      <w:suff w:val="nothing"/>
      <w:lvlText w:val="（%1）"/>
      <w:lvlJc w:val="left"/>
    </w:lvl>
  </w:abstractNum>
  <w:abstractNum w:abstractNumId="2">
    <w:nsid w:val="A254D868"/>
    <w:multiLevelType w:val="singleLevel"/>
    <w:tmpl w:val="A254D868"/>
    <w:lvl w:ilvl="0" w:tentative="0">
      <w:start w:val="1"/>
      <w:numFmt w:val="decimal"/>
      <w:suff w:val="space"/>
      <w:lvlText w:val="%1."/>
      <w:lvlJc w:val="left"/>
    </w:lvl>
  </w:abstractNum>
  <w:abstractNum w:abstractNumId="3">
    <w:nsid w:val="C1C03AB6"/>
    <w:multiLevelType w:val="singleLevel"/>
    <w:tmpl w:val="C1C03AB6"/>
    <w:lvl w:ilvl="0" w:tentative="0">
      <w:start w:val="2"/>
      <w:numFmt w:val="decimal"/>
      <w:suff w:val="space"/>
      <w:lvlText w:val="%1."/>
      <w:lvlJc w:val="left"/>
    </w:lvl>
  </w:abstractNum>
  <w:abstractNum w:abstractNumId="4">
    <w:nsid w:val="00000002"/>
    <w:multiLevelType w:val="multilevel"/>
    <w:tmpl w:val="00000002"/>
    <w:lvl w:ilvl="0" w:tentative="0">
      <w:start w:val="1"/>
      <w:numFmt w:val="chineseCountingThousand"/>
      <w:lvlText w:val="第%1部分"/>
      <w:lvlJc w:val="left"/>
      <w:pPr>
        <w:tabs>
          <w:tab w:val="left" w:pos="1620"/>
        </w:tabs>
        <w:ind w:left="140" w:firstLine="400"/>
      </w:pPr>
      <w:rPr>
        <w:rFonts w:hint="eastAsia" w:ascii="黑体" w:eastAsia="黑体"/>
        <w:spacing w:val="0"/>
        <w:position w:val="0"/>
        <w:sz w:val="30"/>
      </w:rPr>
    </w:lvl>
    <w:lvl w:ilvl="1" w:tentative="0">
      <w:start w:val="1"/>
      <w:numFmt w:val="decimal"/>
      <w:suff w:val="nothing"/>
      <w:lvlText w:val="%2 "/>
      <w:lvlJc w:val="left"/>
      <w:pPr>
        <w:ind w:left="0" w:firstLine="540"/>
      </w:pPr>
      <w:rPr>
        <w:rFonts w:hint="eastAsia" w:ascii="仿宋_GB2312" w:eastAsia="仿宋_GB2312"/>
        <w:b/>
        <w:i w:val="0"/>
        <w:sz w:val="30"/>
      </w:rPr>
    </w:lvl>
    <w:lvl w:ilvl="2" w:tentative="0">
      <w:start w:val="1"/>
      <w:numFmt w:val="decimal"/>
      <w:suff w:val="nothing"/>
      <w:lvlText w:val="%2.%3"/>
      <w:lvlJc w:val="left"/>
      <w:pPr>
        <w:ind w:left="0" w:firstLine="540"/>
      </w:pPr>
      <w:rPr>
        <w:rFonts w:hint="eastAsia" w:ascii="仿宋_GB2312" w:eastAsia="仿宋_GB2312"/>
        <w:b/>
        <w:i w:val="0"/>
        <w:sz w:val="28"/>
      </w:rPr>
    </w:lvl>
    <w:lvl w:ilvl="3" w:tentative="0">
      <w:start w:val="1"/>
      <w:numFmt w:val="decimal"/>
      <w:suff w:val="nothing"/>
      <w:lvlText w:val="%2.%3.%4"/>
      <w:lvlJc w:val="left"/>
      <w:pPr>
        <w:ind w:left="0" w:firstLine="540"/>
      </w:pPr>
      <w:rPr>
        <w:rFonts w:hint="eastAsia" w:eastAsia="仿宋_GB2312"/>
        <w:b/>
        <w:i w:val="0"/>
        <w:sz w:val="28"/>
      </w:rPr>
    </w:lvl>
    <w:lvl w:ilvl="4" w:tentative="0">
      <w:start w:val="1"/>
      <w:numFmt w:val="upperLetter"/>
      <w:pStyle w:val="7"/>
      <w:suff w:val="nothing"/>
      <w:lvlText w:val="%5)"/>
      <w:lvlJc w:val="left"/>
      <w:pPr>
        <w:ind w:left="0" w:firstLine="540"/>
      </w:pPr>
      <w:rPr>
        <w:rFonts w:hint="eastAsia" w:eastAsia="宋体"/>
        <w:b w:val="0"/>
        <w:i w:val="0"/>
        <w:sz w:val="24"/>
      </w:rPr>
    </w:lvl>
    <w:lvl w:ilvl="5" w:tentative="0">
      <w:start w:val="1"/>
      <w:numFmt w:val="none"/>
      <w:suff w:val="nothing"/>
      <w:lvlText w:val=""/>
      <w:lvlJc w:val="left"/>
      <w:pPr>
        <w:ind w:left="217" w:firstLine="403"/>
      </w:pPr>
      <w:rPr>
        <w:rFonts w:hint="eastAsia"/>
      </w:rPr>
    </w:lvl>
    <w:lvl w:ilvl="6" w:tentative="0">
      <w:start w:val="1"/>
      <w:numFmt w:val="none"/>
      <w:lvlText w:val=""/>
      <w:lvlJc w:val="left"/>
      <w:pPr>
        <w:tabs>
          <w:tab w:val="left" w:pos="1059"/>
        </w:tabs>
        <w:ind w:left="217" w:firstLine="482"/>
      </w:pPr>
      <w:rPr>
        <w:rFonts w:hint="eastAsia"/>
      </w:rPr>
    </w:lvl>
    <w:lvl w:ilvl="7" w:tentative="0">
      <w:start w:val="1"/>
      <w:numFmt w:val="none"/>
      <w:lvlText w:val=""/>
      <w:lvlJc w:val="left"/>
      <w:pPr>
        <w:tabs>
          <w:tab w:val="left" w:pos="1059"/>
        </w:tabs>
        <w:ind w:left="217" w:firstLine="482"/>
      </w:pPr>
      <w:rPr>
        <w:rFonts w:hint="eastAsia"/>
      </w:rPr>
    </w:lvl>
    <w:lvl w:ilvl="8" w:tentative="0">
      <w:start w:val="1"/>
      <w:numFmt w:val="none"/>
      <w:lvlText w:val=""/>
      <w:lvlJc w:val="left"/>
      <w:pPr>
        <w:tabs>
          <w:tab w:val="left" w:pos="1059"/>
        </w:tabs>
        <w:ind w:left="217" w:firstLine="482"/>
      </w:pPr>
      <w:rPr>
        <w:rFonts w:hint="eastAsia"/>
      </w:rPr>
    </w:lvl>
  </w:abstractNum>
  <w:abstractNum w:abstractNumId="5">
    <w:nsid w:val="0E987CA5"/>
    <w:multiLevelType w:val="multilevel"/>
    <w:tmpl w:val="0E987CA5"/>
    <w:lvl w:ilvl="0" w:tentative="0">
      <w:start w:val="1"/>
      <w:numFmt w:val="chineseCountingThousand"/>
      <w:pStyle w:val="46"/>
      <w:lvlText w:val="第%1条"/>
      <w:lvlJc w:val="left"/>
      <w:pPr>
        <w:ind w:left="420" w:hanging="420"/>
      </w:pPr>
      <w:rPr>
        <w:rFonts w:hint="default" w:ascii="Times New Roman" w:hAnsi="Times New Roman" w:eastAsia="宋体"/>
        <w:b/>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4F28B7"/>
    <w:multiLevelType w:val="singleLevel"/>
    <w:tmpl w:val="174F28B7"/>
    <w:lvl w:ilvl="0" w:tentative="0">
      <w:start w:val="1"/>
      <w:numFmt w:val="decimal"/>
      <w:suff w:val="space"/>
      <w:lvlText w:val="%1."/>
      <w:lvlJc w:val="left"/>
    </w:lvl>
  </w:abstractNum>
  <w:abstractNum w:abstractNumId="7">
    <w:nsid w:val="1A6B3963"/>
    <w:multiLevelType w:val="multilevel"/>
    <w:tmpl w:val="1A6B3963"/>
    <w:lvl w:ilvl="0" w:tentative="0">
      <w:start w:val="1"/>
      <w:numFmt w:val="decimal"/>
      <w:pStyle w:val="48"/>
      <w:lvlText w:val="表4-%1"/>
      <w:lvlJc w:val="left"/>
      <w:pPr>
        <w:ind w:left="2940" w:hanging="420"/>
      </w:pPr>
      <w:rPr>
        <w:rFonts w:hint="default" w:ascii="Times New Roman" w:hAnsi="Times New Roman" w:eastAsia="黑体"/>
        <w:b/>
        <w:i w:val="0"/>
      </w:r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abstractNum w:abstractNumId="8">
    <w:nsid w:val="248D6A95"/>
    <w:multiLevelType w:val="multilevel"/>
    <w:tmpl w:val="248D6A95"/>
    <w:lvl w:ilvl="0" w:tentative="0">
      <w:start w:val="1"/>
      <w:numFmt w:val="decimal"/>
      <w:pStyle w:val="49"/>
      <w:lvlText w:val="表2-%1"/>
      <w:lvlJc w:val="left"/>
      <w:pPr>
        <w:ind w:left="1262" w:hanging="420"/>
      </w:pPr>
      <w:rPr>
        <w:rFonts w:hint="default" w:ascii="Times New Roman" w:hAnsi="Times New Roman"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2294784"/>
    <w:multiLevelType w:val="multilevel"/>
    <w:tmpl w:val="52294784"/>
    <w:lvl w:ilvl="0" w:tentative="0">
      <w:start w:val="1"/>
      <w:numFmt w:val="decimal"/>
      <w:pStyle w:val="50"/>
      <w:lvlText w:val="表12-%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572FD8"/>
    <w:multiLevelType w:val="multilevel"/>
    <w:tmpl w:val="55572FD8"/>
    <w:lvl w:ilvl="0" w:tentative="0">
      <w:start w:val="1"/>
      <w:numFmt w:val="decimal"/>
      <w:pStyle w:val="51"/>
      <w:lvlText w:val="表5-%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7"/>
  </w:num>
  <w:num w:numId="4">
    <w:abstractNumId w:val="8"/>
  </w:num>
  <w:num w:numId="5">
    <w:abstractNumId w:val="9"/>
  </w:num>
  <w:num w:numId="6">
    <w:abstractNumId w:val="10"/>
  </w:num>
  <w:num w:numId="7">
    <w:abstractNumId w:val="1"/>
  </w:num>
  <w:num w:numId="8">
    <w:abstractNumId w:val="3"/>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ZDk0NzgyNDQ3MDVkODAzOWY4ZTY3YTI3NjBkODIifQ=="/>
    <w:docVar w:name="KSO_WPS_MARK_KEY" w:val="db33aac6-d66d-47bb-86ba-52b1e5c4e350"/>
  </w:docVars>
  <w:rsids>
    <w:rsidRoot w:val="4F442E36"/>
    <w:rsid w:val="00024158"/>
    <w:rsid w:val="0002534C"/>
    <w:rsid w:val="0005232B"/>
    <w:rsid w:val="00094FB1"/>
    <w:rsid w:val="00104ED1"/>
    <w:rsid w:val="001058ED"/>
    <w:rsid w:val="0012084F"/>
    <w:rsid w:val="00146C10"/>
    <w:rsid w:val="00156596"/>
    <w:rsid w:val="001B223C"/>
    <w:rsid w:val="00201464"/>
    <w:rsid w:val="00213C5F"/>
    <w:rsid w:val="002345DD"/>
    <w:rsid w:val="00264FF0"/>
    <w:rsid w:val="00285085"/>
    <w:rsid w:val="002A7D78"/>
    <w:rsid w:val="002B0763"/>
    <w:rsid w:val="00340748"/>
    <w:rsid w:val="003725B9"/>
    <w:rsid w:val="00377C44"/>
    <w:rsid w:val="003E06F3"/>
    <w:rsid w:val="004614A7"/>
    <w:rsid w:val="00471781"/>
    <w:rsid w:val="00481186"/>
    <w:rsid w:val="0049554B"/>
    <w:rsid w:val="004F6CDF"/>
    <w:rsid w:val="005216D9"/>
    <w:rsid w:val="00527E8C"/>
    <w:rsid w:val="00535DD6"/>
    <w:rsid w:val="0054703F"/>
    <w:rsid w:val="00562B05"/>
    <w:rsid w:val="00565E8D"/>
    <w:rsid w:val="00592248"/>
    <w:rsid w:val="00592327"/>
    <w:rsid w:val="005A3989"/>
    <w:rsid w:val="005D05EC"/>
    <w:rsid w:val="005E6CEF"/>
    <w:rsid w:val="005F7C7D"/>
    <w:rsid w:val="00614A08"/>
    <w:rsid w:val="00625BFF"/>
    <w:rsid w:val="006346DA"/>
    <w:rsid w:val="006429BB"/>
    <w:rsid w:val="00676482"/>
    <w:rsid w:val="00710749"/>
    <w:rsid w:val="007234A6"/>
    <w:rsid w:val="007535B9"/>
    <w:rsid w:val="007B058A"/>
    <w:rsid w:val="007B0A88"/>
    <w:rsid w:val="007D49C1"/>
    <w:rsid w:val="007E7178"/>
    <w:rsid w:val="007F76F0"/>
    <w:rsid w:val="0081508C"/>
    <w:rsid w:val="00856565"/>
    <w:rsid w:val="008D42D0"/>
    <w:rsid w:val="009065ED"/>
    <w:rsid w:val="00925F5D"/>
    <w:rsid w:val="00941FB1"/>
    <w:rsid w:val="0097088C"/>
    <w:rsid w:val="00995E56"/>
    <w:rsid w:val="009A3299"/>
    <w:rsid w:val="009C15CF"/>
    <w:rsid w:val="009E4728"/>
    <w:rsid w:val="00A037CE"/>
    <w:rsid w:val="00A13A74"/>
    <w:rsid w:val="00A255B4"/>
    <w:rsid w:val="00A36497"/>
    <w:rsid w:val="00A40DFB"/>
    <w:rsid w:val="00AA6F3F"/>
    <w:rsid w:val="00B53599"/>
    <w:rsid w:val="00B66782"/>
    <w:rsid w:val="00B736C6"/>
    <w:rsid w:val="00BA4004"/>
    <w:rsid w:val="00BA784F"/>
    <w:rsid w:val="00BC3133"/>
    <w:rsid w:val="00BD7180"/>
    <w:rsid w:val="00BF60DF"/>
    <w:rsid w:val="00C4017C"/>
    <w:rsid w:val="00C43B25"/>
    <w:rsid w:val="00C44477"/>
    <w:rsid w:val="00C50B26"/>
    <w:rsid w:val="00C669FC"/>
    <w:rsid w:val="00C745C9"/>
    <w:rsid w:val="00C806CC"/>
    <w:rsid w:val="00CB3140"/>
    <w:rsid w:val="00CD09F3"/>
    <w:rsid w:val="00CD0DA3"/>
    <w:rsid w:val="00CE14CB"/>
    <w:rsid w:val="00D312B2"/>
    <w:rsid w:val="00D40004"/>
    <w:rsid w:val="00D71A93"/>
    <w:rsid w:val="00D964B4"/>
    <w:rsid w:val="00E4332B"/>
    <w:rsid w:val="00E61B46"/>
    <w:rsid w:val="00E833D4"/>
    <w:rsid w:val="00E95869"/>
    <w:rsid w:val="00EA040B"/>
    <w:rsid w:val="00EB24D3"/>
    <w:rsid w:val="00F26952"/>
    <w:rsid w:val="00F41880"/>
    <w:rsid w:val="00F810DC"/>
    <w:rsid w:val="00F87FDF"/>
    <w:rsid w:val="00FC21EE"/>
    <w:rsid w:val="00FD030A"/>
    <w:rsid w:val="00FE4ACA"/>
    <w:rsid w:val="01400398"/>
    <w:rsid w:val="015E6884"/>
    <w:rsid w:val="01710365"/>
    <w:rsid w:val="01763BCE"/>
    <w:rsid w:val="01B24B10"/>
    <w:rsid w:val="01B55A50"/>
    <w:rsid w:val="01BE7323"/>
    <w:rsid w:val="01C91381"/>
    <w:rsid w:val="01EC3E90"/>
    <w:rsid w:val="01FD609D"/>
    <w:rsid w:val="0200793B"/>
    <w:rsid w:val="020C008E"/>
    <w:rsid w:val="0224362A"/>
    <w:rsid w:val="02365E77"/>
    <w:rsid w:val="02533F0F"/>
    <w:rsid w:val="02607EF8"/>
    <w:rsid w:val="02815FB6"/>
    <w:rsid w:val="028E01B5"/>
    <w:rsid w:val="02AF383B"/>
    <w:rsid w:val="02D224D6"/>
    <w:rsid w:val="02E472A5"/>
    <w:rsid w:val="030A0A72"/>
    <w:rsid w:val="03157416"/>
    <w:rsid w:val="0322684D"/>
    <w:rsid w:val="03304250"/>
    <w:rsid w:val="03351867"/>
    <w:rsid w:val="03454CE9"/>
    <w:rsid w:val="036C34DA"/>
    <w:rsid w:val="03AC7D7B"/>
    <w:rsid w:val="03B22EB7"/>
    <w:rsid w:val="03B90DC6"/>
    <w:rsid w:val="040F20B8"/>
    <w:rsid w:val="041871BE"/>
    <w:rsid w:val="044C50BA"/>
    <w:rsid w:val="04783DB1"/>
    <w:rsid w:val="047D34C5"/>
    <w:rsid w:val="04966335"/>
    <w:rsid w:val="04B07740"/>
    <w:rsid w:val="04DC7CC1"/>
    <w:rsid w:val="04EE6171"/>
    <w:rsid w:val="04F31198"/>
    <w:rsid w:val="050F4BD5"/>
    <w:rsid w:val="05C34764"/>
    <w:rsid w:val="05E63A8D"/>
    <w:rsid w:val="05EA6938"/>
    <w:rsid w:val="05F41BCC"/>
    <w:rsid w:val="05F916FC"/>
    <w:rsid w:val="060317A8"/>
    <w:rsid w:val="06420522"/>
    <w:rsid w:val="06456265"/>
    <w:rsid w:val="06687103"/>
    <w:rsid w:val="06767483"/>
    <w:rsid w:val="06C4224F"/>
    <w:rsid w:val="06D220FD"/>
    <w:rsid w:val="074210E5"/>
    <w:rsid w:val="07585B24"/>
    <w:rsid w:val="077C099A"/>
    <w:rsid w:val="077E3CA7"/>
    <w:rsid w:val="07B14F34"/>
    <w:rsid w:val="07B2792A"/>
    <w:rsid w:val="07C02047"/>
    <w:rsid w:val="07D7113E"/>
    <w:rsid w:val="07EA70C4"/>
    <w:rsid w:val="07F12200"/>
    <w:rsid w:val="07F67816"/>
    <w:rsid w:val="08744BDF"/>
    <w:rsid w:val="087F5A5E"/>
    <w:rsid w:val="08AB6853"/>
    <w:rsid w:val="092E1232"/>
    <w:rsid w:val="09371B06"/>
    <w:rsid w:val="093C394F"/>
    <w:rsid w:val="099079F2"/>
    <w:rsid w:val="09C34197"/>
    <w:rsid w:val="09D52061"/>
    <w:rsid w:val="09E244F6"/>
    <w:rsid w:val="0A0124A3"/>
    <w:rsid w:val="0A283ED3"/>
    <w:rsid w:val="0A821835"/>
    <w:rsid w:val="0AA607ED"/>
    <w:rsid w:val="0AC942E7"/>
    <w:rsid w:val="0AD22332"/>
    <w:rsid w:val="0B316DB7"/>
    <w:rsid w:val="0B941CED"/>
    <w:rsid w:val="0BB51797"/>
    <w:rsid w:val="0BC8771C"/>
    <w:rsid w:val="0BF56037"/>
    <w:rsid w:val="0C056D12"/>
    <w:rsid w:val="0C346B5F"/>
    <w:rsid w:val="0C477C77"/>
    <w:rsid w:val="0C5D5C14"/>
    <w:rsid w:val="0C6E188F"/>
    <w:rsid w:val="0C6F1945"/>
    <w:rsid w:val="0C7156BE"/>
    <w:rsid w:val="0C762503"/>
    <w:rsid w:val="0C7D22B4"/>
    <w:rsid w:val="0CDB522D"/>
    <w:rsid w:val="0CED1BCC"/>
    <w:rsid w:val="0D0304E0"/>
    <w:rsid w:val="0D1B19F6"/>
    <w:rsid w:val="0D1F15BD"/>
    <w:rsid w:val="0D3037CB"/>
    <w:rsid w:val="0D63594E"/>
    <w:rsid w:val="0D7731A8"/>
    <w:rsid w:val="0DD203DE"/>
    <w:rsid w:val="0DD60B2D"/>
    <w:rsid w:val="0DDA54E4"/>
    <w:rsid w:val="0E0A2118"/>
    <w:rsid w:val="0E370B89"/>
    <w:rsid w:val="0E53712E"/>
    <w:rsid w:val="0E820056"/>
    <w:rsid w:val="0E967445"/>
    <w:rsid w:val="0EA16002"/>
    <w:rsid w:val="0EA87391"/>
    <w:rsid w:val="0EF820C6"/>
    <w:rsid w:val="0F722A26"/>
    <w:rsid w:val="0F8B2F3A"/>
    <w:rsid w:val="0FA933C0"/>
    <w:rsid w:val="0FAF605E"/>
    <w:rsid w:val="0FBA7763"/>
    <w:rsid w:val="0FC95811"/>
    <w:rsid w:val="0FE961EB"/>
    <w:rsid w:val="101F18D4"/>
    <w:rsid w:val="102E33DB"/>
    <w:rsid w:val="10945E1E"/>
    <w:rsid w:val="10E072B6"/>
    <w:rsid w:val="10E54CB1"/>
    <w:rsid w:val="10EC7A09"/>
    <w:rsid w:val="112076B2"/>
    <w:rsid w:val="113969C6"/>
    <w:rsid w:val="11610C55"/>
    <w:rsid w:val="116E68BB"/>
    <w:rsid w:val="11916802"/>
    <w:rsid w:val="119333A6"/>
    <w:rsid w:val="11E21E3A"/>
    <w:rsid w:val="12192A7F"/>
    <w:rsid w:val="123C051C"/>
    <w:rsid w:val="128B3251"/>
    <w:rsid w:val="128D0D77"/>
    <w:rsid w:val="12AD31C8"/>
    <w:rsid w:val="12CA3D79"/>
    <w:rsid w:val="12CF75E2"/>
    <w:rsid w:val="12EC76E0"/>
    <w:rsid w:val="12ED3AC1"/>
    <w:rsid w:val="13491142"/>
    <w:rsid w:val="13631AD8"/>
    <w:rsid w:val="136F6B5A"/>
    <w:rsid w:val="13A740BB"/>
    <w:rsid w:val="13B33ED1"/>
    <w:rsid w:val="13B403FB"/>
    <w:rsid w:val="13C54541"/>
    <w:rsid w:val="13C62793"/>
    <w:rsid w:val="13D51FE4"/>
    <w:rsid w:val="13D7175A"/>
    <w:rsid w:val="13FB7F63"/>
    <w:rsid w:val="14151024"/>
    <w:rsid w:val="142A7024"/>
    <w:rsid w:val="14681A9C"/>
    <w:rsid w:val="14D7277E"/>
    <w:rsid w:val="14DA0F4A"/>
    <w:rsid w:val="158A5A42"/>
    <w:rsid w:val="159B19FD"/>
    <w:rsid w:val="159B2A69"/>
    <w:rsid w:val="15A01A35"/>
    <w:rsid w:val="15C01464"/>
    <w:rsid w:val="15C40447"/>
    <w:rsid w:val="15EA028F"/>
    <w:rsid w:val="160457F4"/>
    <w:rsid w:val="16095A09"/>
    <w:rsid w:val="16223ECC"/>
    <w:rsid w:val="162E2871"/>
    <w:rsid w:val="16A36010"/>
    <w:rsid w:val="16CA07EC"/>
    <w:rsid w:val="16EF2001"/>
    <w:rsid w:val="170F4451"/>
    <w:rsid w:val="179D7CAF"/>
    <w:rsid w:val="185540E5"/>
    <w:rsid w:val="187E4B7E"/>
    <w:rsid w:val="18822A00"/>
    <w:rsid w:val="189435F1"/>
    <w:rsid w:val="18B057C0"/>
    <w:rsid w:val="18C43019"/>
    <w:rsid w:val="19193365"/>
    <w:rsid w:val="19371A3D"/>
    <w:rsid w:val="1944452A"/>
    <w:rsid w:val="1945415A"/>
    <w:rsid w:val="195A21AB"/>
    <w:rsid w:val="196D36B1"/>
    <w:rsid w:val="19825385"/>
    <w:rsid w:val="19D76D7C"/>
    <w:rsid w:val="19F13E65"/>
    <w:rsid w:val="1A473F02"/>
    <w:rsid w:val="1A506BEA"/>
    <w:rsid w:val="1A58610F"/>
    <w:rsid w:val="1A8B2CCB"/>
    <w:rsid w:val="1AA749A0"/>
    <w:rsid w:val="1AA759C9"/>
    <w:rsid w:val="1AC07E6D"/>
    <w:rsid w:val="1AF20D68"/>
    <w:rsid w:val="1B0E2C71"/>
    <w:rsid w:val="1B19589E"/>
    <w:rsid w:val="1B3846F0"/>
    <w:rsid w:val="1B5763C6"/>
    <w:rsid w:val="1B762CF0"/>
    <w:rsid w:val="1B8A679C"/>
    <w:rsid w:val="1B8B6070"/>
    <w:rsid w:val="1B927AE6"/>
    <w:rsid w:val="1BEF2AA3"/>
    <w:rsid w:val="1C3109C5"/>
    <w:rsid w:val="1C435AFE"/>
    <w:rsid w:val="1C5B3C94"/>
    <w:rsid w:val="1D1E5DCF"/>
    <w:rsid w:val="1D2531D3"/>
    <w:rsid w:val="1D65301C"/>
    <w:rsid w:val="1DA344B8"/>
    <w:rsid w:val="1DF24184"/>
    <w:rsid w:val="1DF93765"/>
    <w:rsid w:val="1E1D38F7"/>
    <w:rsid w:val="1E4253D1"/>
    <w:rsid w:val="1E4946EC"/>
    <w:rsid w:val="1E5B1563"/>
    <w:rsid w:val="1E827BFE"/>
    <w:rsid w:val="1E9A4F48"/>
    <w:rsid w:val="1EC2729E"/>
    <w:rsid w:val="1ED85A70"/>
    <w:rsid w:val="1EE241F9"/>
    <w:rsid w:val="1EF8649C"/>
    <w:rsid w:val="1F185E6D"/>
    <w:rsid w:val="1F1963A0"/>
    <w:rsid w:val="1F372797"/>
    <w:rsid w:val="1F3F9D0C"/>
    <w:rsid w:val="1F975B91"/>
    <w:rsid w:val="1FCF29CF"/>
    <w:rsid w:val="1FFE5062"/>
    <w:rsid w:val="20084133"/>
    <w:rsid w:val="20105B61"/>
    <w:rsid w:val="2020322B"/>
    <w:rsid w:val="205E3D53"/>
    <w:rsid w:val="206A71B4"/>
    <w:rsid w:val="206B69A3"/>
    <w:rsid w:val="206E1DA5"/>
    <w:rsid w:val="207601C9"/>
    <w:rsid w:val="20B83463"/>
    <w:rsid w:val="2100711D"/>
    <w:rsid w:val="210C1A01"/>
    <w:rsid w:val="213B4094"/>
    <w:rsid w:val="21667363"/>
    <w:rsid w:val="21674E89"/>
    <w:rsid w:val="217D46AD"/>
    <w:rsid w:val="217D645B"/>
    <w:rsid w:val="21845A3B"/>
    <w:rsid w:val="218D5858"/>
    <w:rsid w:val="219F4623"/>
    <w:rsid w:val="22124DF5"/>
    <w:rsid w:val="22235F69"/>
    <w:rsid w:val="225E695C"/>
    <w:rsid w:val="22AA7723"/>
    <w:rsid w:val="230706D2"/>
    <w:rsid w:val="23160915"/>
    <w:rsid w:val="23413930"/>
    <w:rsid w:val="23476D20"/>
    <w:rsid w:val="234E00AF"/>
    <w:rsid w:val="23C61875"/>
    <w:rsid w:val="23DA2B17"/>
    <w:rsid w:val="23E6478B"/>
    <w:rsid w:val="23F52C20"/>
    <w:rsid w:val="2411766A"/>
    <w:rsid w:val="24294678"/>
    <w:rsid w:val="2435301D"/>
    <w:rsid w:val="24696CA7"/>
    <w:rsid w:val="249E3C10"/>
    <w:rsid w:val="24B403E6"/>
    <w:rsid w:val="24DC365F"/>
    <w:rsid w:val="24DE1906"/>
    <w:rsid w:val="24E94533"/>
    <w:rsid w:val="251C6FF3"/>
    <w:rsid w:val="253B28B5"/>
    <w:rsid w:val="254127E7"/>
    <w:rsid w:val="25997396"/>
    <w:rsid w:val="259D0E7A"/>
    <w:rsid w:val="25E22D30"/>
    <w:rsid w:val="268362C1"/>
    <w:rsid w:val="26C80178"/>
    <w:rsid w:val="26D27249"/>
    <w:rsid w:val="26DB7EAB"/>
    <w:rsid w:val="27182EAE"/>
    <w:rsid w:val="273D2914"/>
    <w:rsid w:val="27743E5C"/>
    <w:rsid w:val="278542BB"/>
    <w:rsid w:val="27C76998"/>
    <w:rsid w:val="27DA4607"/>
    <w:rsid w:val="27EB411E"/>
    <w:rsid w:val="28201DDD"/>
    <w:rsid w:val="285C501C"/>
    <w:rsid w:val="28700F62"/>
    <w:rsid w:val="28757F59"/>
    <w:rsid w:val="288D78CB"/>
    <w:rsid w:val="28A30E9D"/>
    <w:rsid w:val="28A7491E"/>
    <w:rsid w:val="28B46C06"/>
    <w:rsid w:val="28BD1EC1"/>
    <w:rsid w:val="28EA6ACC"/>
    <w:rsid w:val="28F2772E"/>
    <w:rsid w:val="29015BC3"/>
    <w:rsid w:val="29204714"/>
    <w:rsid w:val="29734383"/>
    <w:rsid w:val="29763EBB"/>
    <w:rsid w:val="298567F4"/>
    <w:rsid w:val="29B669AE"/>
    <w:rsid w:val="29C65A93"/>
    <w:rsid w:val="29C966E1"/>
    <w:rsid w:val="29E15AA9"/>
    <w:rsid w:val="2A0E67EA"/>
    <w:rsid w:val="2A205CBE"/>
    <w:rsid w:val="2A360700"/>
    <w:rsid w:val="2A3A75DF"/>
    <w:rsid w:val="2A581813"/>
    <w:rsid w:val="2A810D6A"/>
    <w:rsid w:val="2A8F36E1"/>
    <w:rsid w:val="2AB96D3E"/>
    <w:rsid w:val="2AE221DC"/>
    <w:rsid w:val="2AE337D3"/>
    <w:rsid w:val="2AE71D4D"/>
    <w:rsid w:val="2AF92FF6"/>
    <w:rsid w:val="2B0B4AD7"/>
    <w:rsid w:val="2B0F6376"/>
    <w:rsid w:val="2B2160A9"/>
    <w:rsid w:val="2B3202B6"/>
    <w:rsid w:val="2B3A6011"/>
    <w:rsid w:val="2B6C1A1A"/>
    <w:rsid w:val="2B7733E2"/>
    <w:rsid w:val="2B78655B"/>
    <w:rsid w:val="2B996587"/>
    <w:rsid w:val="2BCA3B75"/>
    <w:rsid w:val="2BFE36E5"/>
    <w:rsid w:val="2C017468"/>
    <w:rsid w:val="2C732934"/>
    <w:rsid w:val="2C7C7A3B"/>
    <w:rsid w:val="2C870F76"/>
    <w:rsid w:val="2C884632"/>
    <w:rsid w:val="2C9254B0"/>
    <w:rsid w:val="2CD930DF"/>
    <w:rsid w:val="2CE11E79"/>
    <w:rsid w:val="2D2B1461"/>
    <w:rsid w:val="2D3E73E6"/>
    <w:rsid w:val="2D517119"/>
    <w:rsid w:val="2D597D7C"/>
    <w:rsid w:val="2D801818"/>
    <w:rsid w:val="2DD35D80"/>
    <w:rsid w:val="2E1168A9"/>
    <w:rsid w:val="2E382FF4"/>
    <w:rsid w:val="2E474078"/>
    <w:rsid w:val="2E4E3659"/>
    <w:rsid w:val="2E5D564A"/>
    <w:rsid w:val="2E620EB2"/>
    <w:rsid w:val="2E850643"/>
    <w:rsid w:val="2E894691"/>
    <w:rsid w:val="2E8C25FF"/>
    <w:rsid w:val="2EB3170E"/>
    <w:rsid w:val="2F2C7C81"/>
    <w:rsid w:val="2FB13E9F"/>
    <w:rsid w:val="2FDC63DB"/>
    <w:rsid w:val="2FE535FA"/>
    <w:rsid w:val="2FE774D8"/>
    <w:rsid w:val="2FF59386"/>
    <w:rsid w:val="2FFB15BE"/>
    <w:rsid w:val="30077F63"/>
    <w:rsid w:val="300E30A0"/>
    <w:rsid w:val="30353943"/>
    <w:rsid w:val="305875FE"/>
    <w:rsid w:val="3075311F"/>
    <w:rsid w:val="30ED2B9B"/>
    <w:rsid w:val="3150593A"/>
    <w:rsid w:val="316B4522"/>
    <w:rsid w:val="317C228B"/>
    <w:rsid w:val="31903F88"/>
    <w:rsid w:val="319C292D"/>
    <w:rsid w:val="31B86B89"/>
    <w:rsid w:val="31C51E84"/>
    <w:rsid w:val="31EF6F01"/>
    <w:rsid w:val="320F75A3"/>
    <w:rsid w:val="32152183"/>
    <w:rsid w:val="32172B46"/>
    <w:rsid w:val="325A081E"/>
    <w:rsid w:val="326077A4"/>
    <w:rsid w:val="32627866"/>
    <w:rsid w:val="32E4458C"/>
    <w:rsid w:val="330662B0"/>
    <w:rsid w:val="33115567"/>
    <w:rsid w:val="333448BD"/>
    <w:rsid w:val="33423060"/>
    <w:rsid w:val="33492641"/>
    <w:rsid w:val="335A2AA0"/>
    <w:rsid w:val="335D7E9A"/>
    <w:rsid w:val="33BA709B"/>
    <w:rsid w:val="33C55AF1"/>
    <w:rsid w:val="342313DE"/>
    <w:rsid w:val="34321327"/>
    <w:rsid w:val="344E333E"/>
    <w:rsid w:val="345117AD"/>
    <w:rsid w:val="34580D8D"/>
    <w:rsid w:val="345D465C"/>
    <w:rsid w:val="345E6905"/>
    <w:rsid w:val="3464223B"/>
    <w:rsid w:val="34897199"/>
    <w:rsid w:val="349D49F2"/>
    <w:rsid w:val="34C06933"/>
    <w:rsid w:val="34D2127A"/>
    <w:rsid w:val="34DF462E"/>
    <w:rsid w:val="350E769E"/>
    <w:rsid w:val="35417A20"/>
    <w:rsid w:val="35467F83"/>
    <w:rsid w:val="35584DBD"/>
    <w:rsid w:val="359A0B80"/>
    <w:rsid w:val="35A7333A"/>
    <w:rsid w:val="35BC0625"/>
    <w:rsid w:val="35DE1766"/>
    <w:rsid w:val="35F9121A"/>
    <w:rsid w:val="360B3258"/>
    <w:rsid w:val="360F4541"/>
    <w:rsid w:val="36140CE4"/>
    <w:rsid w:val="362178A5"/>
    <w:rsid w:val="36603F29"/>
    <w:rsid w:val="36835E6A"/>
    <w:rsid w:val="36941E25"/>
    <w:rsid w:val="36DA1F2E"/>
    <w:rsid w:val="36E66E69"/>
    <w:rsid w:val="36E763F9"/>
    <w:rsid w:val="3729304D"/>
    <w:rsid w:val="373158C6"/>
    <w:rsid w:val="37377479"/>
    <w:rsid w:val="37517D16"/>
    <w:rsid w:val="376C4DC8"/>
    <w:rsid w:val="377F4B25"/>
    <w:rsid w:val="37826121"/>
    <w:rsid w:val="37BC7885"/>
    <w:rsid w:val="37D050DF"/>
    <w:rsid w:val="37ED7A3F"/>
    <w:rsid w:val="3821593A"/>
    <w:rsid w:val="38327B47"/>
    <w:rsid w:val="38591578"/>
    <w:rsid w:val="3871716C"/>
    <w:rsid w:val="38FE5C7B"/>
    <w:rsid w:val="39455658"/>
    <w:rsid w:val="39644FDE"/>
    <w:rsid w:val="39671A73"/>
    <w:rsid w:val="396C6F4C"/>
    <w:rsid w:val="39AB7BB1"/>
    <w:rsid w:val="39BE132F"/>
    <w:rsid w:val="39D066D6"/>
    <w:rsid w:val="39E6508D"/>
    <w:rsid w:val="39FFEAFB"/>
    <w:rsid w:val="3A066DA8"/>
    <w:rsid w:val="3A1E6809"/>
    <w:rsid w:val="3A612966"/>
    <w:rsid w:val="3A7E3228"/>
    <w:rsid w:val="3A881CA1"/>
    <w:rsid w:val="3AA007DD"/>
    <w:rsid w:val="3AAB37A7"/>
    <w:rsid w:val="3AAF1923"/>
    <w:rsid w:val="3AC21333"/>
    <w:rsid w:val="3AD9074E"/>
    <w:rsid w:val="3AE65758"/>
    <w:rsid w:val="3AF23757"/>
    <w:rsid w:val="3AF85078"/>
    <w:rsid w:val="3B1E43B3"/>
    <w:rsid w:val="3B3911ED"/>
    <w:rsid w:val="3B6224F2"/>
    <w:rsid w:val="3B7010B2"/>
    <w:rsid w:val="3BA1126C"/>
    <w:rsid w:val="3BAD51E6"/>
    <w:rsid w:val="3BB32D4D"/>
    <w:rsid w:val="3BD74C8E"/>
    <w:rsid w:val="3C5938F5"/>
    <w:rsid w:val="3C5E62B4"/>
    <w:rsid w:val="3CB94393"/>
    <w:rsid w:val="3CBF49C0"/>
    <w:rsid w:val="3CE138EA"/>
    <w:rsid w:val="3CEA615B"/>
    <w:rsid w:val="3CFE39B5"/>
    <w:rsid w:val="3D17655F"/>
    <w:rsid w:val="3D711112"/>
    <w:rsid w:val="3D87623F"/>
    <w:rsid w:val="3D8C5F4C"/>
    <w:rsid w:val="3D915310"/>
    <w:rsid w:val="3DB00644"/>
    <w:rsid w:val="3DB01C3A"/>
    <w:rsid w:val="3DB69DDF"/>
    <w:rsid w:val="3DF9272D"/>
    <w:rsid w:val="3E481343"/>
    <w:rsid w:val="3EB97C00"/>
    <w:rsid w:val="3EBE3EE3"/>
    <w:rsid w:val="3EF142B8"/>
    <w:rsid w:val="3EF67B21"/>
    <w:rsid w:val="3F0538C0"/>
    <w:rsid w:val="3F402D35"/>
    <w:rsid w:val="3F546D8B"/>
    <w:rsid w:val="3F583A82"/>
    <w:rsid w:val="3F6C7DE3"/>
    <w:rsid w:val="3F7647BE"/>
    <w:rsid w:val="3F8E23B0"/>
    <w:rsid w:val="3FD53C22"/>
    <w:rsid w:val="3FD76714"/>
    <w:rsid w:val="3FEF0B07"/>
    <w:rsid w:val="3FF658FE"/>
    <w:rsid w:val="3FF81676"/>
    <w:rsid w:val="40324E90"/>
    <w:rsid w:val="40591B69"/>
    <w:rsid w:val="41055DF9"/>
    <w:rsid w:val="411249BA"/>
    <w:rsid w:val="41582E49"/>
    <w:rsid w:val="41D61543"/>
    <w:rsid w:val="41F145CF"/>
    <w:rsid w:val="42383FAC"/>
    <w:rsid w:val="4255690C"/>
    <w:rsid w:val="425D7EB7"/>
    <w:rsid w:val="425F3C2F"/>
    <w:rsid w:val="42742ADB"/>
    <w:rsid w:val="427F1BDB"/>
    <w:rsid w:val="42CB6BCE"/>
    <w:rsid w:val="42CE4538"/>
    <w:rsid w:val="42D77C69"/>
    <w:rsid w:val="42D80BA8"/>
    <w:rsid w:val="432A7D99"/>
    <w:rsid w:val="43762FDE"/>
    <w:rsid w:val="438374A9"/>
    <w:rsid w:val="43B86CB7"/>
    <w:rsid w:val="4402168B"/>
    <w:rsid w:val="442E5667"/>
    <w:rsid w:val="443D61CD"/>
    <w:rsid w:val="446C618F"/>
    <w:rsid w:val="447B63D2"/>
    <w:rsid w:val="44817E8C"/>
    <w:rsid w:val="44FC7F9B"/>
    <w:rsid w:val="45081A54"/>
    <w:rsid w:val="45237196"/>
    <w:rsid w:val="45344EFF"/>
    <w:rsid w:val="453A628D"/>
    <w:rsid w:val="456F5F37"/>
    <w:rsid w:val="45A0142B"/>
    <w:rsid w:val="45CA7611"/>
    <w:rsid w:val="45E60A5B"/>
    <w:rsid w:val="460A5C60"/>
    <w:rsid w:val="464949DA"/>
    <w:rsid w:val="465A2871"/>
    <w:rsid w:val="46690BD8"/>
    <w:rsid w:val="467363F8"/>
    <w:rsid w:val="46853538"/>
    <w:rsid w:val="468E6891"/>
    <w:rsid w:val="46EB5173"/>
    <w:rsid w:val="46F32B98"/>
    <w:rsid w:val="46FC37FA"/>
    <w:rsid w:val="472606C9"/>
    <w:rsid w:val="473A2575"/>
    <w:rsid w:val="474D1EF8"/>
    <w:rsid w:val="474E6020"/>
    <w:rsid w:val="47792CED"/>
    <w:rsid w:val="47863A0C"/>
    <w:rsid w:val="47D46525"/>
    <w:rsid w:val="47D76015"/>
    <w:rsid w:val="47D77DC3"/>
    <w:rsid w:val="47F70466"/>
    <w:rsid w:val="481E3C44"/>
    <w:rsid w:val="48217291"/>
    <w:rsid w:val="485D29BF"/>
    <w:rsid w:val="486A50DB"/>
    <w:rsid w:val="48A4239B"/>
    <w:rsid w:val="48B87BF5"/>
    <w:rsid w:val="48DF1625"/>
    <w:rsid w:val="490746D8"/>
    <w:rsid w:val="492F2ECC"/>
    <w:rsid w:val="493F20C4"/>
    <w:rsid w:val="495C2C76"/>
    <w:rsid w:val="49A53561"/>
    <w:rsid w:val="49C16F7D"/>
    <w:rsid w:val="49EE03A8"/>
    <w:rsid w:val="49F17862"/>
    <w:rsid w:val="49F66C27"/>
    <w:rsid w:val="4A292E59"/>
    <w:rsid w:val="4A3B37E8"/>
    <w:rsid w:val="4A475FA6"/>
    <w:rsid w:val="4A491D2D"/>
    <w:rsid w:val="4A547DF1"/>
    <w:rsid w:val="4A633B90"/>
    <w:rsid w:val="4AB4795F"/>
    <w:rsid w:val="4ADA3ED9"/>
    <w:rsid w:val="4AFE638B"/>
    <w:rsid w:val="4B1405F6"/>
    <w:rsid w:val="4B190053"/>
    <w:rsid w:val="4B1F5D09"/>
    <w:rsid w:val="4B267657"/>
    <w:rsid w:val="4B50680B"/>
    <w:rsid w:val="4B654EB4"/>
    <w:rsid w:val="4B6E6C91"/>
    <w:rsid w:val="4B7047B7"/>
    <w:rsid w:val="4B755146"/>
    <w:rsid w:val="4B885FA4"/>
    <w:rsid w:val="4C066EC9"/>
    <w:rsid w:val="4C107D48"/>
    <w:rsid w:val="4C433C79"/>
    <w:rsid w:val="4C59524B"/>
    <w:rsid w:val="4C8147A2"/>
    <w:rsid w:val="4CA2091B"/>
    <w:rsid w:val="4CA23096"/>
    <w:rsid w:val="4CAC7BA0"/>
    <w:rsid w:val="4CC90623"/>
    <w:rsid w:val="4CEB04F6"/>
    <w:rsid w:val="4CEE1E37"/>
    <w:rsid w:val="4CF80F08"/>
    <w:rsid w:val="4D552879"/>
    <w:rsid w:val="4D6640C3"/>
    <w:rsid w:val="4D7D140D"/>
    <w:rsid w:val="4DB746B8"/>
    <w:rsid w:val="4DBD4FE0"/>
    <w:rsid w:val="4DF734D9"/>
    <w:rsid w:val="4E0B6A19"/>
    <w:rsid w:val="4E116BF8"/>
    <w:rsid w:val="4E470042"/>
    <w:rsid w:val="4E7F36FA"/>
    <w:rsid w:val="4E8E7900"/>
    <w:rsid w:val="4ED17837"/>
    <w:rsid w:val="4EDB463D"/>
    <w:rsid w:val="4EF92D15"/>
    <w:rsid w:val="4F2558B8"/>
    <w:rsid w:val="4F3B332E"/>
    <w:rsid w:val="4F442E36"/>
    <w:rsid w:val="4F4C1097"/>
    <w:rsid w:val="4F5368C9"/>
    <w:rsid w:val="4F674123"/>
    <w:rsid w:val="4F6E3747"/>
    <w:rsid w:val="4F8C1596"/>
    <w:rsid w:val="4FAD422B"/>
    <w:rsid w:val="4FF8470F"/>
    <w:rsid w:val="501E2A33"/>
    <w:rsid w:val="503E4E84"/>
    <w:rsid w:val="50461F8A"/>
    <w:rsid w:val="505507C7"/>
    <w:rsid w:val="50D650BC"/>
    <w:rsid w:val="50E14D80"/>
    <w:rsid w:val="50EB2AB2"/>
    <w:rsid w:val="5103205B"/>
    <w:rsid w:val="510559A1"/>
    <w:rsid w:val="513D513B"/>
    <w:rsid w:val="51A0391C"/>
    <w:rsid w:val="51BA2C30"/>
    <w:rsid w:val="51C23892"/>
    <w:rsid w:val="51DC1821"/>
    <w:rsid w:val="51F872B4"/>
    <w:rsid w:val="51F94369"/>
    <w:rsid w:val="52036385"/>
    <w:rsid w:val="52C378C2"/>
    <w:rsid w:val="53052687"/>
    <w:rsid w:val="53281E1B"/>
    <w:rsid w:val="53337E53"/>
    <w:rsid w:val="534F4FAF"/>
    <w:rsid w:val="53514ECE"/>
    <w:rsid w:val="5354159C"/>
    <w:rsid w:val="53614B7D"/>
    <w:rsid w:val="537312E8"/>
    <w:rsid w:val="538E1C7E"/>
    <w:rsid w:val="539354E6"/>
    <w:rsid w:val="53AC0356"/>
    <w:rsid w:val="53BA6F17"/>
    <w:rsid w:val="53C03E02"/>
    <w:rsid w:val="53DB1BA1"/>
    <w:rsid w:val="53FF0DCE"/>
    <w:rsid w:val="54010B55"/>
    <w:rsid w:val="542926F3"/>
    <w:rsid w:val="544607AB"/>
    <w:rsid w:val="54732FC8"/>
    <w:rsid w:val="547A0454"/>
    <w:rsid w:val="54B0031A"/>
    <w:rsid w:val="54C87412"/>
    <w:rsid w:val="54E16114"/>
    <w:rsid w:val="54F86BA1"/>
    <w:rsid w:val="550F272D"/>
    <w:rsid w:val="55256E3A"/>
    <w:rsid w:val="554D5B69"/>
    <w:rsid w:val="55517F6C"/>
    <w:rsid w:val="55833339"/>
    <w:rsid w:val="55BD1BBC"/>
    <w:rsid w:val="55D32512"/>
    <w:rsid w:val="56114DE8"/>
    <w:rsid w:val="565151E5"/>
    <w:rsid w:val="56586573"/>
    <w:rsid w:val="565A21A8"/>
    <w:rsid w:val="567120F2"/>
    <w:rsid w:val="56C65BD3"/>
    <w:rsid w:val="56C854A7"/>
    <w:rsid w:val="57437223"/>
    <w:rsid w:val="576A78C0"/>
    <w:rsid w:val="57825F9E"/>
    <w:rsid w:val="579B0E0D"/>
    <w:rsid w:val="57AE0BC5"/>
    <w:rsid w:val="57D03174"/>
    <w:rsid w:val="58021538"/>
    <w:rsid w:val="58046A08"/>
    <w:rsid w:val="58070251"/>
    <w:rsid w:val="58231F19"/>
    <w:rsid w:val="584E7C2E"/>
    <w:rsid w:val="58604D01"/>
    <w:rsid w:val="58A75590"/>
    <w:rsid w:val="58BF0B2C"/>
    <w:rsid w:val="58D740C7"/>
    <w:rsid w:val="58D77C23"/>
    <w:rsid w:val="58DD0CC6"/>
    <w:rsid w:val="58E42340"/>
    <w:rsid w:val="58F602D7"/>
    <w:rsid w:val="58FE78A6"/>
    <w:rsid w:val="591E1CF6"/>
    <w:rsid w:val="591F4971"/>
    <w:rsid w:val="5943175D"/>
    <w:rsid w:val="59505C28"/>
    <w:rsid w:val="5955323E"/>
    <w:rsid w:val="596349CF"/>
    <w:rsid w:val="59973856"/>
    <w:rsid w:val="59BB5797"/>
    <w:rsid w:val="59E051FD"/>
    <w:rsid w:val="59F12F67"/>
    <w:rsid w:val="5A403EEE"/>
    <w:rsid w:val="5A4C4641"/>
    <w:rsid w:val="5A4C586A"/>
    <w:rsid w:val="5A90452E"/>
    <w:rsid w:val="5AA23D66"/>
    <w:rsid w:val="5AF54CD9"/>
    <w:rsid w:val="5B1C04B7"/>
    <w:rsid w:val="5B1C63D0"/>
    <w:rsid w:val="5B3221AA"/>
    <w:rsid w:val="5B6D0D13"/>
    <w:rsid w:val="5BAD213A"/>
    <w:rsid w:val="5BAE2CA9"/>
    <w:rsid w:val="5BC21E58"/>
    <w:rsid w:val="5BCB478F"/>
    <w:rsid w:val="5BD33A5A"/>
    <w:rsid w:val="5C0D1E93"/>
    <w:rsid w:val="5C3D06E5"/>
    <w:rsid w:val="5C5E9A09"/>
    <w:rsid w:val="5CB116E0"/>
    <w:rsid w:val="5CB62246"/>
    <w:rsid w:val="5CBA3AE4"/>
    <w:rsid w:val="5CC11316"/>
    <w:rsid w:val="5CD54DC2"/>
    <w:rsid w:val="5CF3349A"/>
    <w:rsid w:val="5CF51C8D"/>
    <w:rsid w:val="5CF56707"/>
    <w:rsid w:val="5D0830BC"/>
    <w:rsid w:val="5D3A69D3"/>
    <w:rsid w:val="5DC2583B"/>
    <w:rsid w:val="5DF5D83A"/>
    <w:rsid w:val="5DFC4612"/>
    <w:rsid w:val="5E0D40E7"/>
    <w:rsid w:val="5E225DE5"/>
    <w:rsid w:val="5E420235"/>
    <w:rsid w:val="5E437B09"/>
    <w:rsid w:val="5E4D46AF"/>
    <w:rsid w:val="5E7B7674"/>
    <w:rsid w:val="5EB3556E"/>
    <w:rsid w:val="5ED97CB1"/>
    <w:rsid w:val="5F3F4C34"/>
    <w:rsid w:val="5F8623A3"/>
    <w:rsid w:val="5FF05A6E"/>
    <w:rsid w:val="601B0D3D"/>
    <w:rsid w:val="601B41D5"/>
    <w:rsid w:val="60234096"/>
    <w:rsid w:val="60341DFF"/>
    <w:rsid w:val="603B4F3C"/>
    <w:rsid w:val="609B3C2C"/>
    <w:rsid w:val="60B847DE"/>
    <w:rsid w:val="60E43825"/>
    <w:rsid w:val="60F1179C"/>
    <w:rsid w:val="612169D1"/>
    <w:rsid w:val="613C1835"/>
    <w:rsid w:val="614B5652"/>
    <w:rsid w:val="615269E1"/>
    <w:rsid w:val="6161146B"/>
    <w:rsid w:val="61625A1B"/>
    <w:rsid w:val="61C81C15"/>
    <w:rsid w:val="628D3A49"/>
    <w:rsid w:val="62A92273"/>
    <w:rsid w:val="62C27B96"/>
    <w:rsid w:val="62C52B4B"/>
    <w:rsid w:val="62CF5E0F"/>
    <w:rsid w:val="63057A83"/>
    <w:rsid w:val="631853C6"/>
    <w:rsid w:val="631A1780"/>
    <w:rsid w:val="633B34A5"/>
    <w:rsid w:val="638210D3"/>
    <w:rsid w:val="63C11BFC"/>
    <w:rsid w:val="64035650"/>
    <w:rsid w:val="640E7FE0"/>
    <w:rsid w:val="649412F7"/>
    <w:rsid w:val="64A05FF2"/>
    <w:rsid w:val="64AD1CEC"/>
    <w:rsid w:val="64B61A2A"/>
    <w:rsid w:val="64EC73DB"/>
    <w:rsid w:val="64FB7835"/>
    <w:rsid w:val="65381BD6"/>
    <w:rsid w:val="65711400"/>
    <w:rsid w:val="65A76139"/>
    <w:rsid w:val="65DA6FA5"/>
    <w:rsid w:val="65F242EE"/>
    <w:rsid w:val="660747D9"/>
    <w:rsid w:val="660B1854"/>
    <w:rsid w:val="66154481"/>
    <w:rsid w:val="66680A54"/>
    <w:rsid w:val="66D25ECE"/>
    <w:rsid w:val="66D47276"/>
    <w:rsid w:val="66E16111"/>
    <w:rsid w:val="671A3875"/>
    <w:rsid w:val="674C7894"/>
    <w:rsid w:val="67852F40"/>
    <w:rsid w:val="67AC28B8"/>
    <w:rsid w:val="67BB6067"/>
    <w:rsid w:val="67D363A2"/>
    <w:rsid w:val="67E22141"/>
    <w:rsid w:val="67FD341E"/>
    <w:rsid w:val="68003CED"/>
    <w:rsid w:val="680C5354"/>
    <w:rsid w:val="683133E1"/>
    <w:rsid w:val="683C5C38"/>
    <w:rsid w:val="685017A0"/>
    <w:rsid w:val="68662D72"/>
    <w:rsid w:val="686F60CA"/>
    <w:rsid w:val="688911BD"/>
    <w:rsid w:val="689F0032"/>
    <w:rsid w:val="68CB3261"/>
    <w:rsid w:val="692A0243"/>
    <w:rsid w:val="692A3D9F"/>
    <w:rsid w:val="69313380"/>
    <w:rsid w:val="6942733B"/>
    <w:rsid w:val="694E3F32"/>
    <w:rsid w:val="696279DD"/>
    <w:rsid w:val="696C43B8"/>
    <w:rsid w:val="69974B6A"/>
    <w:rsid w:val="69E06B54"/>
    <w:rsid w:val="69EB12CD"/>
    <w:rsid w:val="69FB573C"/>
    <w:rsid w:val="6A170D32"/>
    <w:rsid w:val="6A5D789B"/>
    <w:rsid w:val="6A641533"/>
    <w:rsid w:val="6A667059"/>
    <w:rsid w:val="6A707ED8"/>
    <w:rsid w:val="6AA3205B"/>
    <w:rsid w:val="6ADC37BF"/>
    <w:rsid w:val="6AE12B83"/>
    <w:rsid w:val="6AF44665"/>
    <w:rsid w:val="6B0D2453"/>
    <w:rsid w:val="6B122D3D"/>
    <w:rsid w:val="6B264A3A"/>
    <w:rsid w:val="6B9D0A15"/>
    <w:rsid w:val="6BAC4F3F"/>
    <w:rsid w:val="6BB545CE"/>
    <w:rsid w:val="6BBB5183"/>
    <w:rsid w:val="6BBE0425"/>
    <w:rsid w:val="6BDB75D3"/>
    <w:rsid w:val="6C22511C"/>
    <w:rsid w:val="6C3310FD"/>
    <w:rsid w:val="6C640705"/>
    <w:rsid w:val="6C8E1A42"/>
    <w:rsid w:val="6D075000"/>
    <w:rsid w:val="6D385AB8"/>
    <w:rsid w:val="6D8753EC"/>
    <w:rsid w:val="6D881814"/>
    <w:rsid w:val="6D967C55"/>
    <w:rsid w:val="6DAC5DDA"/>
    <w:rsid w:val="6E5A2F1A"/>
    <w:rsid w:val="6E712470"/>
    <w:rsid w:val="6E7361E8"/>
    <w:rsid w:val="6E8977BA"/>
    <w:rsid w:val="6EA6652B"/>
    <w:rsid w:val="6EAF7471"/>
    <w:rsid w:val="6EFC7F8C"/>
    <w:rsid w:val="6F3D6210"/>
    <w:rsid w:val="6F694B09"/>
    <w:rsid w:val="6F825A88"/>
    <w:rsid w:val="6F963F3C"/>
    <w:rsid w:val="6FC21091"/>
    <w:rsid w:val="6FDD600F"/>
    <w:rsid w:val="6FF1023B"/>
    <w:rsid w:val="6FF173C5"/>
    <w:rsid w:val="6FF1A82A"/>
    <w:rsid w:val="70090821"/>
    <w:rsid w:val="701E0F20"/>
    <w:rsid w:val="702F7EED"/>
    <w:rsid w:val="707F8D07"/>
    <w:rsid w:val="70804826"/>
    <w:rsid w:val="70893AA1"/>
    <w:rsid w:val="70A1703D"/>
    <w:rsid w:val="70A420F4"/>
    <w:rsid w:val="70B16FE1"/>
    <w:rsid w:val="70DC0075"/>
    <w:rsid w:val="70FD7FEB"/>
    <w:rsid w:val="710C7B34"/>
    <w:rsid w:val="710F2FBE"/>
    <w:rsid w:val="71431EA2"/>
    <w:rsid w:val="71600CA6"/>
    <w:rsid w:val="71DC40A5"/>
    <w:rsid w:val="72086C48"/>
    <w:rsid w:val="724834E8"/>
    <w:rsid w:val="72A51683"/>
    <w:rsid w:val="72E27499"/>
    <w:rsid w:val="73045661"/>
    <w:rsid w:val="73631EB6"/>
    <w:rsid w:val="73944C37"/>
    <w:rsid w:val="73E86D31"/>
    <w:rsid w:val="740D4F91"/>
    <w:rsid w:val="741713C4"/>
    <w:rsid w:val="742A511D"/>
    <w:rsid w:val="745F51EC"/>
    <w:rsid w:val="746C7AE1"/>
    <w:rsid w:val="74802D4B"/>
    <w:rsid w:val="74A470FC"/>
    <w:rsid w:val="74BC04D7"/>
    <w:rsid w:val="750C6A4F"/>
    <w:rsid w:val="751B4EE4"/>
    <w:rsid w:val="752B0E68"/>
    <w:rsid w:val="7557416E"/>
    <w:rsid w:val="756E770A"/>
    <w:rsid w:val="759671D7"/>
    <w:rsid w:val="75D13993"/>
    <w:rsid w:val="75F23E97"/>
    <w:rsid w:val="75F419BD"/>
    <w:rsid w:val="76116A13"/>
    <w:rsid w:val="76165DD7"/>
    <w:rsid w:val="7621477C"/>
    <w:rsid w:val="76523880"/>
    <w:rsid w:val="76562678"/>
    <w:rsid w:val="76636B42"/>
    <w:rsid w:val="76DA5EF6"/>
    <w:rsid w:val="774249AA"/>
    <w:rsid w:val="775438B4"/>
    <w:rsid w:val="776E559D"/>
    <w:rsid w:val="77752FD1"/>
    <w:rsid w:val="777F175A"/>
    <w:rsid w:val="778925D9"/>
    <w:rsid w:val="778C4780"/>
    <w:rsid w:val="77A411C1"/>
    <w:rsid w:val="78290D7D"/>
    <w:rsid w:val="78307344"/>
    <w:rsid w:val="78EF0B61"/>
    <w:rsid w:val="793A1DDD"/>
    <w:rsid w:val="79427326"/>
    <w:rsid w:val="79471909"/>
    <w:rsid w:val="79490272"/>
    <w:rsid w:val="79501600"/>
    <w:rsid w:val="7956A581"/>
    <w:rsid w:val="796450AB"/>
    <w:rsid w:val="79677C16"/>
    <w:rsid w:val="79694470"/>
    <w:rsid w:val="79B220A9"/>
    <w:rsid w:val="79E765EA"/>
    <w:rsid w:val="79EF706B"/>
    <w:rsid w:val="7A0B19CB"/>
    <w:rsid w:val="7A4C7DC3"/>
    <w:rsid w:val="7A4D287C"/>
    <w:rsid w:val="7A505630"/>
    <w:rsid w:val="7A915309"/>
    <w:rsid w:val="7A9E639B"/>
    <w:rsid w:val="7AAB2866"/>
    <w:rsid w:val="7AB07CD4"/>
    <w:rsid w:val="7AB2194E"/>
    <w:rsid w:val="7AF41F60"/>
    <w:rsid w:val="7B007056"/>
    <w:rsid w:val="7B42766E"/>
    <w:rsid w:val="7B451CCC"/>
    <w:rsid w:val="7B4907BF"/>
    <w:rsid w:val="7B5310C7"/>
    <w:rsid w:val="7B560A24"/>
    <w:rsid w:val="7B8211A2"/>
    <w:rsid w:val="7B917CAE"/>
    <w:rsid w:val="7B9652C4"/>
    <w:rsid w:val="7B9C1CE2"/>
    <w:rsid w:val="7BA45C33"/>
    <w:rsid w:val="7BB8348D"/>
    <w:rsid w:val="7BBC2F7D"/>
    <w:rsid w:val="7BD54342"/>
    <w:rsid w:val="7C280612"/>
    <w:rsid w:val="7C556F2D"/>
    <w:rsid w:val="7C636671"/>
    <w:rsid w:val="7C7ED729"/>
    <w:rsid w:val="7C8D6E6F"/>
    <w:rsid w:val="7CAA373A"/>
    <w:rsid w:val="7CB71996"/>
    <w:rsid w:val="7CD871A5"/>
    <w:rsid w:val="7CDB5685"/>
    <w:rsid w:val="7D364FB1"/>
    <w:rsid w:val="7D423956"/>
    <w:rsid w:val="7D5E1E12"/>
    <w:rsid w:val="7D6D4248"/>
    <w:rsid w:val="7D6E5432"/>
    <w:rsid w:val="7D8260DB"/>
    <w:rsid w:val="7DDA44FE"/>
    <w:rsid w:val="7DDD71DA"/>
    <w:rsid w:val="7DE155BB"/>
    <w:rsid w:val="7DE74669"/>
    <w:rsid w:val="7DEA2878"/>
    <w:rsid w:val="7E0E1A8A"/>
    <w:rsid w:val="7E242698"/>
    <w:rsid w:val="7E2C4C24"/>
    <w:rsid w:val="7E3B6E95"/>
    <w:rsid w:val="7E6E42D6"/>
    <w:rsid w:val="7E7A711F"/>
    <w:rsid w:val="7E8F790E"/>
    <w:rsid w:val="7E926217"/>
    <w:rsid w:val="7F765B38"/>
    <w:rsid w:val="7FA426A6"/>
    <w:rsid w:val="7FC22B2C"/>
    <w:rsid w:val="7FCD02B2"/>
    <w:rsid w:val="7FE507DB"/>
    <w:rsid w:val="7FE9249A"/>
    <w:rsid w:val="7FFF168A"/>
    <w:rsid w:val="9F5DE784"/>
    <w:rsid w:val="B5E78183"/>
    <w:rsid w:val="BF29E5CF"/>
    <w:rsid w:val="BFDC694A"/>
    <w:rsid w:val="CF7FB1EB"/>
    <w:rsid w:val="D9F880BA"/>
    <w:rsid w:val="DF3F0E32"/>
    <w:rsid w:val="E7AFAE58"/>
    <w:rsid w:val="EF7E3BD0"/>
    <w:rsid w:val="F4FB91A9"/>
    <w:rsid w:val="F5FAE243"/>
    <w:rsid w:val="F75F7C80"/>
    <w:rsid w:val="F7FDF20C"/>
    <w:rsid w:val="F8D36765"/>
    <w:rsid w:val="F97B1E2A"/>
    <w:rsid w:val="FB9FA6ED"/>
    <w:rsid w:val="FBEA85FC"/>
    <w:rsid w:val="FC7AE86A"/>
    <w:rsid w:val="FDBD6D53"/>
    <w:rsid w:val="FFEF8B80"/>
    <w:rsid w:val="FFFB9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600" w:lineRule="exact"/>
      <w:ind w:firstLine="643" w:firstLineChars="200"/>
      <w:outlineLvl w:val="0"/>
    </w:pPr>
    <w:rPr>
      <w:rFonts w:ascii="Times New Roman" w:hAnsi="Times New Roman" w:eastAsia="黑体"/>
      <w:b/>
      <w:kern w:val="44"/>
      <w:sz w:val="32"/>
    </w:rPr>
  </w:style>
  <w:style w:type="paragraph" w:styleId="4">
    <w:name w:val="heading 2"/>
    <w:basedOn w:val="1"/>
    <w:next w:val="1"/>
    <w:link w:val="30"/>
    <w:qFormat/>
    <w:uiPriority w:val="0"/>
    <w:pPr>
      <w:keepNext/>
      <w:keepLines/>
      <w:spacing w:line="560" w:lineRule="exact"/>
      <w:ind w:firstLine="880" w:firstLineChars="200"/>
      <w:jc w:val="left"/>
      <w:outlineLvl w:val="1"/>
    </w:pPr>
    <w:rPr>
      <w:rFonts w:ascii="Arial" w:hAnsi="Arial" w:eastAsia="方正楷体_GBK"/>
      <w:sz w:val="32"/>
    </w:rPr>
  </w:style>
  <w:style w:type="paragraph" w:styleId="5">
    <w:name w:val="heading 3"/>
    <w:basedOn w:val="1"/>
    <w:next w:val="1"/>
    <w:unhideWhenUsed/>
    <w:qFormat/>
    <w:uiPriority w:val="9"/>
    <w:pPr>
      <w:keepNext/>
      <w:keepLines/>
      <w:spacing w:beforeLines="25" w:afterLines="25" w:line="560" w:lineRule="exact"/>
      <w:ind w:firstLine="643" w:firstLineChars="200"/>
      <w:outlineLvl w:val="2"/>
    </w:pPr>
    <w:rPr>
      <w:rFonts w:ascii="楷体" w:hAnsi="楷体" w:eastAsia="仿宋"/>
      <w:b/>
      <w:bCs/>
      <w:sz w:val="32"/>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0"/>
    <w:pPr>
      <w:numPr>
        <w:ilvl w:val="4"/>
        <w:numId w:val="1"/>
      </w:numPr>
      <w:outlineLvl w:val="4"/>
    </w:pPr>
    <w:rPr>
      <w:bCs/>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caption"/>
    <w:basedOn w:val="1"/>
    <w:next w:val="1"/>
    <w:unhideWhenUsed/>
    <w:qFormat/>
    <w:uiPriority w:val="35"/>
    <w:pPr>
      <w:jc w:val="center"/>
    </w:pPr>
    <w:rPr>
      <w:rFonts w:cs="Times New Roman"/>
      <w:b/>
      <w:szCs w:val="20"/>
    </w:rPr>
  </w:style>
  <w:style w:type="paragraph" w:styleId="10">
    <w:name w:val="annotation text"/>
    <w:basedOn w:val="1"/>
    <w:link w:val="31"/>
    <w:unhideWhenUsed/>
    <w:qFormat/>
    <w:uiPriority w:val="99"/>
    <w:pPr>
      <w:jc w:val="left"/>
    </w:pPr>
  </w:style>
  <w:style w:type="paragraph" w:styleId="11">
    <w:name w:val="Body Text"/>
    <w:basedOn w:val="1"/>
    <w:next w:val="1"/>
    <w:qFormat/>
    <w:uiPriority w:val="0"/>
    <w:rPr>
      <w:rFonts w:ascii="Calibri" w:hAnsi="Calibri" w:eastAsia="宋体" w:cs="仿宋"/>
    </w:rPr>
  </w:style>
  <w:style w:type="paragraph" w:styleId="12">
    <w:name w:val="toc 3"/>
    <w:basedOn w:val="1"/>
    <w:next w:val="1"/>
    <w:unhideWhenUsed/>
    <w:qFormat/>
    <w:uiPriority w:val="39"/>
    <w:pPr>
      <w:ind w:left="840" w:leftChars="400"/>
    </w:pPr>
  </w:style>
  <w:style w:type="paragraph" w:styleId="13">
    <w:name w:val="Balloon Text"/>
    <w:basedOn w:val="1"/>
    <w:link w:val="32"/>
    <w:unhideWhenUsed/>
    <w:qFormat/>
    <w:uiPriority w:val="99"/>
    <w:rPr>
      <w:sz w:val="18"/>
      <w:szCs w:val="18"/>
    </w:rPr>
  </w:style>
  <w:style w:type="paragraph" w:styleId="14">
    <w:name w:val="footer"/>
    <w:basedOn w:val="1"/>
    <w:semiHidden/>
    <w:qFormat/>
    <w:uiPriority w:val="0"/>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footnote text"/>
    <w:basedOn w:val="1"/>
    <w:next w:val="1"/>
    <w:qFormat/>
    <w:uiPriority w:val="0"/>
    <w:pPr>
      <w:snapToGrid w:val="0"/>
      <w:jc w:val="left"/>
    </w:pPr>
    <w:rPr>
      <w:sz w:val="18"/>
    </w:rPr>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0"/>
    <w:pPr>
      <w:spacing w:beforeAutospacing="1" w:afterAutospacing="1"/>
      <w:jc w:val="left"/>
    </w:pPr>
    <w:rPr>
      <w:kern w:val="0"/>
      <w:sz w:val="24"/>
    </w:rPr>
  </w:style>
  <w:style w:type="paragraph" w:styleId="20">
    <w:name w:val="Title"/>
    <w:basedOn w:val="1"/>
    <w:qFormat/>
    <w:uiPriority w:val="0"/>
    <w:pPr>
      <w:jc w:val="center"/>
      <w:outlineLvl w:val="0"/>
    </w:pPr>
    <w:rPr>
      <w:rFonts w:ascii="Arial" w:hAnsi="Arial"/>
      <w:b/>
      <w:sz w:val="32"/>
    </w:rPr>
  </w:style>
  <w:style w:type="paragraph" w:styleId="21">
    <w:name w:val="annotation subject"/>
    <w:basedOn w:val="10"/>
    <w:next w:val="10"/>
    <w:link w:val="34"/>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semiHidden/>
    <w:qFormat/>
    <w:uiPriority w:val="0"/>
  </w:style>
  <w:style w:type="character" w:styleId="27">
    <w:name w:val="Hyperlink"/>
    <w:basedOn w:val="24"/>
    <w:qFormat/>
    <w:uiPriority w:val="0"/>
    <w:rPr>
      <w:color w:val="0000FF"/>
      <w:u w:val="single"/>
    </w:rPr>
  </w:style>
  <w:style w:type="character" w:styleId="28">
    <w:name w:val="annotation reference"/>
    <w:basedOn w:val="24"/>
    <w:unhideWhenUsed/>
    <w:qFormat/>
    <w:uiPriority w:val="99"/>
    <w:rPr>
      <w:sz w:val="21"/>
      <w:szCs w:val="21"/>
    </w:rPr>
  </w:style>
  <w:style w:type="character" w:styleId="29">
    <w:name w:val="footnote reference"/>
    <w:basedOn w:val="24"/>
    <w:qFormat/>
    <w:uiPriority w:val="0"/>
    <w:rPr>
      <w:vertAlign w:val="superscript"/>
    </w:rPr>
  </w:style>
  <w:style w:type="character" w:customStyle="1" w:styleId="30">
    <w:name w:val="标题 2 字符"/>
    <w:link w:val="4"/>
    <w:qFormat/>
    <w:uiPriority w:val="0"/>
    <w:rPr>
      <w:rFonts w:ascii="Arial" w:hAnsi="Arial" w:eastAsia="方正楷体_GBK"/>
      <w:sz w:val="32"/>
    </w:rPr>
  </w:style>
  <w:style w:type="character" w:customStyle="1" w:styleId="31">
    <w:name w:val="批注文字 字符"/>
    <w:basedOn w:val="24"/>
    <w:link w:val="10"/>
    <w:qFormat/>
    <w:uiPriority w:val="99"/>
    <w:rPr>
      <w:kern w:val="2"/>
      <w:sz w:val="21"/>
      <w:szCs w:val="24"/>
    </w:rPr>
  </w:style>
  <w:style w:type="character" w:customStyle="1" w:styleId="32">
    <w:name w:val="批注框文本 字符"/>
    <w:basedOn w:val="24"/>
    <w:link w:val="13"/>
    <w:semiHidden/>
    <w:qFormat/>
    <w:uiPriority w:val="99"/>
    <w:rPr>
      <w:kern w:val="2"/>
      <w:sz w:val="18"/>
      <w:szCs w:val="18"/>
    </w:rPr>
  </w:style>
  <w:style w:type="character" w:customStyle="1" w:styleId="33">
    <w:name w:val="页眉 字符"/>
    <w:basedOn w:val="24"/>
    <w:link w:val="15"/>
    <w:semiHidden/>
    <w:qFormat/>
    <w:uiPriority w:val="99"/>
    <w:rPr>
      <w:kern w:val="2"/>
      <w:sz w:val="18"/>
      <w:szCs w:val="18"/>
    </w:rPr>
  </w:style>
  <w:style w:type="character" w:customStyle="1" w:styleId="34">
    <w:name w:val="批注主题 字符"/>
    <w:basedOn w:val="31"/>
    <w:link w:val="21"/>
    <w:qFormat/>
    <w:uiPriority w:val="0"/>
    <w:rPr>
      <w:kern w:val="2"/>
      <w:sz w:val="21"/>
      <w:szCs w:val="24"/>
    </w:rPr>
  </w:style>
  <w:style w:type="paragraph" w:customStyle="1" w:styleId="35">
    <w:name w:val="Body Text First Indent 21"/>
    <w:basedOn w:val="36"/>
    <w:qFormat/>
    <w:uiPriority w:val="0"/>
    <w:pPr>
      <w:spacing w:line="360" w:lineRule="auto"/>
    </w:pPr>
    <w:rPr>
      <w:sz w:val="24"/>
    </w:rPr>
  </w:style>
  <w:style w:type="paragraph" w:customStyle="1" w:styleId="36">
    <w:name w:val="Body Text Indent1"/>
    <w:basedOn w:val="1"/>
    <w:qFormat/>
    <w:uiPriority w:val="0"/>
    <w:pPr>
      <w:spacing w:line="150" w:lineRule="atLeast"/>
      <w:textAlignment w:val="baseline"/>
    </w:pPr>
  </w:style>
  <w:style w:type="paragraph" w:customStyle="1" w:styleId="37">
    <w:name w:val="NormalIndent"/>
    <w:basedOn w:val="1"/>
    <w:qFormat/>
    <w:uiPriority w:val="0"/>
    <w:pPr>
      <w:ind w:firstLine="420" w:firstLineChars="200"/>
      <w:textAlignment w:val="baseline"/>
    </w:pPr>
    <w:rPr>
      <w:rFonts w:cs="宋体"/>
    </w:rPr>
  </w:style>
  <w:style w:type="paragraph" w:customStyle="1" w:styleId="38">
    <w:name w:val="_Style 5"/>
    <w:basedOn w:val="39"/>
    <w:qFormat/>
    <w:uiPriority w:val="0"/>
    <w:pPr>
      <w:ind w:firstLine="200" w:firstLineChars="200"/>
    </w:pPr>
    <w:rPr>
      <w:rFonts w:ascii="Calibri" w:hAnsi="Calibri" w:eastAsia="宋体"/>
      <w:sz w:val="24"/>
      <w:szCs w:val="22"/>
    </w:rPr>
  </w:style>
  <w:style w:type="paragraph" w:customStyle="1" w:styleId="3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Table of contents|1"/>
    <w:basedOn w:val="1"/>
    <w:qFormat/>
    <w:uiPriority w:val="0"/>
    <w:pPr>
      <w:spacing w:after="640"/>
      <w:ind w:firstLine="540"/>
    </w:pPr>
    <w:rPr>
      <w:rFonts w:ascii="宋体" w:hAnsi="宋体" w:cs="宋体"/>
      <w:sz w:val="26"/>
      <w:szCs w:val="26"/>
      <w:lang w:val="zh-TW" w:eastAsia="zh-TW" w:bidi="zh-TW"/>
    </w:rPr>
  </w:style>
  <w:style w:type="paragraph" w:customStyle="1" w:styleId="43">
    <w:name w:val="Other|1"/>
    <w:basedOn w:val="1"/>
    <w:qFormat/>
    <w:uiPriority w:val="0"/>
    <w:pPr>
      <w:spacing w:line="480" w:lineRule="auto"/>
      <w:ind w:firstLine="400"/>
    </w:pPr>
    <w:rPr>
      <w:rFonts w:ascii="宋体" w:hAnsi="宋体" w:cs="宋体"/>
      <w:sz w:val="26"/>
      <w:szCs w:val="26"/>
      <w:lang w:val="zh-TW" w:eastAsia="zh-TW" w:bidi="zh-TW"/>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5">
    <w:name w:val="表格"/>
    <w:qFormat/>
    <w:uiPriority w:val="0"/>
    <w:pPr>
      <w:ind w:firstLine="420"/>
      <w:jc w:val="center"/>
    </w:pPr>
    <w:rPr>
      <w:rFonts w:ascii="宋体" w:hAnsi="宋体" w:eastAsia="宋体" w:cs="宋体"/>
      <w:bCs/>
      <w:color w:val="000000"/>
      <w:sz w:val="21"/>
      <w:szCs w:val="21"/>
      <w:lang w:val="en-US" w:eastAsia="zh-CN" w:bidi="ar-SA"/>
    </w:rPr>
  </w:style>
  <w:style w:type="paragraph" w:customStyle="1" w:styleId="46">
    <w:name w:val="第一条"/>
    <w:qFormat/>
    <w:uiPriority w:val="0"/>
    <w:pPr>
      <w:numPr>
        <w:ilvl w:val="0"/>
        <w:numId w:val="2"/>
      </w:numPr>
      <w:spacing w:before="156" w:line="276" w:lineRule="auto"/>
    </w:pPr>
    <w:rPr>
      <w:rFonts w:ascii="宋体" w:hAnsi="宋体" w:eastAsia="宋体" w:cs="Times New Roman"/>
      <w:b/>
      <w:kern w:val="2"/>
      <w:sz w:val="24"/>
      <w:szCs w:val="24"/>
      <w:lang w:val="en-US" w:eastAsia="zh-CN" w:bidi="ar-SA"/>
    </w:rPr>
  </w:style>
  <w:style w:type="paragraph" w:styleId="47">
    <w:name w:val="List Paragraph"/>
    <w:basedOn w:val="1"/>
    <w:qFormat/>
    <w:uiPriority w:val="34"/>
    <w:pPr>
      <w:ind w:firstLine="420"/>
    </w:pPr>
  </w:style>
  <w:style w:type="paragraph" w:customStyle="1" w:styleId="48">
    <w:name w:val="表5"/>
    <w:basedOn w:val="49"/>
    <w:qFormat/>
    <w:uiPriority w:val="0"/>
    <w:pPr>
      <w:numPr>
        <w:numId w:val="3"/>
      </w:numPr>
    </w:pPr>
  </w:style>
  <w:style w:type="paragraph" w:customStyle="1" w:styleId="49">
    <w:name w:val="表3"/>
    <w:basedOn w:val="9"/>
    <w:qFormat/>
    <w:uiPriority w:val="0"/>
    <w:pPr>
      <w:keepNext/>
      <w:numPr>
        <w:ilvl w:val="0"/>
        <w:numId w:val="4"/>
      </w:numPr>
      <w:spacing w:line="276" w:lineRule="auto"/>
      <w:ind w:left="0" w:firstLine="0"/>
    </w:pPr>
    <w:rPr>
      <w:rFonts w:eastAsia="黑体" w:cs="Times New Roman"/>
      <w:color w:val="000000"/>
    </w:rPr>
  </w:style>
  <w:style w:type="paragraph" w:customStyle="1" w:styleId="50">
    <w:name w:val="表12"/>
    <w:qFormat/>
    <w:uiPriority w:val="0"/>
    <w:pPr>
      <w:keepNext/>
      <w:widowControl w:val="0"/>
      <w:numPr>
        <w:ilvl w:val="0"/>
        <w:numId w:val="5"/>
      </w:numPr>
      <w:spacing w:line="276" w:lineRule="auto"/>
      <w:ind w:left="0" w:firstLine="0"/>
      <w:jc w:val="center"/>
    </w:pPr>
    <w:rPr>
      <w:rFonts w:ascii="Times New Roman" w:hAnsi="Times New Roman" w:eastAsia="黑体" w:cs="Times New Roman"/>
      <w:b/>
      <w:color w:val="000000"/>
      <w:kern w:val="2"/>
      <w:sz w:val="21"/>
      <w:lang w:val="en-US" w:eastAsia="zh-CN" w:bidi="ar-SA"/>
    </w:rPr>
  </w:style>
  <w:style w:type="paragraph" w:customStyle="1" w:styleId="51">
    <w:name w:val="表6"/>
    <w:qFormat/>
    <w:uiPriority w:val="0"/>
    <w:pPr>
      <w:keepNext/>
      <w:widowControl w:val="0"/>
      <w:numPr>
        <w:ilvl w:val="0"/>
        <w:numId w:val="6"/>
      </w:numPr>
      <w:spacing w:line="276" w:lineRule="auto"/>
      <w:ind w:left="0" w:firstLine="0"/>
      <w:jc w:val="center"/>
    </w:pPr>
    <w:rPr>
      <w:rFonts w:ascii="Times New Roman" w:hAnsi="Times New Roman" w:eastAsia="黑体" w:cs="Times New Roman"/>
      <w:b/>
      <w:color w:val="000000"/>
      <w:kern w:val="2"/>
      <w:sz w:val="21"/>
      <w:lang w:val="en-US" w:eastAsia="zh-CN" w:bidi="ar-SA"/>
    </w:rPr>
  </w:style>
  <w:style w:type="paragraph" w:customStyle="1" w:styleId="52">
    <w:name w:val="（一）中标题"/>
    <w:basedOn w:val="8"/>
    <w:qFormat/>
    <w:uiPriority w:val="0"/>
    <w:rPr>
      <w:sz w:val="32"/>
    </w:rPr>
  </w:style>
  <w:style w:type="paragraph" w:customStyle="1" w:styleId="53">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19673</Words>
  <Characters>21273</Characters>
  <Lines>240</Lines>
  <Paragraphs>67</Paragraphs>
  <TotalTime>21</TotalTime>
  <ScaleCrop>false</ScaleCrop>
  <LinksUpToDate>false</LinksUpToDate>
  <CharactersWithSpaces>21764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2023-09-08T03:48:00Z</dcterms:created>
  <dc:creator>WPS_1621819332</dc:creator>
  <cp:lastModifiedBy>商务局办公室</cp:lastModifiedBy>
  <cp:lastPrinted>2024-03-13T11:46:00Z</cp:lastPrinted>
  <dcterms:modified xsi:type="dcterms:W3CDTF">2024-08-01T02:33:06Z</dcterms:modified>
  <dc:title>（单 位 名 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5CB876CCFAC940849056579070B5CCC6</vt:lpwstr>
  </property>
</Properties>
</file>