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jc w:val="center"/>
        <w:rPr>
          <w:rFonts w:hint="eastAsia" w:ascii="Times New Roman" w:hAnsi="Times New Roman" w:eastAsia="方正小标宋简体" w:cs="方正小标宋简体"/>
          <w:sz w:val="44"/>
          <w:szCs w:val="44"/>
          <w:lang w:val="en-US" w:eastAsia="zh-CN" w:bidi="ar-SA"/>
        </w:rPr>
      </w:pPr>
    </w:p>
    <w:p>
      <w:pPr>
        <w:pStyle w:val="11"/>
        <w:spacing w:line="560" w:lineRule="exact"/>
        <w:jc w:val="center"/>
        <w:rPr>
          <w:rFonts w:hint="eastAsia" w:ascii="Times New Roman" w:hAnsi="Times New Roman" w:eastAsia="方正小标宋简体" w:cs="方正小标宋简体"/>
          <w:sz w:val="44"/>
          <w:szCs w:val="44"/>
          <w:lang w:val="en-US" w:eastAsia="zh-CN" w:bidi="ar-SA"/>
        </w:rPr>
      </w:pPr>
    </w:p>
    <w:p>
      <w:pPr>
        <w:pStyle w:val="12"/>
        <w:rPr>
          <w:rFonts w:hint="eastAsia"/>
          <w:lang w:val="en-US" w:eastAsia="zh-CN"/>
        </w:rPr>
      </w:pPr>
    </w:p>
    <w:p>
      <w:pPr>
        <w:pStyle w:val="11"/>
        <w:spacing w:line="560" w:lineRule="exact"/>
        <w:jc w:val="center"/>
        <w:rPr>
          <w:rFonts w:ascii="Times New Roman" w:hAnsi="Times New Roman" w:eastAsia="方正小标宋简体" w:cs="方正小标宋简体"/>
          <w:sz w:val="44"/>
          <w:szCs w:val="44"/>
          <w:lang w:val="en-US" w:eastAsia="zh-CN" w:bidi="ar-SA"/>
        </w:rPr>
      </w:pPr>
      <w:r>
        <w:rPr>
          <w:rFonts w:hint="eastAsia" w:ascii="Times New Roman" w:hAnsi="Times New Roman" w:eastAsia="方正小标宋简体" w:cs="方正小标宋简体"/>
          <w:sz w:val="44"/>
          <w:szCs w:val="44"/>
          <w:lang w:val="en-US" w:eastAsia="zh-CN" w:bidi="ar-SA"/>
        </w:rPr>
        <w:t>惠州市2023年</w:t>
      </w:r>
      <w:r>
        <w:rPr>
          <w:rFonts w:ascii="Times New Roman" w:hAnsi="Times New Roman" w:eastAsia="方正小标宋简体" w:cs="方正小标宋简体"/>
          <w:sz w:val="44"/>
          <w:szCs w:val="44"/>
          <w:lang w:val="en-US" w:eastAsia="zh-CN" w:bidi="ar-SA"/>
        </w:rPr>
        <w:t>省级</w:t>
      </w:r>
      <w:r>
        <w:rPr>
          <w:rFonts w:hint="eastAsia" w:ascii="Times New Roman" w:hAnsi="Times New Roman" w:eastAsia="方正小标宋简体" w:cs="方正小标宋简体"/>
          <w:sz w:val="44"/>
          <w:szCs w:val="44"/>
          <w:lang w:val="en-US" w:eastAsia="zh-CN" w:bidi="ar-SA"/>
        </w:rPr>
        <w:t>涉农统筹整合</w:t>
      </w:r>
      <w:r>
        <w:rPr>
          <w:rFonts w:ascii="Times New Roman" w:hAnsi="Times New Roman" w:eastAsia="方正小标宋简体" w:cs="方正小标宋简体"/>
          <w:sz w:val="44"/>
          <w:szCs w:val="44"/>
          <w:lang w:val="en-US" w:eastAsia="zh-CN" w:bidi="ar-SA"/>
        </w:rPr>
        <w:t>资金</w:t>
      </w:r>
    </w:p>
    <w:p>
      <w:pPr>
        <w:pStyle w:val="11"/>
        <w:spacing w:line="560" w:lineRule="exact"/>
        <w:jc w:val="center"/>
        <w:rPr>
          <w:rFonts w:hint="eastAsia" w:ascii="方正小标宋简体" w:eastAsia="方正小标宋简体" w:cs="方正小标宋简体"/>
          <w:sz w:val="44"/>
          <w:szCs w:val="44"/>
          <w:highlight w:val="none"/>
          <w:lang w:val="en-US" w:eastAsia="zh-CN" w:bidi="ar-SA"/>
        </w:rPr>
      </w:pPr>
      <w:r>
        <w:rPr>
          <w:rFonts w:hint="eastAsia" w:ascii="Times New Roman" w:hAnsi="Times New Roman" w:eastAsia="方正小标宋简体" w:cs="方正小标宋简体"/>
          <w:sz w:val="44"/>
          <w:szCs w:val="44"/>
          <w:lang w:val="en-US" w:eastAsia="zh-CN" w:bidi="ar-SA"/>
        </w:rPr>
        <w:t>绩效自评报告</w:t>
      </w:r>
    </w:p>
    <w:p>
      <w:pPr>
        <w:pStyle w:val="12"/>
        <w:spacing w:line="560" w:lineRule="exact"/>
        <w:jc w:val="both"/>
        <w:rPr>
          <w:rFonts w:hint="eastAsia" w:ascii="楷体" w:eastAsia="楷体" w:cs="楷体"/>
          <w:sz w:val="32"/>
          <w:szCs w:val="32"/>
          <w:highlight w:val="none"/>
          <w:lang w:eastAsia="zh-CN" w:bidi="ar-SA"/>
        </w:rPr>
      </w:pPr>
      <w:r>
        <w:rPr>
          <w:rFonts w:hint="eastAsia" w:eastAsia="楷体" w:cs="方正小标宋简体"/>
          <w:sz w:val="32"/>
          <w:szCs w:val="44"/>
          <w:lang w:val="en-US" w:eastAsia="zh-CN" w:bidi="ar-SA"/>
        </w:rPr>
        <w:t xml:space="preserve"> </w:t>
      </w:r>
    </w:p>
    <w:p>
      <w:pPr>
        <w:pStyle w:val="11"/>
        <w:spacing w:line="560" w:lineRule="exact"/>
        <w:jc w:val="center"/>
        <w:rPr>
          <w:rFonts w:hint="eastAsia" w:ascii="仿宋_GB2312" w:cs="仿宋_GB2312"/>
          <w:sz w:val="32"/>
          <w:szCs w:val="32"/>
          <w:highlight w:val="none"/>
          <w:lang w:bidi="ar-SA"/>
        </w:rPr>
      </w:pPr>
    </w:p>
    <w:p>
      <w:pPr>
        <w:pStyle w:val="11"/>
        <w:spacing w:line="560" w:lineRule="exact"/>
        <w:jc w:val="center"/>
        <w:rPr>
          <w:rFonts w:hint="eastAsia" w:ascii="仿宋_GB2312" w:cs="仿宋_GB2312"/>
          <w:sz w:val="32"/>
          <w:szCs w:val="32"/>
          <w:highlight w:val="none"/>
          <w:lang w:bidi="ar-SA"/>
        </w:rPr>
      </w:pPr>
      <w:bookmarkStart w:id="0" w:name="_GoBack"/>
      <w:bookmarkEnd w:id="0"/>
    </w:p>
    <w:p>
      <w:pPr>
        <w:pStyle w:val="11"/>
        <w:spacing w:line="560" w:lineRule="exact"/>
        <w:jc w:val="center"/>
        <w:rPr>
          <w:rFonts w:hint="eastAsia" w:ascii="仿宋_GB2312" w:cs="仿宋_GB2312"/>
          <w:sz w:val="32"/>
          <w:szCs w:val="32"/>
          <w:highlight w:val="none"/>
          <w:lang w:bidi="ar-SA"/>
        </w:rPr>
      </w:pPr>
    </w:p>
    <w:p>
      <w:pPr>
        <w:pStyle w:val="11"/>
        <w:spacing w:line="560" w:lineRule="exact"/>
        <w:jc w:val="center"/>
        <w:rPr>
          <w:rFonts w:hint="eastAsia" w:ascii="仿宋_GB2312" w:cs="仿宋_GB2312"/>
          <w:sz w:val="32"/>
          <w:szCs w:val="32"/>
          <w:highlight w:val="none"/>
          <w:lang w:bidi="ar-SA"/>
        </w:rPr>
      </w:pPr>
    </w:p>
    <w:p>
      <w:pPr>
        <w:pStyle w:val="12"/>
        <w:rPr>
          <w:rFonts w:hint="eastAsia" w:ascii="仿宋_GB2312" w:hAnsi="仿宋_GB2312" w:cs="仿宋_GB2312"/>
          <w:sz w:val="32"/>
          <w:szCs w:val="32"/>
          <w:highlight w:val="none"/>
          <w:lang w:bidi="ar-SA"/>
        </w:rPr>
      </w:pPr>
    </w:p>
    <w:p>
      <w:pPr>
        <w:pStyle w:val="11"/>
        <w:rPr>
          <w:rFonts w:hint="eastAsia" w:ascii="仿宋_GB2312" w:cs="仿宋_GB2312"/>
          <w:sz w:val="32"/>
          <w:szCs w:val="32"/>
          <w:highlight w:val="none"/>
          <w:lang w:bidi="ar-SA"/>
        </w:rPr>
      </w:pPr>
    </w:p>
    <w:p>
      <w:pPr>
        <w:pStyle w:val="12"/>
        <w:rPr>
          <w:rFonts w:hint="eastAsia"/>
        </w:rPr>
      </w:pPr>
    </w:p>
    <w:p>
      <w:pPr>
        <w:pStyle w:val="11"/>
        <w:spacing w:line="560" w:lineRule="exact"/>
        <w:jc w:val="center"/>
        <w:rPr>
          <w:rFonts w:hint="eastAsia" w:ascii="仿宋_GB2312" w:cs="仿宋_GB2312"/>
          <w:sz w:val="32"/>
          <w:szCs w:val="32"/>
          <w:highlight w:val="none"/>
          <w:lang w:bidi="ar-SA"/>
        </w:rPr>
      </w:pPr>
    </w:p>
    <w:p>
      <w:pPr>
        <w:pStyle w:val="11"/>
        <w:spacing w:line="560" w:lineRule="exact"/>
        <w:jc w:val="center"/>
        <w:rPr>
          <w:rFonts w:hint="eastAsia" w:ascii="仿宋_GB2312" w:cs="仿宋_GB2312"/>
          <w:sz w:val="32"/>
          <w:szCs w:val="32"/>
          <w:highlight w:val="none"/>
          <w:lang w:bidi="ar-SA"/>
        </w:rPr>
      </w:pPr>
    </w:p>
    <w:p>
      <w:pPr>
        <w:pStyle w:val="11"/>
        <w:spacing w:line="560" w:lineRule="exact"/>
        <w:jc w:val="center"/>
        <w:rPr>
          <w:rFonts w:hint="eastAsia" w:ascii="仿宋_GB2312" w:cs="仿宋_GB2312"/>
          <w:sz w:val="32"/>
          <w:szCs w:val="32"/>
          <w:highlight w:val="none"/>
          <w:lang w:bidi="ar-SA"/>
        </w:rPr>
      </w:pPr>
    </w:p>
    <w:p>
      <w:pPr>
        <w:pStyle w:val="11"/>
        <w:spacing w:line="560" w:lineRule="exact"/>
        <w:jc w:val="left"/>
        <w:rPr>
          <w:rFonts w:hint="eastAsia" w:ascii="仿宋_GB2312" w:cs="仿宋_GB2312"/>
          <w:sz w:val="32"/>
          <w:szCs w:val="32"/>
          <w:highlight w:val="none"/>
          <w:lang w:bidi="ar-SA"/>
        </w:rPr>
      </w:pPr>
    </w:p>
    <w:p>
      <w:pPr>
        <w:pStyle w:val="11"/>
        <w:spacing w:line="560" w:lineRule="exact"/>
        <w:jc w:val="left"/>
        <w:rPr>
          <w:rFonts w:ascii="Times New Roman" w:hAnsi="Times New Roman" w:eastAsia="仿宋" w:cs="Times New Roman"/>
          <w:sz w:val="32"/>
          <w:szCs w:val="32"/>
          <w:highlight w:val="none"/>
          <w:lang w:bidi="ar-SA"/>
        </w:rPr>
      </w:pPr>
      <w:r>
        <w:rPr>
          <w:rFonts w:hint="eastAsia" w:ascii="仿宋_GB2312" w:cs="仿宋_GB2312"/>
          <w:sz w:val="32"/>
          <w:szCs w:val="32"/>
          <w:highlight w:val="none"/>
          <w:lang w:bidi="ar-SA"/>
        </w:rPr>
        <w:t xml:space="preserve">        </w:t>
      </w:r>
      <w:r>
        <w:rPr>
          <w:rFonts w:ascii="Times New Roman" w:hAnsi="Times New Roman" w:eastAsia="仿宋" w:cs="Times New Roman"/>
          <w:sz w:val="32"/>
          <w:szCs w:val="32"/>
          <w:highlight w:val="none"/>
          <w:lang w:bidi="ar-SA"/>
        </w:rPr>
        <w:t>填报单位名称：惠州市涉农资金统筹整合领导小组</w:t>
      </w:r>
    </w:p>
    <w:p>
      <w:pPr>
        <w:pStyle w:val="11"/>
        <w:spacing w:line="560" w:lineRule="exact"/>
        <w:jc w:val="left"/>
        <w:rPr>
          <w:rFonts w:ascii="Times New Roman" w:hAnsi="Times New Roman" w:eastAsia="仿宋" w:cs="Times New Roman"/>
          <w:sz w:val="32"/>
          <w:szCs w:val="32"/>
          <w:highlight w:val="none"/>
          <w:lang w:bidi="ar-SA"/>
        </w:rPr>
      </w:pPr>
      <w:r>
        <w:rPr>
          <w:rFonts w:ascii="Times New Roman" w:hAnsi="Times New Roman" w:eastAsia="仿宋" w:cs="Times New Roman"/>
          <w:sz w:val="32"/>
          <w:szCs w:val="32"/>
          <w:highlight w:val="none"/>
          <w:lang w:bidi="ar-SA"/>
        </w:rPr>
        <w:t xml:space="preserve">                      办公室</w:t>
      </w:r>
    </w:p>
    <w:p>
      <w:pPr>
        <w:pStyle w:val="11"/>
        <w:spacing w:line="560" w:lineRule="exact"/>
        <w:jc w:val="left"/>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sz w:val="32"/>
          <w:szCs w:val="32"/>
          <w:highlight w:val="none"/>
          <w:lang w:bidi="ar-SA"/>
        </w:rPr>
        <w:t xml:space="preserve">        填   报   人：</w:t>
      </w:r>
      <w:r>
        <w:rPr>
          <w:rFonts w:ascii="Times New Roman" w:hAnsi="Times New Roman" w:eastAsia="仿宋" w:cs="Times New Roman"/>
          <w:sz w:val="32"/>
          <w:szCs w:val="32"/>
          <w:highlight w:val="none"/>
          <w:lang w:eastAsia="zh-CN" w:bidi="ar-SA"/>
        </w:rPr>
        <w:t>胡宇恒</w:t>
      </w:r>
    </w:p>
    <w:p>
      <w:pPr>
        <w:pStyle w:val="11"/>
        <w:spacing w:line="560" w:lineRule="exact"/>
        <w:jc w:val="left"/>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sz w:val="32"/>
          <w:szCs w:val="32"/>
          <w:highlight w:val="none"/>
          <w:lang w:bidi="ar-SA"/>
        </w:rPr>
        <w:t xml:space="preserve">        联 系 电  话：0752-288180</w:t>
      </w:r>
      <w:r>
        <w:rPr>
          <w:rFonts w:ascii="Times New Roman" w:hAnsi="Times New Roman" w:eastAsia="仿宋" w:cs="Times New Roman"/>
          <w:sz w:val="32"/>
          <w:szCs w:val="32"/>
          <w:highlight w:val="none"/>
          <w:lang w:val="en-US" w:eastAsia="zh-CN" w:bidi="ar-SA"/>
        </w:rPr>
        <w:t>3</w:t>
      </w:r>
    </w:p>
    <w:p>
      <w:pPr>
        <w:pStyle w:val="11"/>
        <w:spacing w:line="560" w:lineRule="exact"/>
        <w:jc w:val="left"/>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sz w:val="32"/>
          <w:szCs w:val="32"/>
          <w:highlight w:val="none"/>
          <w:lang w:bidi="ar-SA"/>
        </w:rPr>
        <w:t xml:space="preserve">        填 报 日  期：202</w:t>
      </w:r>
      <w:r>
        <w:rPr>
          <w:rFonts w:ascii="Times New Roman" w:hAnsi="Times New Roman" w:eastAsia="仿宋" w:cs="Times New Roman"/>
          <w:sz w:val="32"/>
          <w:szCs w:val="32"/>
          <w:highlight w:val="none"/>
          <w:lang w:val="en-US" w:eastAsia="zh-CN" w:bidi="ar-SA"/>
        </w:rPr>
        <w:t>4</w:t>
      </w:r>
      <w:r>
        <w:rPr>
          <w:rFonts w:ascii="Times New Roman" w:hAnsi="Times New Roman" w:eastAsia="仿宋" w:cs="Times New Roman"/>
          <w:sz w:val="32"/>
          <w:szCs w:val="32"/>
          <w:highlight w:val="none"/>
          <w:lang w:bidi="ar-SA"/>
        </w:rPr>
        <w:t>.0</w:t>
      </w:r>
      <w:r>
        <w:rPr>
          <w:rFonts w:ascii="Times New Roman" w:hAnsi="Times New Roman" w:eastAsia="仿宋" w:cs="Times New Roman"/>
          <w:sz w:val="32"/>
          <w:szCs w:val="32"/>
          <w:highlight w:val="none"/>
          <w:lang w:val="en-US" w:eastAsia="zh-CN" w:bidi="ar-SA"/>
        </w:rPr>
        <w:t>6</w:t>
      </w:r>
    </w:p>
    <w:p>
      <w:pPr>
        <w:pStyle w:val="11"/>
        <w:keepNext w:val="0"/>
        <w:keepLines w:val="0"/>
        <w:pageBreakBefore w:val="0"/>
        <w:widowControl w:val="0"/>
        <w:tabs>
          <w:tab w:val="left" w:pos="523"/>
        </w:tabs>
        <w:kinsoku/>
        <w:wordWrap/>
        <w:overflowPunct/>
        <w:topLinePunct w:val="0"/>
        <w:autoSpaceDE/>
        <w:autoSpaceDN/>
        <w:bidi w:val="0"/>
        <w:spacing w:line="240" w:lineRule="auto"/>
        <w:ind w:left="0" w:firstLine="640" w:firstLineChars="200"/>
        <w:textAlignment w:val="auto"/>
        <w:rPr>
          <w:rFonts w:hint="eastAsia" w:ascii="仿宋_GB2312"/>
          <w:sz w:val="32"/>
          <w:szCs w:val="32"/>
          <w:highlight w:val="none"/>
        </w:rPr>
      </w:pPr>
      <w:r>
        <w:rPr>
          <w:rFonts w:hint="eastAsia" w:ascii="仿宋_GB2312"/>
          <w:sz w:val="32"/>
          <w:szCs w:val="32"/>
          <w:highlight w:val="none"/>
        </w:rPr>
        <w:t xml:space="preserve"> </w:t>
      </w:r>
    </w:p>
    <w:p>
      <w:pPr>
        <w:pStyle w:val="11"/>
        <w:keepNext w:val="0"/>
        <w:keepLines w:val="0"/>
        <w:pageBreakBefore w:val="0"/>
        <w:widowControl w:val="0"/>
        <w:tabs>
          <w:tab w:val="left" w:pos="523"/>
        </w:tabs>
        <w:kinsoku/>
        <w:wordWrap/>
        <w:overflowPunct/>
        <w:topLinePunct w:val="0"/>
        <w:autoSpaceDE/>
        <w:autoSpaceDN/>
        <w:bidi w:val="0"/>
        <w:snapToGrid w:val="0"/>
        <w:spacing w:line="560" w:lineRule="exact"/>
        <w:ind w:left="0" w:firstLine="640" w:firstLineChars="200"/>
        <w:textAlignment w:val="auto"/>
        <w:rPr>
          <w:rFonts w:hint="eastAsia" w:ascii="黑体" w:eastAsia="黑体"/>
          <w:sz w:val="32"/>
          <w:szCs w:val="32"/>
          <w:highlight w:val="none"/>
        </w:rPr>
      </w:pPr>
    </w:p>
    <w:p>
      <w:pPr>
        <w:pStyle w:val="11"/>
        <w:keepNext w:val="0"/>
        <w:keepLines w:val="0"/>
        <w:pageBreakBefore w:val="0"/>
        <w:widowControl w:val="0"/>
        <w:tabs>
          <w:tab w:val="left" w:pos="523"/>
        </w:tabs>
        <w:kinsoku/>
        <w:wordWrap/>
        <w:overflowPunct/>
        <w:topLinePunct w:val="0"/>
        <w:autoSpaceDE/>
        <w:autoSpaceDN/>
        <w:bidi w:val="0"/>
        <w:snapToGrid w:val="0"/>
        <w:spacing w:line="560" w:lineRule="exact"/>
        <w:textAlignment w:val="auto"/>
        <w:rPr>
          <w:rFonts w:hint="eastAsia" w:ascii="黑体" w:eastAsia="黑体"/>
          <w:sz w:val="32"/>
          <w:szCs w:val="32"/>
          <w:highlight w:val="none"/>
        </w:rPr>
      </w:pPr>
    </w:p>
    <w:p>
      <w:pPr>
        <w:pStyle w:val="11"/>
        <w:keepNext w:val="0"/>
        <w:keepLines w:val="0"/>
        <w:pageBreakBefore w:val="0"/>
        <w:widowControl w:val="0"/>
        <w:tabs>
          <w:tab w:val="left" w:pos="523"/>
        </w:tabs>
        <w:kinsoku/>
        <w:wordWrap/>
        <w:overflowPunct/>
        <w:topLinePunct w:val="0"/>
        <w:autoSpaceDE/>
        <w:autoSpaceDN/>
        <w:bidi w:val="0"/>
        <w:snapToGrid w:val="0"/>
        <w:spacing w:line="560" w:lineRule="exact"/>
        <w:ind w:left="0" w:firstLine="640" w:firstLineChars="200"/>
        <w:textAlignment w:val="auto"/>
        <w:rPr>
          <w:rFonts w:hint="eastAsia" w:ascii="黑体" w:eastAsia="黑体"/>
          <w:sz w:val="32"/>
          <w:szCs w:val="32"/>
          <w:highlight w:val="none"/>
        </w:rPr>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fmt="numberInDash" w:start="0"/>
          <w:cols w:space="720" w:num="1"/>
          <w:docGrid w:type="lines" w:linePitch="312" w:charSpace="0"/>
        </w:sectPr>
      </w:pPr>
    </w:p>
    <w:p>
      <w:pPr>
        <w:pStyle w:val="11"/>
        <w:keepNext w:val="0"/>
        <w:keepLines w:val="0"/>
        <w:pageBreakBefore w:val="0"/>
        <w:widowControl w:val="0"/>
        <w:tabs>
          <w:tab w:val="left" w:pos="523"/>
        </w:tabs>
        <w:kinsoku/>
        <w:wordWrap/>
        <w:overflowPunct/>
        <w:topLinePunct w:val="0"/>
        <w:autoSpaceDE/>
        <w:autoSpaceDN/>
        <w:bidi w:val="0"/>
        <w:snapToGrid w:val="0"/>
        <w:spacing w:line="560" w:lineRule="exact"/>
        <w:ind w:left="0" w:firstLine="640" w:firstLineChars="200"/>
        <w:textAlignment w:val="auto"/>
        <w:rPr>
          <w:rFonts w:hint="eastAsia" w:ascii="仿宋_GB2312"/>
          <w:sz w:val="32"/>
          <w:szCs w:val="32"/>
          <w:highlight w:val="none"/>
        </w:rPr>
      </w:pPr>
      <w:r>
        <w:rPr>
          <w:rFonts w:hint="eastAsia" w:ascii="黑体" w:eastAsia="黑体"/>
          <w:sz w:val="32"/>
          <w:szCs w:val="32"/>
          <w:highlight w:val="none"/>
        </w:rPr>
        <w:t>一、涉农资金统筹整合实施情况</w:t>
      </w:r>
    </w:p>
    <w:p>
      <w:pPr>
        <w:pStyle w:val="13"/>
        <w:keepNext w:val="0"/>
        <w:keepLines w:val="0"/>
        <w:pageBreakBefore w:val="0"/>
        <w:widowControl w:val="0"/>
        <w:kinsoku/>
        <w:wordWrap/>
        <w:overflowPunct/>
        <w:topLinePunct w:val="0"/>
        <w:autoSpaceDE/>
        <w:autoSpaceDN/>
        <w:bidi w:val="0"/>
        <w:snapToGrid w:val="0"/>
        <w:spacing w:line="560" w:lineRule="exact"/>
        <w:ind w:left="0" w:firstLine="640" w:firstLineChars="200"/>
        <w:textAlignment w:val="auto"/>
        <w:rPr>
          <w:rFonts w:ascii="Times New Roman" w:hAnsi="Times New Roman" w:eastAsia="黑体" w:cs="Times New Roman"/>
          <w:lang w:bidi="ar-SA"/>
        </w:rPr>
      </w:pPr>
      <w:r>
        <w:rPr>
          <w:rFonts w:eastAsia="仿宋"/>
          <w:sz w:val="32"/>
          <w:szCs w:val="32"/>
          <w:highlight w:val="none"/>
        </w:rPr>
        <w:t>202</w:t>
      </w:r>
      <w:r>
        <w:rPr>
          <w:rFonts w:hint="eastAsia" w:eastAsia="仿宋"/>
          <w:sz w:val="32"/>
          <w:szCs w:val="32"/>
          <w:highlight w:val="none"/>
          <w:lang w:val="en-US" w:eastAsia="zh-CN"/>
        </w:rPr>
        <w:t>3</w:t>
      </w:r>
      <w:r>
        <w:rPr>
          <w:rFonts w:hint="eastAsia" w:eastAsia="仿宋"/>
          <w:sz w:val="32"/>
          <w:szCs w:val="32"/>
          <w:highlight w:val="none"/>
        </w:rPr>
        <w:t>年，我市全面贯彻落实习近平总书记有关“三农”工作的重要讲话及重要指示批示精神，认真落实省委、省政府关于进一步加强涉农资金统筹整合的要求，市涉农资金统筹</w:t>
      </w:r>
      <w:r>
        <w:rPr>
          <w:rFonts w:eastAsia="仿宋"/>
          <w:sz w:val="32"/>
          <w:szCs w:val="32"/>
          <w:highlight w:val="none"/>
        </w:rPr>
        <w:t>整合</w:t>
      </w:r>
      <w:r>
        <w:rPr>
          <w:rFonts w:hint="eastAsia" w:eastAsia="仿宋"/>
          <w:sz w:val="32"/>
          <w:szCs w:val="32"/>
          <w:highlight w:val="none"/>
        </w:rPr>
        <w:t>领导小组围绕全面实施乡村振兴战略</w:t>
      </w:r>
      <w:r>
        <w:rPr>
          <w:rFonts w:hint="eastAsia" w:eastAsia="仿宋"/>
          <w:sz w:val="32"/>
          <w:szCs w:val="32"/>
          <w:highlight w:val="none"/>
          <w:lang w:eastAsia="zh-CN"/>
        </w:rPr>
        <w:t>和“百千万工程”</w:t>
      </w:r>
      <w:r>
        <w:rPr>
          <w:rFonts w:hint="eastAsia" w:eastAsia="仿宋"/>
          <w:sz w:val="32"/>
          <w:szCs w:val="32"/>
          <w:highlight w:val="none"/>
        </w:rPr>
        <w:t>，突出重点，</w:t>
      </w:r>
      <w:r>
        <w:rPr>
          <w:rFonts w:hint="eastAsia" w:eastAsia="仿宋"/>
          <w:sz w:val="32"/>
          <w:szCs w:val="32"/>
          <w:highlight w:val="none"/>
          <w:lang w:eastAsia="zh-CN"/>
        </w:rPr>
        <w:t>统筹兼顾</w:t>
      </w:r>
      <w:r>
        <w:rPr>
          <w:rFonts w:hint="eastAsia" w:eastAsia="仿宋"/>
          <w:sz w:val="32"/>
          <w:szCs w:val="32"/>
          <w:highlight w:val="none"/>
        </w:rPr>
        <w:t>，不断深化我市涉农资金统筹整合改革，</w:t>
      </w:r>
      <w:r>
        <w:rPr>
          <w:rFonts w:hint="eastAsia" w:eastAsia="仿宋"/>
          <w:sz w:val="32"/>
          <w:szCs w:val="32"/>
          <w:highlight w:val="none"/>
          <w:lang w:eastAsia="zh-CN"/>
        </w:rPr>
        <w:t>强化资金绩效管理，提升资金使用效益</w:t>
      </w:r>
      <w:r>
        <w:rPr>
          <w:rFonts w:hint="eastAsia" w:eastAsia="仿宋"/>
          <w:sz w:val="32"/>
          <w:szCs w:val="32"/>
          <w:highlight w:val="none"/>
        </w:rPr>
        <w:t>。</w:t>
      </w:r>
    </w:p>
    <w:p>
      <w:pPr>
        <w:pStyle w:val="13"/>
        <w:keepNext w:val="0"/>
        <w:keepLines w:val="0"/>
        <w:pageBreakBefore w:val="0"/>
        <w:widowControl w:val="0"/>
        <w:numPr>
          <w:ilvl w:val="0"/>
          <w:numId w:val="1"/>
        </w:numPr>
        <w:kinsoku/>
        <w:wordWrap/>
        <w:overflowPunct/>
        <w:topLinePunct w:val="0"/>
        <w:autoSpaceDE/>
        <w:autoSpaceDN/>
        <w:bidi w:val="0"/>
        <w:adjustRightInd/>
        <w:snapToGrid w:val="0"/>
        <w:spacing w:before="0" w:after="0" w:line="560" w:lineRule="exact"/>
        <w:ind w:left="0" w:firstLine="640" w:firstLineChars="200"/>
        <w:textAlignment w:val="auto"/>
        <w:rPr>
          <w:rFonts w:ascii="Times New Roman" w:hAnsi="Times New Roman" w:eastAsia="楷体" w:cs="Times New Roman"/>
          <w:sz w:val="32"/>
          <w:szCs w:val="32"/>
          <w:lang w:bidi="ar-SA"/>
        </w:rPr>
      </w:pPr>
      <w:r>
        <w:rPr>
          <w:rFonts w:ascii="Times New Roman" w:hAnsi="Times New Roman" w:eastAsia="楷体" w:cs="Times New Roman"/>
          <w:sz w:val="32"/>
          <w:szCs w:val="32"/>
          <w:lang w:bidi="ar-SA"/>
        </w:rPr>
        <w:t>加大统筹管理力度，全面深入推进改革。</w:t>
      </w:r>
    </w:p>
    <w:p>
      <w:pPr>
        <w:pStyle w:val="14"/>
        <w:snapToGrid w:val="0"/>
        <w:spacing w:line="560" w:lineRule="exact"/>
        <w:rPr>
          <w:rFonts w:ascii="Times New Roman" w:hAnsi="Times New Roman" w:eastAsia="仿宋" w:cs="Times New Roman"/>
          <w:sz w:val="32"/>
          <w:szCs w:val="32"/>
          <w:highlight w:val="none"/>
          <w:lang w:bidi="ar-SA"/>
        </w:rPr>
      </w:pPr>
      <w:r>
        <w:rPr>
          <w:rFonts w:ascii="Times New Roman" w:hAnsi="Times New Roman" w:eastAsia="仿宋" w:cs="Times New Roman"/>
          <w:sz w:val="32"/>
          <w:szCs w:val="32"/>
          <w:highlight w:val="none"/>
          <w:lang w:bidi="ar-SA"/>
        </w:rPr>
        <w:t>202</w:t>
      </w:r>
      <w:r>
        <w:rPr>
          <w:rFonts w:ascii="Times New Roman" w:hAnsi="Times New Roman" w:eastAsia="仿宋" w:cs="Times New Roman"/>
          <w:sz w:val="32"/>
          <w:szCs w:val="32"/>
          <w:highlight w:val="none"/>
          <w:lang w:val="en-US" w:eastAsia="zh-CN" w:bidi="ar-SA"/>
        </w:rPr>
        <w:t>3</w:t>
      </w:r>
      <w:r>
        <w:rPr>
          <w:rFonts w:ascii="Times New Roman" w:hAnsi="Times New Roman" w:eastAsia="仿宋" w:cs="Times New Roman"/>
          <w:sz w:val="32"/>
          <w:szCs w:val="32"/>
          <w:highlight w:val="none"/>
          <w:lang w:bidi="ar-SA"/>
        </w:rPr>
        <w:t>年，召开市政府常务会议（套开市涉农资金统筹整合领导小组会议）共</w:t>
      </w:r>
      <w:r>
        <w:rPr>
          <w:rFonts w:ascii="Times New Roman" w:hAnsi="Times New Roman" w:eastAsia="仿宋" w:cs="Times New Roman"/>
          <w:sz w:val="32"/>
          <w:szCs w:val="32"/>
          <w:highlight w:val="none"/>
          <w:lang w:val="en-US" w:eastAsia="zh-CN" w:bidi="ar-SA"/>
        </w:rPr>
        <w:t>3</w:t>
      </w:r>
      <w:r>
        <w:rPr>
          <w:rFonts w:ascii="Times New Roman" w:hAnsi="Times New Roman" w:eastAsia="仿宋" w:cs="Times New Roman"/>
          <w:sz w:val="32"/>
          <w:szCs w:val="32"/>
          <w:highlight w:val="none"/>
          <w:lang w:bidi="ar-SA"/>
        </w:rPr>
        <w:t>次，听取我市涉农资金统筹整合改革整体情况，研究部署相关工作，提出强化资金管理</w:t>
      </w:r>
      <w:r>
        <w:rPr>
          <w:rFonts w:ascii="Times New Roman" w:hAnsi="Times New Roman" w:eastAsia="仿宋" w:cs="Times New Roman"/>
          <w:sz w:val="32"/>
          <w:szCs w:val="32"/>
          <w:highlight w:val="none"/>
          <w:lang w:eastAsia="zh-CN" w:bidi="ar-SA"/>
        </w:rPr>
        <w:t>、提升资金绩效等</w:t>
      </w:r>
      <w:r>
        <w:rPr>
          <w:rFonts w:ascii="Times New Roman" w:hAnsi="Times New Roman" w:eastAsia="仿宋" w:cs="Times New Roman"/>
          <w:sz w:val="32"/>
          <w:szCs w:val="32"/>
          <w:highlight w:val="none"/>
          <w:lang w:bidi="ar-SA"/>
        </w:rPr>
        <w:t>具体要求，明确我市202</w:t>
      </w:r>
      <w:r>
        <w:rPr>
          <w:rFonts w:ascii="Times New Roman" w:hAnsi="Times New Roman" w:eastAsia="仿宋" w:cs="Times New Roman"/>
          <w:sz w:val="32"/>
          <w:szCs w:val="32"/>
          <w:highlight w:val="none"/>
          <w:lang w:val="en-US" w:eastAsia="zh-CN" w:bidi="ar-SA"/>
        </w:rPr>
        <w:t>3</w:t>
      </w:r>
      <w:r>
        <w:rPr>
          <w:rFonts w:ascii="Times New Roman" w:hAnsi="Times New Roman" w:eastAsia="仿宋" w:cs="Times New Roman"/>
          <w:sz w:val="32"/>
          <w:szCs w:val="32"/>
          <w:highlight w:val="none"/>
          <w:lang w:bidi="ar-SA"/>
        </w:rPr>
        <w:t>年度涉农资金支持的重点方向，审定省级涉农资金拟报备项目和区域绩效目标、市级涉农资金分配方案，拟报省申请补助项目等</w:t>
      </w:r>
      <w:r>
        <w:rPr>
          <w:rFonts w:ascii="Times New Roman" w:hAnsi="Times New Roman" w:eastAsia="仿宋" w:cs="Times New Roman"/>
          <w:sz w:val="32"/>
          <w:szCs w:val="32"/>
          <w:highlight w:val="none"/>
          <w:lang w:eastAsia="zh-CN" w:bidi="ar-SA"/>
        </w:rPr>
        <w:t>，强化资金统筹管理，纵深推进涉农资金</w:t>
      </w:r>
      <w:r>
        <w:rPr>
          <w:rFonts w:ascii="Times New Roman" w:hAnsi="Times New Roman" w:eastAsia="仿宋" w:cs="Times New Roman"/>
          <w:sz w:val="32"/>
          <w:szCs w:val="32"/>
          <w:highlight w:val="none"/>
          <w:lang w:bidi="ar-SA"/>
        </w:rPr>
        <w:t>统筹整合改革。</w:t>
      </w:r>
    </w:p>
    <w:p>
      <w:pPr>
        <w:pStyle w:val="16"/>
        <w:keepNext w:val="0"/>
        <w:keepLines w:val="0"/>
        <w:pageBreakBefore w:val="0"/>
        <w:widowControl w:val="0"/>
        <w:numPr>
          <w:ilvl w:val="0"/>
          <w:numId w:val="1"/>
        </w:numPr>
        <w:kinsoku/>
        <w:wordWrap/>
        <w:overflowPunct/>
        <w:topLinePunct w:val="0"/>
        <w:autoSpaceDE/>
        <w:autoSpaceDN/>
        <w:bidi w:val="0"/>
        <w:snapToGrid w:val="0"/>
        <w:spacing w:line="560" w:lineRule="exact"/>
        <w:ind w:left="0" w:leftChars="0" w:firstLine="640" w:firstLineChars="200"/>
        <w:textAlignment w:val="auto"/>
        <w:rPr>
          <w:rFonts w:hint="eastAsia" w:eastAsia="楷体" w:cs="Times New Roman"/>
          <w:sz w:val="32"/>
          <w:szCs w:val="32"/>
          <w:highlight w:val="none"/>
          <w:lang w:bidi="ar-SA"/>
        </w:rPr>
      </w:pPr>
      <w:r>
        <w:rPr>
          <w:rFonts w:hint="eastAsia" w:eastAsia="楷体" w:cs="Times New Roman"/>
          <w:sz w:val="32"/>
          <w:szCs w:val="32"/>
          <w:highlight w:val="none"/>
          <w:lang w:bidi="ar-SA"/>
        </w:rPr>
        <w:t>遵循资金分配原则，突出项目投入重点。</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hint="eastAsia" w:eastAsia="仿宋"/>
          <w:sz w:val="32"/>
          <w:szCs w:val="32"/>
          <w:highlight w:val="none"/>
        </w:rPr>
      </w:pPr>
      <w:r>
        <w:rPr>
          <w:rFonts w:hint="eastAsia" w:eastAsia="仿宋"/>
          <w:sz w:val="32"/>
          <w:szCs w:val="32"/>
          <w:highlight w:val="none"/>
        </w:rPr>
        <w:t>我市涉农资金分配坚持按照集中财力办大事的原则，聚焦我市乡村振兴短板弱项，</w:t>
      </w:r>
      <w:r>
        <w:rPr>
          <w:rFonts w:hint="eastAsia" w:eastAsia="仿宋"/>
          <w:sz w:val="32"/>
          <w:szCs w:val="32"/>
          <w:highlight w:val="none"/>
          <w:lang w:eastAsia="zh-CN"/>
        </w:rPr>
        <w:t>结合“百千万工程”建设，</w:t>
      </w:r>
      <w:r>
        <w:rPr>
          <w:rFonts w:hint="eastAsia" w:eastAsia="仿宋"/>
          <w:sz w:val="32"/>
          <w:szCs w:val="32"/>
          <w:highlight w:val="none"/>
        </w:rPr>
        <w:t>在经省联合审查通过的项目中，在</w:t>
      </w:r>
      <w:r>
        <w:rPr>
          <w:rFonts w:hint="eastAsia" w:eastAsia="仿宋"/>
          <w:sz w:val="32"/>
          <w:szCs w:val="32"/>
          <w:highlight w:val="none"/>
          <w:lang w:eastAsia="zh-CN"/>
        </w:rPr>
        <w:t>优先</w:t>
      </w:r>
      <w:r>
        <w:rPr>
          <w:rFonts w:hint="eastAsia" w:eastAsia="仿宋"/>
          <w:sz w:val="32"/>
          <w:szCs w:val="32"/>
          <w:highlight w:val="none"/>
        </w:rPr>
        <w:t>保障省涉农领域考核任务的前提下，根据可实施条件选择实施项目</w:t>
      </w:r>
      <w:r>
        <w:rPr>
          <w:rFonts w:hint="eastAsia" w:eastAsia="仿宋"/>
          <w:sz w:val="32"/>
          <w:szCs w:val="32"/>
          <w:highlight w:val="none"/>
          <w:lang w:eastAsia="zh-CN"/>
        </w:rPr>
        <w:t>，</w:t>
      </w:r>
      <w:r>
        <w:rPr>
          <w:rFonts w:hint="eastAsia" w:eastAsia="仿宋"/>
          <w:sz w:val="32"/>
          <w:szCs w:val="32"/>
          <w:highlight w:val="none"/>
        </w:rPr>
        <w:t>重点推进</w:t>
      </w:r>
      <w:r>
        <w:rPr>
          <w:rFonts w:hint="eastAsia" w:eastAsia="仿宋"/>
          <w:sz w:val="32"/>
          <w:szCs w:val="32"/>
          <w:highlight w:val="none"/>
          <w:lang w:val="en-US" w:eastAsia="zh-CN"/>
        </w:rPr>
        <w:t>村庄基础设施建设、河湖长制类水利工程等项目</w:t>
      </w:r>
      <w:r>
        <w:rPr>
          <w:rFonts w:hint="eastAsia" w:eastAsia="仿宋"/>
          <w:sz w:val="32"/>
          <w:szCs w:val="32"/>
          <w:highlight w:val="none"/>
        </w:rPr>
        <w:t>。</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hint="eastAsia" w:eastAsia="仿宋"/>
          <w:sz w:val="32"/>
          <w:szCs w:val="32"/>
          <w:highlight w:val="none"/>
          <w:lang w:eastAsia="zh-CN"/>
        </w:rPr>
      </w:pPr>
      <w:r>
        <w:rPr>
          <w:rFonts w:hint="eastAsia" w:ascii="楷体" w:eastAsia="楷体" w:cs="楷体"/>
          <w:sz w:val="32"/>
          <w:szCs w:val="32"/>
          <w:highlight w:val="none"/>
          <w:lang w:eastAsia="zh-CN" w:bidi="ar-SA"/>
        </w:rPr>
        <w:t>（三）</w:t>
      </w:r>
      <w:r>
        <w:rPr>
          <w:rFonts w:hint="eastAsia" w:ascii="Times New Roman" w:hAnsi="Times New Roman" w:eastAsia="楷体" w:cs="Times New Roman"/>
          <w:kern w:val="2"/>
          <w:sz w:val="32"/>
          <w:szCs w:val="32"/>
          <w:highlight w:val="none"/>
          <w:lang w:val="en-US" w:eastAsia="zh-CN" w:bidi="ar-SA"/>
        </w:rPr>
        <w:t>资金使用精准规范，项目实施效果显著。</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eastAsia="仿宋"/>
          <w:sz w:val="32"/>
          <w:szCs w:val="32"/>
          <w:highlight w:val="none"/>
        </w:rPr>
      </w:pPr>
      <w:r>
        <w:rPr>
          <w:rFonts w:eastAsia="仿宋"/>
          <w:sz w:val="32"/>
          <w:szCs w:val="32"/>
          <w:highlight w:val="none"/>
        </w:rPr>
        <w:t>我市按照涉农资金管理要求和使用范围报备拟实施项目，严格执行项目安排和调整报备制度。市涉农办主动发挥牵头抓总作用，督促加快资金落实到具体项目，形成有效投资。市、县（区）级各涉农业务主管部门按照职责分工，加快组织行业内项目实施，强化监督管理，按计划完成项目投资计划和组织竣工验收，项目实施效果较好。</w:t>
      </w:r>
    </w:p>
    <w:p>
      <w:pPr>
        <w:pStyle w:val="18"/>
        <w:keepNext w:val="0"/>
        <w:keepLines w:val="0"/>
        <w:pageBreakBefore w:val="0"/>
        <w:widowControl w:val="0"/>
        <w:pBdr>
          <w:bottom w:val="single" w:color="FFFFFF" w:sz="4" w:space="31"/>
        </w:pBdr>
        <w:tabs>
          <w:tab w:val="left" w:pos="0"/>
        </w:tabs>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_GB2312" w:eastAsia="黑体" w:cs="仿宋_GB2312"/>
          <w:kern w:val="2"/>
          <w:sz w:val="32"/>
          <w:szCs w:val="32"/>
          <w:highlight w:val="none"/>
          <w:lang w:val="en-US" w:eastAsia="zh-CN" w:bidi="ar-SA"/>
        </w:rPr>
      </w:pPr>
      <w:r>
        <w:rPr>
          <w:rFonts w:ascii="仿宋_GB2312" w:hAnsi="仿宋_GB2312" w:eastAsia="黑体" w:cs="仿宋_GB2312"/>
          <w:kern w:val="2"/>
          <w:sz w:val="32"/>
          <w:szCs w:val="32"/>
          <w:highlight w:val="none"/>
          <w:lang w:val="en-US" w:eastAsia="zh-CN" w:bidi="ar-SA"/>
        </w:rPr>
        <w:t>二、涉农资金预算及区域绩效目标分解下达情况</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hint="eastAsia" w:ascii="Times New Roman" w:hAnsi="Times New Roman" w:eastAsia="楷体" w:cs="Times New Roman"/>
          <w:kern w:val="2"/>
          <w:sz w:val="32"/>
          <w:szCs w:val="32"/>
          <w:highlight w:val="none"/>
          <w:lang w:val="en-US" w:eastAsia="zh-CN" w:bidi="ar-SA"/>
        </w:rPr>
      </w:pPr>
      <w:r>
        <w:rPr>
          <w:rFonts w:hint="eastAsia" w:eastAsia="楷体"/>
          <w:sz w:val="32"/>
          <w:szCs w:val="30"/>
          <w:highlight w:val="none"/>
          <w:lang w:eastAsia="zh-CN"/>
        </w:rPr>
        <w:t>（一）</w:t>
      </w:r>
      <w:r>
        <w:rPr>
          <w:rFonts w:hint="eastAsia" w:ascii="Times New Roman" w:hAnsi="Times New Roman" w:eastAsia="楷体" w:cs="Times New Roman"/>
          <w:kern w:val="2"/>
          <w:sz w:val="32"/>
          <w:szCs w:val="32"/>
          <w:highlight w:val="none"/>
          <w:lang w:val="en-US" w:eastAsia="zh-CN" w:bidi="ar-SA"/>
        </w:rPr>
        <w:t>资金分配安排情况。</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eastAsia="仿宋"/>
          <w:sz w:val="32"/>
          <w:szCs w:val="32"/>
          <w:highlight w:val="none"/>
        </w:rPr>
      </w:pPr>
      <w:r>
        <w:rPr>
          <w:rFonts w:eastAsia="仿宋"/>
          <w:sz w:val="32"/>
          <w:szCs w:val="32"/>
          <w:highlight w:val="none"/>
        </w:rPr>
        <w:t>2022年12月，省财政厅以粤财农〔2022〕189号文提前下达我市2023年涉农统筹整合资金共计51</w:t>
      </w:r>
      <w:r>
        <w:rPr>
          <w:rFonts w:hint="eastAsia" w:eastAsia="仿宋"/>
          <w:sz w:val="32"/>
          <w:szCs w:val="32"/>
          <w:highlight w:val="none"/>
          <w:lang w:val="en-US" w:eastAsia="zh-CN"/>
        </w:rPr>
        <w:t>,</w:t>
      </w:r>
      <w:r>
        <w:rPr>
          <w:rFonts w:eastAsia="仿宋"/>
          <w:sz w:val="32"/>
          <w:szCs w:val="32"/>
          <w:highlight w:val="none"/>
        </w:rPr>
        <w:t>710万元，其中农村公路资金12</w:t>
      </w:r>
      <w:r>
        <w:rPr>
          <w:rFonts w:hint="eastAsia" w:eastAsia="仿宋"/>
          <w:sz w:val="32"/>
          <w:szCs w:val="32"/>
          <w:highlight w:val="none"/>
          <w:lang w:val="en-US" w:eastAsia="zh-CN"/>
        </w:rPr>
        <w:t>,</w:t>
      </w:r>
      <w:r>
        <w:rPr>
          <w:rFonts w:eastAsia="仿宋"/>
          <w:sz w:val="32"/>
          <w:szCs w:val="32"/>
          <w:highlight w:val="none"/>
        </w:rPr>
        <w:t>576万元、农业保险补贴资金11</w:t>
      </w:r>
      <w:r>
        <w:rPr>
          <w:rFonts w:hint="eastAsia" w:eastAsia="仿宋"/>
          <w:sz w:val="32"/>
          <w:szCs w:val="32"/>
          <w:highlight w:val="none"/>
          <w:lang w:val="en-US" w:eastAsia="zh-CN"/>
        </w:rPr>
        <w:t>,</w:t>
      </w:r>
      <w:r>
        <w:rPr>
          <w:rFonts w:eastAsia="仿宋"/>
          <w:sz w:val="32"/>
          <w:szCs w:val="32"/>
          <w:highlight w:val="none"/>
        </w:rPr>
        <w:t>998万元、病险水库除险加固补助资金918万元、林分林相改造资金5</w:t>
      </w:r>
      <w:r>
        <w:rPr>
          <w:rFonts w:hint="eastAsia" w:eastAsia="仿宋"/>
          <w:sz w:val="32"/>
          <w:szCs w:val="32"/>
          <w:highlight w:val="none"/>
          <w:lang w:val="en-US" w:eastAsia="zh-CN"/>
        </w:rPr>
        <w:t>,</w:t>
      </w:r>
      <w:r>
        <w:rPr>
          <w:rFonts w:eastAsia="仿宋"/>
          <w:sz w:val="32"/>
          <w:szCs w:val="32"/>
          <w:highlight w:val="none"/>
        </w:rPr>
        <w:t>754万元、小型水库移民扶助资金787万元、大中型水库库区基金180万元、农业土地开发资金740万元、其他涉农资金18</w:t>
      </w:r>
      <w:r>
        <w:rPr>
          <w:rFonts w:hint="eastAsia" w:eastAsia="仿宋"/>
          <w:sz w:val="32"/>
          <w:szCs w:val="32"/>
          <w:highlight w:val="none"/>
          <w:lang w:val="en-US" w:eastAsia="zh-CN"/>
        </w:rPr>
        <w:t>,</w:t>
      </w:r>
      <w:r>
        <w:rPr>
          <w:rFonts w:eastAsia="仿宋"/>
          <w:sz w:val="32"/>
          <w:szCs w:val="32"/>
          <w:highlight w:val="none"/>
        </w:rPr>
        <w:t>757万元。市财政局于2022年12月29日以惠财农〔2022〕145号文及时转下达资金至县（区），于2023年2月21日以惠财农〔2023〕14号文分配市本级资金。</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eastAsia="仿宋"/>
          <w:sz w:val="32"/>
          <w:szCs w:val="32"/>
          <w:highlight w:val="none"/>
        </w:rPr>
      </w:pPr>
      <w:r>
        <w:rPr>
          <w:rFonts w:eastAsia="仿宋"/>
          <w:sz w:val="32"/>
          <w:szCs w:val="32"/>
          <w:highlight w:val="none"/>
        </w:rPr>
        <w:t>2023年10月，省财政厅以粤财农〔2023〕152号文件明确：在2023年提前下达的省级统筹整合涉农资金中，单列安排我市高标准农田建设补助2</w:t>
      </w:r>
      <w:r>
        <w:rPr>
          <w:rFonts w:hint="eastAsia" w:eastAsia="仿宋"/>
          <w:sz w:val="32"/>
          <w:szCs w:val="32"/>
          <w:highlight w:val="none"/>
          <w:lang w:val="en-US" w:eastAsia="zh-CN"/>
        </w:rPr>
        <w:t>,</w:t>
      </w:r>
      <w:r>
        <w:rPr>
          <w:rFonts w:eastAsia="仿宋"/>
          <w:sz w:val="32"/>
          <w:szCs w:val="32"/>
          <w:highlight w:val="none"/>
        </w:rPr>
        <w:t>802.86万元，同时收回惠东县、龙门县高标准农田建设补助470.65万元，即我市实际收到2023年省级涉农统筹整合资金共计51</w:t>
      </w:r>
      <w:r>
        <w:rPr>
          <w:rFonts w:hint="eastAsia" w:eastAsia="仿宋"/>
          <w:sz w:val="32"/>
          <w:szCs w:val="32"/>
          <w:highlight w:val="none"/>
          <w:lang w:val="en-US" w:eastAsia="zh-CN"/>
        </w:rPr>
        <w:t>,</w:t>
      </w:r>
      <w:r>
        <w:rPr>
          <w:rFonts w:eastAsia="仿宋"/>
          <w:sz w:val="32"/>
          <w:szCs w:val="32"/>
          <w:highlight w:val="none"/>
        </w:rPr>
        <w:t>239.35万元。</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eastAsia="仿宋"/>
          <w:sz w:val="32"/>
          <w:szCs w:val="32"/>
          <w:highlight w:val="none"/>
        </w:rPr>
      </w:pPr>
      <w:r>
        <w:rPr>
          <w:rFonts w:eastAsia="仿宋"/>
          <w:sz w:val="32"/>
          <w:szCs w:val="32"/>
          <w:highlight w:val="none"/>
        </w:rPr>
        <w:t>2023年省级统筹整合涉农资金51</w:t>
      </w:r>
      <w:r>
        <w:rPr>
          <w:rFonts w:hint="eastAsia" w:eastAsia="仿宋"/>
          <w:sz w:val="32"/>
          <w:szCs w:val="32"/>
          <w:highlight w:val="none"/>
          <w:lang w:val="en-US" w:eastAsia="zh-CN"/>
        </w:rPr>
        <w:t>,</w:t>
      </w:r>
      <w:r>
        <w:rPr>
          <w:rFonts w:eastAsia="仿宋"/>
          <w:sz w:val="32"/>
          <w:szCs w:val="32"/>
          <w:highlight w:val="none"/>
        </w:rPr>
        <w:t>239.35万元实际分配安排情况：农村公路资金12</w:t>
      </w:r>
      <w:r>
        <w:rPr>
          <w:rFonts w:hint="eastAsia" w:eastAsia="仿宋"/>
          <w:sz w:val="32"/>
          <w:szCs w:val="32"/>
          <w:highlight w:val="none"/>
          <w:lang w:val="en-US" w:eastAsia="zh-CN"/>
        </w:rPr>
        <w:t>,</w:t>
      </w:r>
      <w:r>
        <w:rPr>
          <w:rFonts w:eastAsia="仿宋"/>
          <w:sz w:val="32"/>
          <w:szCs w:val="32"/>
          <w:highlight w:val="none"/>
        </w:rPr>
        <w:t>576万元，农业保险补贴资金12</w:t>
      </w:r>
      <w:r>
        <w:rPr>
          <w:rFonts w:hint="eastAsia" w:eastAsia="仿宋"/>
          <w:sz w:val="32"/>
          <w:szCs w:val="32"/>
          <w:highlight w:val="none"/>
          <w:lang w:val="en-US" w:eastAsia="zh-CN"/>
        </w:rPr>
        <w:t>,</w:t>
      </w:r>
      <w:r>
        <w:rPr>
          <w:rFonts w:eastAsia="仿宋"/>
          <w:sz w:val="32"/>
          <w:szCs w:val="32"/>
          <w:highlight w:val="none"/>
        </w:rPr>
        <w:t>110.91万元，病险水库除险加固补助资金1</w:t>
      </w:r>
      <w:r>
        <w:rPr>
          <w:rFonts w:hint="eastAsia" w:eastAsia="仿宋"/>
          <w:sz w:val="32"/>
          <w:szCs w:val="32"/>
          <w:highlight w:val="none"/>
          <w:lang w:val="en-US" w:eastAsia="zh-CN"/>
        </w:rPr>
        <w:t>,</w:t>
      </w:r>
      <w:r>
        <w:rPr>
          <w:rFonts w:eastAsia="仿宋"/>
          <w:sz w:val="32"/>
          <w:szCs w:val="32"/>
          <w:highlight w:val="none"/>
        </w:rPr>
        <w:t>818万元，林分林相改造资金6</w:t>
      </w:r>
      <w:r>
        <w:rPr>
          <w:rFonts w:hint="eastAsia" w:eastAsia="仿宋"/>
          <w:sz w:val="32"/>
          <w:szCs w:val="32"/>
          <w:highlight w:val="none"/>
          <w:lang w:val="en-US" w:eastAsia="zh-CN"/>
        </w:rPr>
        <w:t>,</w:t>
      </w:r>
      <w:r>
        <w:rPr>
          <w:rFonts w:eastAsia="仿宋"/>
          <w:sz w:val="32"/>
          <w:szCs w:val="32"/>
          <w:highlight w:val="none"/>
        </w:rPr>
        <w:t>180.4</w:t>
      </w:r>
      <w:r>
        <w:rPr>
          <w:rFonts w:hint="eastAsia" w:eastAsia="仿宋"/>
          <w:sz w:val="32"/>
          <w:szCs w:val="32"/>
          <w:highlight w:val="none"/>
          <w:lang w:val="en-US" w:eastAsia="zh-CN"/>
        </w:rPr>
        <w:t>5</w:t>
      </w:r>
      <w:r>
        <w:rPr>
          <w:rFonts w:eastAsia="仿宋"/>
          <w:sz w:val="32"/>
          <w:szCs w:val="32"/>
          <w:highlight w:val="none"/>
        </w:rPr>
        <w:t>万元，高标准农田建设资金3</w:t>
      </w:r>
      <w:r>
        <w:rPr>
          <w:rFonts w:hint="eastAsia" w:eastAsia="仿宋"/>
          <w:sz w:val="32"/>
          <w:szCs w:val="32"/>
          <w:highlight w:val="none"/>
          <w:lang w:val="en-US" w:eastAsia="zh-CN"/>
        </w:rPr>
        <w:t>,</w:t>
      </w:r>
      <w:r>
        <w:rPr>
          <w:rFonts w:eastAsia="仿宋"/>
          <w:sz w:val="32"/>
          <w:szCs w:val="32"/>
          <w:highlight w:val="none"/>
        </w:rPr>
        <w:t>989.4</w:t>
      </w:r>
      <w:r>
        <w:rPr>
          <w:rFonts w:hint="eastAsia" w:eastAsia="仿宋"/>
          <w:sz w:val="32"/>
          <w:szCs w:val="32"/>
          <w:highlight w:val="none"/>
          <w:lang w:val="en-US" w:eastAsia="zh-CN"/>
        </w:rPr>
        <w:t>3</w:t>
      </w:r>
      <w:r>
        <w:rPr>
          <w:rFonts w:eastAsia="仿宋"/>
          <w:sz w:val="32"/>
          <w:szCs w:val="32"/>
          <w:highlight w:val="none"/>
        </w:rPr>
        <w:t>万元，农业方面的村庄基础设施建设等9</w:t>
      </w:r>
      <w:r>
        <w:rPr>
          <w:rFonts w:hint="eastAsia" w:eastAsia="仿宋"/>
          <w:sz w:val="32"/>
          <w:szCs w:val="32"/>
          <w:highlight w:val="none"/>
          <w:lang w:eastAsia="zh-CN"/>
        </w:rPr>
        <w:t>类</w:t>
      </w:r>
      <w:r>
        <w:rPr>
          <w:rFonts w:eastAsia="仿宋"/>
          <w:sz w:val="32"/>
          <w:szCs w:val="32"/>
          <w:highlight w:val="none"/>
        </w:rPr>
        <w:t>项目资金3</w:t>
      </w:r>
      <w:r>
        <w:rPr>
          <w:rFonts w:hint="eastAsia" w:eastAsia="仿宋"/>
          <w:sz w:val="32"/>
          <w:szCs w:val="32"/>
          <w:highlight w:val="none"/>
          <w:lang w:val="en-US" w:eastAsia="zh-CN"/>
        </w:rPr>
        <w:t>,</w:t>
      </w:r>
      <w:r>
        <w:rPr>
          <w:rFonts w:eastAsia="仿宋"/>
          <w:sz w:val="32"/>
          <w:szCs w:val="32"/>
          <w:highlight w:val="none"/>
        </w:rPr>
        <w:t>749.77万元，水利方面的全面推进河长制湖长制等6类项目资金3</w:t>
      </w:r>
      <w:r>
        <w:rPr>
          <w:rFonts w:hint="eastAsia" w:eastAsia="仿宋"/>
          <w:sz w:val="32"/>
          <w:szCs w:val="32"/>
          <w:highlight w:val="none"/>
          <w:lang w:val="en-US" w:eastAsia="zh-CN"/>
        </w:rPr>
        <w:t>,</w:t>
      </w:r>
      <w:r>
        <w:rPr>
          <w:rFonts w:eastAsia="仿宋"/>
          <w:sz w:val="32"/>
          <w:szCs w:val="32"/>
          <w:highlight w:val="none"/>
        </w:rPr>
        <w:t>822.96万元，水库移民后期扶持项目资金967万元，永久基本农田保护资金1</w:t>
      </w:r>
      <w:r>
        <w:rPr>
          <w:rFonts w:hint="eastAsia" w:eastAsia="仿宋"/>
          <w:sz w:val="32"/>
          <w:szCs w:val="32"/>
          <w:highlight w:val="none"/>
          <w:lang w:val="en-US" w:eastAsia="zh-CN"/>
        </w:rPr>
        <w:t>,</w:t>
      </w:r>
      <w:r>
        <w:rPr>
          <w:rFonts w:eastAsia="仿宋"/>
          <w:sz w:val="32"/>
          <w:szCs w:val="32"/>
          <w:highlight w:val="none"/>
        </w:rPr>
        <w:t>781.63万元，农村生活污水治理资金943.2万元，乡村生活垃圾治理项目资金1</w:t>
      </w:r>
      <w:r>
        <w:rPr>
          <w:rFonts w:hint="eastAsia" w:eastAsia="仿宋"/>
          <w:sz w:val="32"/>
          <w:szCs w:val="32"/>
          <w:highlight w:val="none"/>
          <w:lang w:val="en-US" w:eastAsia="zh-CN"/>
        </w:rPr>
        <w:t>,</w:t>
      </w:r>
      <w:r>
        <w:rPr>
          <w:rFonts w:eastAsia="仿宋"/>
          <w:sz w:val="32"/>
          <w:szCs w:val="32"/>
          <w:highlight w:val="none"/>
        </w:rPr>
        <w:t>300万元，巨灾保险省级财政补贴资金2</w:t>
      </w:r>
      <w:r>
        <w:rPr>
          <w:rFonts w:hint="eastAsia" w:eastAsia="仿宋"/>
          <w:sz w:val="32"/>
          <w:szCs w:val="32"/>
          <w:highlight w:val="none"/>
          <w:lang w:val="en-US" w:eastAsia="zh-CN"/>
        </w:rPr>
        <w:t>,</w:t>
      </w:r>
      <w:r>
        <w:rPr>
          <w:rFonts w:eastAsia="仿宋"/>
          <w:sz w:val="32"/>
          <w:szCs w:val="32"/>
          <w:highlight w:val="none"/>
        </w:rPr>
        <w:t>000万元。</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hint="eastAsia" w:ascii="楷体" w:eastAsia="楷体" w:cs="楷体"/>
          <w:sz w:val="32"/>
          <w:szCs w:val="30"/>
          <w:highlight w:val="none"/>
          <w:lang w:bidi="ar-SA"/>
        </w:rPr>
      </w:pPr>
      <w:r>
        <w:rPr>
          <w:rFonts w:hint="eastAsia" w:ascii="楷体" w:eastAsia="楷体" w:cs="楷体"/>
          <w:sz w:val="32"/>
          <w:szCs w:val="32"/>
          <w:highlight w:val="none"/>
          <w:lang w:eastAsia="zh-CN" w:bidi="ar-SA"/>
        </w:rPr>
        <w:t>（二）</w:t>
      </w:r>
      <w:r>
        <w:rPr>
          <w:rFonts w:hint="eastAsia" w:ascii="楷体" w:eastAsia="楷体" w:cs="楷体"/>
          <w:sz w:val="32"/>
          <w:szCs w:val="30"/>
          <w:highlight w:val="none"/>
          <w:lang w:bidi="ar-SA"/>
        </w:rPr>
        <w:t>项目报备和</w:t>
      </w:r>
      <w:r>
        <w:rPr>
          <w:rFonts w:hint="eastAsia" w:ascii="楷体" w:eastAsia="楷体" w:cs="楷体"/>
          <w:sz w:val="32"/>
          <w:szCs w:val="30"/>
          <w:highlight w:val="none"/>
          <w:lang w:eastAsia="zh-CN" w:bidi="ar-SA"/>
        </w:rPr>
        <w:t>区域绩效目标</w:t>
      </w:r>
      <w:r>
        <w:rPr>
          <w:rFonts w:hint="eastAsia" w:ascii="楷体" w:eastAsia="楷体" w:cs="楷体"/>
          <w:sz w:val="32"/>
          <w:szCs w:val="30"/>
          <w:highlight w:val="none"/>
          <w:lang w:bidi="ar-SA"/>
        </w:rPr>
        <w:t>下达情况。</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ascii="Times New Roman" w:hAnsi="Times New Roman" w:eastAsia="仿宋" w:cs="Times New Roman"/>
          <w:sz w:val="32"/>
          <w:szCs w:val="32"/>
          <w:highlight w:val="none"/>
          <w:lang w:eastAsia="zh-CN" w:bidi="ar-SA"/>
        </w:rPr>
      </w:pPr>
      <w:r>
        <w:rPr>
          <w:rFonts w:ascii="Times New Roman" w:hAnsi="Times New Roman" w:eastAsia="仿宋" w:cs="Times New Roman"/>
          <w:sz w:val="32"/>
          <w:szCs w:val="32"/>
          <w:highlight w:val="none"/>
          <w:lang w:bidi="ar-SA"/>
        </w:rPr>
        <w:t>2022年12月29日—2023年1月7日，各县（区）陆续向市级报送</w:t>
      </w:r>
      <w:r>
        <w:rPr>
          <w:rFonts w:hint="eastAsia" w:eastAsia="仿宋" w:cs="Times New Roman"/>
          <w:sz w:val="32"/>
          <w:szCs w:val="32"/>
          <w:highlight w:val="none"/>
          <w:lang w:val="en-US" w:eastAsia="zh-CN" w:bidi="ar-SA"/>
        </w:rPr>
        <w:t>2023年</w:t>
      </w:r>
      <w:r>
        <w:rPr>
          <w:rFonts w:hint="eastAsia" w:eastAsia="仿宋" w:cs="Times New Roman"/>
          <w:sz w:val="32"/>
          <w:szCs w:val="32"/>
          <w:highlight w:val="none"/>
          <w:lang w:eastAsia="zh-CN" w:bidi="ar-SA"/>
        </w:rPr>
        <w:t>省级涉农统筹整合</w:t>
      </w:r>
      <w:r>
        <w:rPr>
          <w:rFonts w:ascii="Times New Roman" w:hAnsi="Times New Roman" w:eastAsia="仿宋" w:cs="Times New Roman"/>
          <w:sz w:val="32"/>
          <w:szCs w:val="32"/>
          <w:highlight w:val="none"/>
          <w:lang w:bidi="ar-SA"/>
        </w:rPr>
        <w:t>资金分配方案（即拟实施项目明细）和区域绩效目标。2023年2月14日，市涉农资金统筹整合领导小组召开会议对全市资金分配方案、区域绩效目标进行审议并原则通过。市涉农办于当日完成向省级报备工作，并于2月21日将资金分配下达至市本级相</w:t>
      </w:r>
      <w:r>
        <w:rPr>
          <w:rFonts w:ascii="Times New Roman" w:hAnsi="Times New Roman" w:eastAsia="仿宋" w:cs="Times New Roman"/>
          <w:sz w:val="32"/>
          <w:szCs w:val="32"/>
          <w:highlight w:val="none"/>
          <w:lang w:eastAsia="zh-CN" w:bidi="ar-SA"/>
        </w:rPr>
        <w:t>关部门和各县（区），同步批复下达区域绩效目标。</w:t>
      </w:r>
    </w:p>
    <w:p>
      <w:pPr>
        <w:pStyle w:val="18"/>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hint="eastAsia" w:ascii="黑体" w:eastAsia="黑体" w:cs="黑体"/>
          <w:sz w:val="32"/>
          <w:szCs w:val="32"/>
          <w:highlight w:val="none"/>
          <w:lang w:eastAsia="zh-CN" w:bidi="ar-SA"/>
        </w:rPr>
      </w:pPr>
      <w:r>
        <w:rPr>
          <w:rFonts w:hint="eastAsia" w:ascii="黑体" w:eastAsia="黑体" w:cs="黑体"/>
          <w:sz w:val="32"/>
          <w:szCs w:val="32"/>
          <w:highlight w:val="none"/>
          <w:lang w:eastAsia="zh-CN" w:bidi="ar-SA"/>
        </w:rPr>
        <w:t>绩效目标完成情况分析</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ascii="Times New Roman" w:hAnsi="Times New Roman" w:eastAsia="仿宋" w:cs="Times New Roman"/>
          <w:sz w:val="32"/>
          <w:szCs w:val="32"/>
          <w:highlight w:val="none"/>
          <w:lang w:eastAsia="zh-CN" w:bidi="ar-SA"/>
        </w:rPr>
      </w:pPr>
      <w:r>
        <w:rPr>
          <w:rFonts w:ascii="Times New Roman" w:hAnsi="Times New Roman" w:eastAsia="仿宋" w:cs="Times New Roman"/>
          <w:sz w:val="32"/>
          <w:szCs w:val="32"/>
          <w:highlight w:val="none"/>
          <w:lang w:eastAsia="zh-CN" w:bidi="ar-SA"/>
        </w:rPr>
        <w:t>按照省财政厅要求，此次绩效自评的资金不包含农村公路资金、农业保险补贴资金、病险水库除险加固补助资金、林分林相改造资金和高标准农田建设资金等五类单列资金，剔除后需绩效自评资金金额14</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eastAsia="zh-CN" w:bidi="ar-SA"/>
        </w:rPr>
        <w:t>564.56万元（即农业方面的村庄基础设施建设等9</w:t>
      </w:r>
      <w:r>
        <w:rPr>
          <w:rFonts w:hint="eastAsia" w:eastAsia="仿宋" w:cs="Times New Roman"/>
          <w:sz w:val="32"/>
          <w:szCs w:val="32"/>
          <w:highlight w:val="none"/>
          <w:lang w:eastAsia="zh-CN" w:bidi="ar-SA"/>
        </w:rPr>
        <w:t>类</w:t>
      </w:r>
      <w:r>
        <w:rPr>
          <w:rFonts w:ascii="Times New Roman" w:hAnsi="Times New Roman" w:eastAsia="仿宋" w:cs="Times New Roman"/>
          <w:sz w:val="32"/>
          <w:szCs w:val="32"/>
          <w:highlight w:val="none"/>
          <w:lang w:eastAsia="zh-CN" w:bidi="ar-SA"/>
        </w:rPr>
        <w:t>项目资金3</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eastAsia="zh-CN" w:bidi="ar-SA"/>
        </w:rPr>
        <w:t>749.77万元、水利方面的全面推进河长制湖长制等6类项目资金3</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eastAsia="zh-CN" w:bidi="ar-SA"/>
        </w:rPr>
        <w:t>822.96万元、水库移民后期扶持项目资金967万元、永久基本农田保护资金1</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eastAsia="zh-CN" w:bidi="ar-SA"/>
        </w:rPr>
        <w:t>781.63万元、农村生活污水治理资金943.2万元、乡村生活垃圾治理项目资金1</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eastAsia="zh-CN" w:bidi="ar-SA"/>
        </w:rPr>
        <w:t>300万元、巨灾保险省级财政补贴资金2</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eastAsia="zh-CN" w:bidi="ar-SA"/>
        </w:rPr>
        <w:t>000万元），以及相应项目的其他涉农资金（含中央、市县等资金）</w:t>
      </w:r>
      <w:r>
        <w:rPr>
          <w:rFonts w:ascii="Times New Roman" w:hAnsi="Times New Roman" w:eastAsia="仿宋" w:cs="Times New Roman"/>
          <w:sz w:val="32"/>
          <w:szCs w:val="32"/>
          <w:highlight w:val="none"/>
          <w:lang w:val="en-US" w:eastAsia="zh-CN" w:bidi="ar-SA"/>
        </w:rPr>
        <w:t>16</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val="en-US" w:eastAsia="zh-CN" w:bidi="ar-SA"/>
        </w:rPr>
        <w:t>372.07</w:t>
      </w:r>
      <w:r>
        <w:rPr>
          <w:rFonts w:ascii="Times New Roman" w:hAnsi="Times New Roman" w:eastAsia="仿宋" w:cs="Times New Roman"/>
          <w:sz w:val="32"/>
          <w:szCs w:val="32"/>
          <w:highlight w:val="none"/>
          <w:lang w:eastAsia="zh-CN" w:bidi="ar-SA"/>
        </w:rPr>
        <w:t>万元，共计</w:t>
      </w:r>
      <w:r>
        <w:rPr>
          <w:rFonts w:ascii="Times New Roman" w:hAnsi="Times New Roman" w:eastAsia="仿宋" w:cs="Times New Roman"/>
          <w:sz w:val="32"/>
          <w:szCs w:val="32"/>
          <w:highlight w:val="none"/>
          <w:lang w:val="en-US" w:eastAsia="zh-CN" w:bidi="ar-SA"/>
        </w:rPr>
        <w:t>30</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val="en-US" w:eastAsia="zh-CN" w:bidi="ar-SA"/>
        </w:rPr>
        <w:t>936.63</w:t>
      </w:r>
      <w:r>
        <w:rPr>
          <w:rFonts w:ascii="Times New Roman" w:hAnsi="Times New Roman" w:eastAsia="仿宋" w:cs="Times New Roman"/>
          <w:sz w:val="32"/>
          <w:szCs w:val="32"/>
          <w:highlight w:val="none"/>
          <w:lang w:eastAsia="zh-CN" w:bidi="ar-SA"/>
        </w:rPr>
        <w:t>万元。</w:t>
      </w:r>
    </w:p>
    <w:p>
      <w:pPr>
        <w:pStyle w:val="18"/>
        <w:keepNext w:val="0"/>
        <w:keepLines w:val="0"/>
        <w:pageBreakBefore w:val="0"/>
        <w:widowControl w:val="0"/>
        <w:numPr>
          <w:ilvl w:val="0"/>
          <w:numId w:val="3"/>
        </w:numPr>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hint="eastAsia" w:ascii="楷体" w:eastAsia="楷体" w:cs="楷体"/>
          <w:sz w:val="32"/>
          <w:szCs w:val="32"/>
          <w:highlight w:val="none"/>
          <w:lang w:eastAsia="zh-CN" w:bidi="ar-SA"/>
        </w:rPr>
      </w:pPr>
      <w:r>
        <w:rPr>
          <w:rFonts w:hint="eastAsia" w:ascii="楷体" w:eastAsia="楷体" w:cs="楷体"/>
          <w:sz w:val="32"/>
          <w:szCs w:val="32"/>
          <w:highlight w:val="none"/>
          <w:lang w:eastAsia="zh-CN" w:bidi="ar-SA"/>
        </w:rPr>
        <w:t>资金投入情况分析</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ascii="Times New Roman" w:hAnsi="Times New Roman" w:eastAsia="仿宋" w:cs="Times New Roman"/>
          <w:sz w:val="32"/>
          <w:szCs w:val="32"/>
          <w:highlight w:val="none"/>
          <w:lang w:val="en-US" w:eastAsia="zh-CN" w:bidi="ar-SA"/>
        </w:rPr>
      </w:pPr>
      <w:r>
        <w:rPr>
          <w:rFonts w:hint="eastAsia" w:ascii="仿宋" w:eastAsia="仿宋" w:cs="仿宋"/>
          <w:sz w:val="32"/>
          <w:szCs w:val="32"/>
          <w:highlight w:val="none"/>
          <w:lang w:val="en-US" w:eastAsia="zh-CN" w:bidi="ar-SA"/>
        </w:rPr>
        <w:t>此次纳入绩效自评资金共</w:t>
      </w:r>
      <w:r>
        <w:rPr>
          <w:rFonts w:ascii="Times New Roman" w:hAnsi="Times New Roman" w:eastAsia="仿宋" w:cs="Times New Roman"/>
          <w:sz w:val="32"/>
          <w:szCs w:val="32"/>
          <w:highlight w:val="none"/>
          <w:lang w:val="en-US" w:eastAsia="zh-CN" w:bidi="ar-SA"/>
        </w:rPr>
        <w:t>计30</w:t>
      </w:r>
      <w:r>
        <w:rPr>
          <w:rFonts w:hint="eastAsia" w:eastAsia="仿宋"/>
          <w:sz w:val="32"/>
          <w:szCs w:val="32"/>
          <w:highlight w:val="none"/>
          <w:lang w:val="en-US" w:eastAsia="zh-CN"/>
        </w:rPr>
        <w:t>,</w:t>
      </w:r>
      <w:r>
        <w:rPr>
          <w:rFonts w:ascii="Times New Roman" w:hAnsi="Times New Roman" w:eastAsia="仿宋" w:cs="Times New Roman"/>
          <w:sz w:val="32"/>
          <w:szCs w:val="32"/>
          <w:highlight w:val="none"/>
          <w:lang w:val="en-US" w:eastAsia="zh-CN" w:bidi="ar-SA"/>
        </w:rPr>
        <w:t>936.63万元，截至2023年12月31日，共支出30</w:t>
      </w:r>
      <w:r>
        <w:rPr>
          <w:rFonts w:hint="eastAsia" w:eastAsia="仿宋"/>
          <w:sz w:val="32"/>
          <w:szCs w:val="32"/>
          <w:highlight w:val="none"/>
          <w:lang w:val="en-US" w:eastAsia="zh-CN"/>
        </w:rPr>
        <w:t>,</w:t>
      </w:r>
      <w:r>
        <w:rPr>
          <w:rFonts w:ascii="Times New Roman" w:hAnsi="Times New Roman" w:eastAsia="仿宋" w:cs="Times New Roman"/>
          <w:sz w:val="32"/>
          <w:szCs w:val="32"/>
          <w:highlight w:val="none"/>
          <w:lang w:val="en-US" w:eastAsia="zh-CN" w:bidi="ar-SA"/>
        </w:rPr>
        <w:t>634.22万元，执行率为99%。其中：省级涉农资金14</w:t>
      </w:r>
      <w:r>
        <w:rPr>
          <w:rFonts w:hint="eastAsia" w:eastAsia="仿宋"/>
          <w:sz w:val="32"/>
          <w:szCs w:val="32"/>
          <w:highlight w:val="none"/>
          <w:lang w:val="en-US" w:eastAsia="zh-CN"/>
        </w:rPr>
        <w:t>,</w:t>
      </w:r>
      <w:r>
        <w:rPr>
          <w:rFonts w:ascii="Times New Roman" w:hAnsi="Times New Roman" w:eastAsia="仿宋" w:cs="Times New Roman"/>
          <w:sz w:val="32"/>
          <w:szCs w:val="32"/>
          <w:highlight w:val="none"/>
          <w:lang w:val="en-US" w:eastAsia="zh-CN" w:bidi="ar-SA"/>
        </w:rPr>
        <w:t>564.56万元，支出14</w:t>
      </w:r>
      <w:r>
        <w:rPr>
          <w:rFonts w:hint="eastAsia" w:eastAsia="仿宋"/>
          <w:sz w:val="32"/>
          <w:szCs w:val="32"/>
          <w:highlight w:val="none"/>
          <w:lang w:val="en-US" w:eastAsia="zh-CN"/>
        </w:rPr>
        <w:t>,</w:t>
      </w:r>
      <w:r>
        <w:rPr>
          <w:rFonts w:ascii="Times New Roman" w:hAnsi="Times New Roman" w:eastAsia="仿宋" w:cs="Times New Roman"/>
          <w:sz w:val="32"/>
          <w:szCs w:val="32"/>
          <w:highlight w:val="none"/>
          <w:lang w:val="en-US" w:eastAsia="zh-CN" w:bidi="ar-SA"/>
        </w:rPr>
        <w:t>370.17万元，执行率98.7%；其他涉农资金</w:t>
      </w:r>
      <w:r>
        <w:rPr>
          <w:rFonts w:ascii="Times New Roman" w:hAnsi="Times New Roman" w:eastAsia="仿宋" w:cs="Times New Roman"/>
          <w:sz w:val="32"/>
          <w:szCs w:val="32"/>
          <w:highlight w:val="none"/>
          <w:lang w:eastAsia="zh-CN" w:bidi="ar-SA"/>
        </w:rPr>
        <w:t>（含中央、市县等资金）</w:t>
      </w:r>
      <w:r>
        <w:rPr>
          <w:rFonts w:ascii="Times New Roman" w:hAnsi="Times New Roman" w:eastAsia="仿宋" w:cs="Times New Roman"/>
          <w:sz w:val="32"/>
          <w:szCs w:val="32"/>
          <w:highlight w:val="none"/>
          <w:lang w:val="en-US" w:eastAsia="zh-CN" w:bidi="ar-SA"/>
        </w:rPr>
        <w:t>16</w:t>
      </w:r>
      <w:r>
        <w:rPr>
          <w:rFonts w:hint="eastAsia" w:eastAsia="仿宋"/>
          <w:sz w:val="32"/>
          <w:szCs w:val="32"/>
          <w:highlight w:val="none"/>
          <w:lang w:val="en-US" w:eastAsia="zh-CN"/>
        </w:rPr>
        <w:t>,</w:t>
      </w:r>
      <w:r>
        <w:rPr>
          <w:rFonts w:ascii="Times New Roman" w:hAnsi="Times New Roman" w:eastAsia="仿宋" w:cs="Times New Roman"/>
          <w:sz w:val="32"/>
          <w:szCs w:val="32"/>
          <w:highlight w:val="none"/>
          <w:lang w:val="en-US" w:eastAsia="zh-CN" w:bidi="ar-SA"/>
        </w:rPr>
        <w:t>372.07万元，支出16</w:t>
      </w:r>
      <w:r>
        <w:rPr>
          <w:rFonts w:hint="eastAsia" w:eastAsia="仿宋"/>
          <w:sz w:val="32"/>
          <w:szCs w:val="32"/>
          <w:highlight w:val="none"/>
          <w:lang w:val="en-US" w:eastAsia="zh-CN"/>
        </w:rPr>
        <w:t>,</w:t>
      </w:r>
      <w:r>
        <w:rPr>
          <w:rFonts w:ascii="Times New Roman" w:hAnsi="Times New Roman" w:eastAsia="仿宋" w:cs="Times New Roman"/>
          <w:sz w:val="32"/>
          <w:szCs w:val="32"/>
          <w:highlight w:val="none"/>
          <w:lang w:val="en-US" w:eastAsia="zh-CN" w:bidi="ar-SA"/>
        </w:rPr>
        <w:t>264.05万元，执行率99.3%。</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hint="eastAsia" w:ascii="仿宋" w:eastAsia="仿宋" w:cs="仿宋"/>
          <w:sz w:val="32"/>
          <w:szCs w:val="32"/>
          <w:highlight w:val="none"/>
          <w:lang w:val="en-US" w:eastAsia="zh-CN" w:bidi="ar-SA"/>
        </w:rPr>
      </w:pPr>
      <w:r>
        <w:rPr>
          <w:rFonts w:hint="eastAsia" w:ascii="仿宋" w:eastAsia="仿宋" w:cs="仿宋"/>
          <w:sz w:val="32"/>
          <w:szCs w:val="32"/>
          <w:highlight w:val="none"/>
          <w:lang w:val="en-US" w:eastAsia="zh-CN" w:bidi="ar-SA"/>
        </w:rPr>
        <w:t>未能</w:t>
      </w:r>
      <w:r>
        <w:rPr>
          <w:rFonts w:ascii="Times New Roman" w:hAnsi="Times New Roman" w:eastAsia="仿宋" w:cs="Times New Roman"/>
          <w:sz w:val="32"/>
          <w:szCs w:val="32"/>
          <w:highlight w:val="none"/>
          <w:lang w:val="en-US" w:eastAsia="zh-CN" w:bidi="ar-SA"/>
        </w:rPr>
        <w:t>100%</w:t>
      </w:r>
      <w:r>
        <w:rPr>
          <w:rFonts w:hint="eastAsia" w:ascii="仿宋" w:eastAsia="仿宋" w:cs="仿宋"/>
          <w:sz w:val="32"/>
          <w:szCs w:val="32"/>
          <w:highlight w:val="none"/>
          <w:lang w:val="en-US" w:eastAsia="zh-CN" w:bidi="ar-SA"/>
        </w:rPr>
        <w:t>形成实际支出的原因主要有以下四方面：一是部分项目已完工，需待项目验收后才能拨付资金，如“市农业科学研究所</w:t>
      </w:r>
      <w:r>
        <w:rPr>
          <w:rFonts w:hint="default" w:ascii="Times New Roman" w:eastAsia="仿宋" w:cs="Times New Roman"/>
          <w:sz w:val="32"/>
          <w:szCs w:val="32"/>
          <w:highlight w:val="none"/>
          <w:lang w:val="en-US" w:eastAsia="zh-CN" w:bidi="ar-SA"/>
        </w:rPr>
        <w:t>2023</w:t>
      </w:r>
      <w:r>
        <w:rPr>
          <w:rFonts w:hint="eastAsia" w:ascii="仿宋" w:eastAsia="仿宋" w:cs="仿宋"/>
          <w:sz w:val="32"/>
          <w:szCs w:val="32"/>
          <w:highlight w:val="none"/>
          <w:lang w:val="en-US" w:eastAsia="zh-CN" w:bidi="ar-SA"/>
        </w:rPr>
        <w:t>年国家级、省级区域试验站水肥一体化设施建设项目”“惠东县农村集中供水工程”“龙门县实施最严格水资源管理制度项目”。二是项目为跨年度续建项目，当年建设目标已完工并拨付资金，剩余资金下一年度使用，如“惠州市第三次全国土壤普查项目”“惠东县第三次全国土壤普查项目”。三是部分项目进展未达预期，如“惠东县草地贪夜蛾防控”“龙门县主要河流河湖健康监测评价及一河一策编制项目”“石湾镇黄西村星火股份经济合作社光伏发电项目”。四是因批量发放粮食生产补助项目，补助对象账户信息错误退回，补助对象未能及时提供正确账户信息，导致没</w:t>
      </w:r>
      <w:r>
        <w:rPr>
          <w:rFonts w:ascii="Times New Roman" w:hAnsi="Times New Roman" w:eastAsia="仿宋" w:cs="Times New Roman"/>
          <w:sz w:val="32"/>
          <w:szCs w:val="32"/>
          <w:highlight w:val="none"/>
          <w:lang w:val="en-US" w:eastAsia="zh-CN" w:bidi="ar-SA"/>
        </w:rPr>
        <w:t>有100%支</w:t>
      </w:r>
      <w:r>
        <w:rPr>
          <w:rFonts w:hint="eastAsia" w:ascii="仿宋" w:eastAsia="仿宋" w:cs="仿宋"/>
          <w:sz w:val="32"/>
          <w:szCs w:val="32"/>
          <w:highlight w:val="none"/>
          <w:lang w:val="en-US" w:eastAsia="zh-CN" w:bidi="ar-SA"/>
        </w:rPr>
        <w:t>出，如“</w:t>
      </w:r>
      <w:r>
        <w:rPr>
          <w:rFonts w:hint="default" w:ascii="Times New Roman" w:eastAsia="仿宋" w:cs="Times New Roman"/>
          <w:sz w:val="32"/>
          <w:szCs w:val="32"/>
          <w:highlight w:val="none"/>
          <w:lang w:val="en-US" w:eastAsia="zh-CN" w:bidi="ar-SA"/>
        </w:rPr>
        <w:t>2023</w:t>
      </w:r>
      <w:r>
        <w:rPr>
          <w:rFonts w:hint="eastAsia" w:ascii="仿宋" w:eastAsia="仿宋" w:cs="仿宋"/>
          <w:sz w:val="32"/>
          <w:szCs w:val="32"/>
          <w:highlight w:val="none"/>
          <w:lang w:val="en-US" w:eastAsia="zh-CN" w:bidi="ar-SA"/>
        </w:rPr>
        <w:t>年惠州市惠阳区粮食生产补助项目”。</w:t>
      </w:r>
    </w:p>
    <w:p>
      <w:pPr>
        <w:pStyle w:val="18"/>
        <w:keepNext w:val="0"/>
        <w:keepLines w:val="0"/>
        <w:pageBreakBefore w:val="0"/>
        <w:widowControl w:val="0"/>
        <w:numPr>
          <w:ilvl w:val="0"/>
          <w:numId w:val="3"/>
        </w:numPr>
        <w:pBdr>
          <w:bottom w:val="single" w:color="FFFFFF" w:sz="4" w:space="31"/>
        </w:pBdr>
        <w:kinsoku/>
        <w:wordWrap/>
        <w:overflowPunct/>
        <w:topLinePunct w:val="0"/>
        <w:autoSpaceDE/>
        <w:autoSpaceDN/>
        <w:bidi w:val="0"/>
        <w:adjustRightInd/>
        <w:snapToGrid w:val="0"/>
        <w:spacing w:line="560" w:lineRule="exact"/>
        <w:ind w:left="0" w:firstLine="640" w:firstLineChars="200"/>
        <w:jc w:val="both"/>
        <w:textAlignment w:val="auto"/>
        <w:rPr>
          <w:rFonts w:hint="eastAsia" w:ascii="楷体" w:eastAsia="楷体" w:cs="楷体"/>
          <w:sz w:val="32"/>
          <w:szCs w:val="32"/>
          <w:highlight w:val="none"/>
          <w:lang w:eastAsia="zh-CN" w:bidi="ar-SA"/>
        </w:rPr>
      </w:pPr>
      <w:r>
        <w:rPr>
          <w:rFonts w:hint="eastAsia" w:ascii="楷体" w:eastAsia="楷体" w:cs="楷体"/>
          <w:sz w:val="32"/>
          <w:szCs w:val="32"/>
          <w:highlight w:val="none"/>
          <w:lang w:eastAsia="zh-CN" w:bidi="ar-SA"/>
        </w:rPr>
        <w:t>项目实施情况</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 w:cs="Times New Roman"/>
          <w:sz w:val="32"/>
          <w:szCs w:val="32"/>
          <w:highlight w:val="none"/>
          <w:lang w:val="en-US" w:eastAsia="zh-CN" w:bidi="ar-SA"/>
        </w:rPr>
      </w:pPr>
      <w:r>
        <w:rPr>
          <w:rFonts w:hint="eastAsia" w:ascii="楷体" w:eastAsia="楷体" w:cs="楷体"/>
          <w:sz w:val="32"/>
          <w:szCs w:val="32"/>
          <w:highlight w:val="none"/>
          <w:lang w:val="en-US" w:eastAsia="zh-CN" w:bidi="ar-SA"/>
        </w:rPr>
        <w:t xml:space="preserve"> </w:t>
      </w:r>
      <w:r>
        <w:rPr>
          <w:rFonts w:ascii="Times New Roman" w:hAnsi="Times New Roman" w:eastAsia="仿宋" w:cs="Times New Roman"/>
          <w:sz w:val="32"/>
          <w:szCs w:val="32"/>
          <w:highlight w:val="none"/>
          <w:lang w:val="en-US" w:eastAsia="zh-CN" w:bidi="ar-SA"/>
        </w:rPr>
        <w:t>此次涉农资金绩效自评共涉及一级项目共20类，具体项目90个，市、县（区）涉农办分别组织和指导同级主管部门，对照项目年度绩效目标开展了项目绩效自评（绩效自评截至时限为2023年12月31日）。根据项目绩效自评结果，90个项目已完成项目84个，完成率93.3%，均已完成项目年度绩效目标。各类一级项目具体情况如下：</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1.村庄基础设施建设。</w:t>
      </w:r>
      <w:r>
        <w:rPr>
          <w:rFonts w:ascii="Times New Roman" w:hAnsi="Times New Roman" w:eastAsia="仿宋" w:cs="Times New Roman"/>
          <w:sz w:val="32"/>
          <w:szCs w:val="32"/>
          <w:highlight w:val="none"/>
          <w:lang w:val="en-US" w:eastAsia="zh-CN" w:bidi="ar-SA"/>
        </w:rPr>
        <w:t>共实施3个项目，已全部完成，完成了项目年度绩效目标。其中：村内道路硬化建设项目1个，完成12个自然村村内道路硬底化；农村改厕问题摸排项目1个，完成40个行政村整村推进厕所革命改造提升工作，改造提升农村户厕5</w:t>
      </w:r>
      <w:r>
        <w:rPr>
          <w:rFonts w:hint="eastAsia" w:eastAsia="仿宋"/>
          <w:sz w:val="32"/>
          <w:szCs w:val="32"/>
          <w:highlight w:val="none"/>
          <w:lang w:val="en-US" w:eastAsia="zh-CN"/>
        </w:rPr>
        <w:t>,</w:t>
      </w:r>
      <w:r>
        <w:rPr>
          <w:rFonts w:ascii="Times New Roman" w:hAnsi="Times New Roman" w:eastAsia="仿宋" w:cs="Times New Roman"/>
          <w:sz w:val="32"/>
          <w:szCs w:val="32"/>
          <w:highlight w:val="none"/>
          <w:lang w:val="en-US" w:eastAsia="zh-CN" w:bidi="ar-SA"/>
        </w:rPr>
        <w:t>298户；美丽乡村建设项目1个，完成龙门县基础设施改造提升项目11个。总体上，</w:t>
      </w:r>
      <w:r>
        <w:rPr>
          <w:rFonts w:hint="eastAsia" w:eastAsia="仿宋" w:cs="Times New Roman"/>
          <w:sz w:val="32"/>
          <w:szCs w:val="32"/>
          <w:highlight w:val="none"/>
          <w:lang w:val="en-US" w:eastAsia="zh-CN" w:bidi="ar-SA"/>
        </w:rPr>
        <w:t>项目区</w:t>
      </w:r>
      <w:r>
        <w:rPr>
          <w:rFonts w:ascii="Times New Roman" w:hAnsi="Times New Roman" w:eastAsia="仿宋" w:cs="Times New Roman"/>
          <w:sz w:val="32"/>
          <w:szCs w:val="32"/>
          <w:highlight w:val="none"/>
          <w:lang w:val="en-US" w:eastAsia="zh-CN" w:bidi="ar-SA"/>
        </w:rPr>
        <w:t>村庄基础</w:t>
      </w:r>
      <w:r>
        <w:rPr>
          <w:rFonts w:hint="eastAsia" w:eastAsia="仿宋" w:cs="Times New Roman"/>
          <w:sz w:val="32"/>
          <w:szCs w:val="32"/>
          <w:highlight w:val="none"/>
          <w:lang w:val="en-US" w:eastAsia="zh-CN" w:bidi="ar-SA"/>
        </w:rPr>
        <w:t>得到提升，</w:t>
      </w:r>
      <w:r>
        <w:rPr>
          <w:rFonts w:ascii="Times New Roman" w:hAnsi="Times New Roman" w:eastAsia="仿宋" w:cs="Times New Roman"/>
          <w:sz w:val="32"/>
          <w:szCs w:val="32"/>
          <w:highlight w:val="none"/>
          <w:lang w:val="en-US" w:eastAsia="zh-CN" w:bidi="ar-SA"/>
        </w:rPr>
        <w:t>村容村貌进一步改善。</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2.农田建设及管护。</w:t>
      </w:r>
      <w:r>
        <w:rPr>
          <w:rFonts w:ascii="Times New Roman" w:hAnsi="Times New Roman" w:eastAsia="仿宋" w:cs="Times New Roman"/>
          <w:sz w:val="32"/>
          <w:szCs w:val="32"/>
          <w:highlight w:val="none"/>
          <w:lang w:val="en-US" w:eastAsia="zh-CN" w:bidi="ar-SA"/>
        </w:rPr>
        <w:t>共实施8个项目，其中已完成7个项目，建设（实施）中1个项目（为跨年度实施项目），完成了项目年度绩效目标。实施第三次全国土壤普查项目6个，超额完成一半以上土壤普查任务的年度绩效目标任务，严格质量控制，确保普查质量和安全。按计划完成2023年惠东县、龙门县小型农田水利建设项目，项目实施后改善耕作条件，提高了耕地质量，增加耕地产出率，稳定粮食生产。</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3.农产品质量安全。</w:t>
      </w:r>
      <w:r>
        <w:rPr>
          <w:rFonts w:ascii="Times New Roman" w:hAnsi="Times New Roman" w:eastAsia="仿宋" w:cs="Times New Roman"/>
          <w:sz w:val="32"/>
          <w:szCs w:val="32"/>
          <w:highlight w:val="none"/>
          <w:lang w:val="en-US" w:eastAsia="zh-CN" w:bidi="ar-SA"/>
        </w:rPr>
        <w:t>共实施4个项目，已全部完工，完成了项目年度绩效目标。完成龙门县“每千人五批次”的监测任务，抽检农产品监测样品574批次，确保不发生重大肉食品安全事故。严格落实畜禽屠宰环节病死害生猪及其产品无害化处理制度，完成惠城区、惠东县和龙门县屠宰环节无害化处理病死害生猪10</w:t>
      </w:r>
      <w:r>
        <w:rPr>
          <w:rFonts w:hint="eastAsia" w:eastAsia="仿宋"/>
          <w:sz w:val="32"/>
          <w:szCs w:val="32"/>
          <w:highlight w:val="none"/>
          <w:lang w:val="en-US" w:eastAsia="zh-CN"/>
        </w:rPr>
        <w:t>,</w:t>
      </w:r>
      <w:r>
        <w:rPr>
          <w:rFonts w:ascii="Times New Roman" w:hAnsi="Times New Roman" w:eastAsia="仿宋" w:cs="Times New Roman"/>
          <w:sz w:val="32"/>
          <w:szCs w:val="32"/>
          <w:highlight w:val="none"/>
          <w:lang w:val="en-US" w:eastAsia="zh-CN" w:bidi="ar-SA"/>
        </w:rPr>
        <w:t xml:space="preserve">835头，切实保障畜禽肉品质量安全。 </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4.畜牧业转型升级。</w:t>
      </w:r>
      <w:r>
        <w:rPr>
          <w:rFonts w:ascii="Times New Roman" w:hAnsi="Times New Roman" w:eastAsia="仿宋" w:cs="Times New Roman"/>
          <w:sz w:val="32"/>
          <w:szCs w:val="32"/>
          <w:highlight w:val="none"/>
          <w:lang w:val="en-US" w:eastAsia="zh-CN" w:bidi="ar-SA"/>
        </w:rPr>
        <w:t>共实施2个项目，已全部完工，完成了项目年度绩效目标。养殖环节无害化处理病死害生猪补助资金发放率100%，病死害生猪无害化处理率100%，保障了畜禽肉产品质量安全。完成惠城区养殖环节无害化处理病死害生猪11</w:t>
      </w:r>
      <w:r>
        <w:rPr>
          <w:rFonts w:hint="eastAsia" w:eastAsia="仿宋"/>
          <w:sz w:val="32"/>
          <w:szCs w:val="32"/>
          <w:highlight w:val="none"/>
          <w:lang w:val="en-US" w:eastAsia="zh-CN"/>
        </w:rPr>
        <w:t>,</w:t>
      </w:r>
      <w:r>
        <w:rPr>
          <w:rFonts w:ascii="Times New Roman" w:hAnsi="Times New Roman" w:eastAsia="仿宋" w:cs="Times New Roman"/>
          <w:sz w:val="32"/>
          <w:szCs w:val="32"/>
          <w:highlight w:val="none"/>
          <w:lang w:val="en-US" w:eastAsia="zh-CN" w:bidi="ar-SA"/>
        </w:rPr>
        <w:t>193头，惠东县养殖环节无害化处理病死害生猪8</w:t>
      </w:r>
      <w:r>
        <w:rPr>
          <w:rFonts w:hint="eastAsia" w:eastAsia="仿宋"/>
          <w:sz w:val="32"/>
          <w:szCs w:val="32"/>
          <w:highlight w:val="none"/>
          <w:lang w:val="en-US" w:eastAsia="zh-CN"/>
        </w:rPr>
        <w:t>,</w:t>
      </w:r>
      <w:r>
        <w:rPr>
          <w:rFonts w:ascii="Times New Roman" w:hAnsi="Times New Roman" w:eastAsia="仿宋" w:cs="Times New Roman"/>
          <w:sz w:val="32"/>
          <w:szCs w:val="32"/>
          <w:highlight w:val="none"/>
          <w:lang w:val="en-US" w:eastAsia="zh-CN" w:bidi="ar-SA"/>
        </w:rPr>
        <w:t>920头。</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5.动植物疫病防控。</w:t>
      </w:r>
      <w:r>
        <w:rPr>
          <w:rFonts w:ascii="Times New Roman" w:hAnsi="Times New Roman" w:eastAsia="仿宋" w:cs="Times New Roman"/>
          <w:sz w:val="32"/>
          <w:szCs w:val="32"/>
          <w:highlight w:val="none"/>
          <w:lang w:val="en-US" w:eastAsia="zh-CN" w:bidi="ar-SA"/>
        </w:rPr>
        <w:t>共实施5个项目，已全部完工，完成了项目年度绩效目标。总体上，项目区草地贪夜蛾不暴发成灾，总体危害损失控制在5%以下，实现了农作物重大病虫害不暴发成灾，重大植物疫情不恶性蔓延。动植物疫病防控-外来入侵物种普查调查到惠城区农业外来入侵物种99种、惠东县农业外来入侵物种101种、龙门县农业外来入侵物种90种，完成了外来入侵物种数量、分布、发生面积、危害程度及危害趋势等数据汇总、分析和上报，形成入侵物种名录清单、数据库等普查成果。重大动物疫病强制疫苗及先打后补，切实做到“应免尽免、不留空档”。惠东县畜禽强制免疫病种应免畜禽的免疫密度100%，平均免疫抗体合格率70%，未发生重大动物疫情。畜禽养殖场户满意度100%，全年无发生重大动物疫情。</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6.推进农业绿色发展。</w:t>
      </w:r>
      <w:r>
        <w:rPr>
          <w:rFonts w:ascii="Times New Roman" w:hAnsi="Times New Roman" w:eastAsia="仿宋" w:cs="Times New Roman"/>
          <w:sz w:val="32"/>
          <w:szCs w:val="32"/>
          <w:highlight w:val="none"/>
          <w:lang w:val="en-US" w:eastAsia="zh-CN" w:bidi="ar-SA"/>
        </w:rPr>
        <w:t>共实施4个项目，已全部完工，完成了项目年度绩效目标。实施受污染耕地安全利用项目4个，通过开展受污染耕地安全利用管控、土壤样品采集和农民施服调查等项目，有效防控种植业污染，土壤环境得到了有效保持。</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7.种业振兴。</w:t>
      </w:r>
      <w:r>
        <w:rPr>
          <w:rFonts w:ascii="Times New Roman" w:hAnsi="Times New Roman" w:eastAsia="仿宋" w:cs="Times New Roman"/>
          <w:sz w:val="32"/>
          <w:szCs w:val="32"/>
          <w:highlight w:val="none"/>
          <w:lang w:val="en-US" w:eastAsia="zh-CN" w:bidi="ar-SA"/>
        </w:rPr>
        <w:t>共实施1个项目，</w:t>
      </w:r>
      <w:r>
        <w:rPr>
          <w:rFonts w:hint="eastAsia" w:eastAsia="仿宋" w:cs="Times New Roman"/>
          <w:sz w:val="32"/>
          <w:szCs w:val="32"/>
          <w:highlight w:val="none"/>
          <w:lang w:val="en-US" w:eastAsia="zh-CN" w:bidi="ar-SA"/>
        </w:rPr>
        <w:t>为</w:t>
      </w:r>
      <w:r>
        <w:rPr>
          <w:rFonts w:ascii="Times New Roman" w:hAnsi="Times New Roman" w:eastAsia="仿宋" w:cs="Times New Roman"/>
          <w:sz w:val="32"/>
          <w:szCs w:val="32"/>
          <w:highlight w:val="none"/>
          <w:lang w:val="en-US" w:eastAsia="zh-CN" w:bidi="ar-SA"/>
        </w:rPr>
        <w:t>惠州市国家级、省级区域试验站水肥一体化设施建设项目</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val="en-US" w:eastAsia="zh-CN" w:bidi="ar-SA"/>
        </w:rPr>
        <w:t>已完工，</w:t>
      </w:r>
      <w:r>
        <w:rPr>
          <w:rFonts w:hint="eastAsia" w:eastAsia="仿宋" w:cs="Times New Roman"/>
          <w:sz w:val="32"/>
          <w:szCs w:val="32"/>
          <w:highlight w:val="none"/>
          <w:lang w:val="en-US" w:eastAsia="zh-CN" w:bidi="ar-SA"/>
        </w:rPr>
        <w:t>共</w:t>
      </w:r>
      <w:r>
        <w:rPr>
          <w:rFonts w:ascii="Times New Roman" w:hAnsi="Times New Roman" w:eastAsia="仿宋" w:cs="Times New Roman"/>
          <w:sz w:val="32"/>
          <w:szCs w:val="32"/>
          <w:highlight w:val="none"/>
          <w:lang w:val="en-US" w:eastAsia="zh-CN" w:bidi="ar-SA"/>
        </w:rPr>
        <w:t>完成水肥一体化泵房改造建设2个</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val="en-US" w:eastAsia="zh-CN" w:bidi="ar-SA"/>
        </w:rPr>
        <w:t>约20平方米</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val="en-US" w:eastAsia="zh-CN" w:bidi="ar-SA"/>
        </w:rPr>
        <w:t>新增补水系统2套</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val="en-US" w:eastAsia="zh-CN" w:bidi="ar-SA"/>
        </w:rPr>
        <w:t>安装水肥一体化设备灌溉首部设备2套</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val="en-US" w:eastAsia="zh-CN" w:bidi="ar-SA"/>
        </w:rPr>
        <w:t>水肥一体化施肥机系统2套，灌溉管网系统覆盖面积约60亩</w:t>
      </w:r>
      <w:r>
        <w:rPr>
          <w:rFonts w:eastAsia="仿宋" w:cs="Times New Roman"/>
          <w:sz w:val="32"/>
          <w:szCs w:val="32"/>
          <w:highlight w:val="none"/>
          <w:lang w:val="en-US" w:eastAsia="zh-CN" w:bidi="ar-SA"/>
        </w:rPr>
        <w:t>，完成了项目年度绩效目标</w:t>
      </w:r>
      <w:r>
        <w:rPr>
          <w:rFonts w:ascii="Times New Roman" w:hAnsi="Times New Roman" w:eastAsia="仿宋" w:cs="Times New Roman"/>
          <w:sz w:val="32"/>
          <w:szCs w:val="32"/>
          <w:highlight w:val="none"/>
          <w:lang w:val="en-US" w:eastAsia="zh-CN" w:bidi="ar-SA"/>
        </w:rPr>
        <w:t>。</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8.构建现代乡村产业体系。</w:t>
      </w:r>
      <w:r>
        <w:rPr>
          <w:rFonts w:ascii="Times New Roman" w:hAnsi="Times New Roman" w:eastAsia="仿宋" w:cs="Times New Roman"/>
          <w:sz w:val="32"/>
          <w:szCs w:val="32"/>
          <w:highlight w:val="none"/>
          <w:lang w:val="en-US" w:eastAsia="zh-CN" w:bidi="ar-SA"/>
        </w:rPr>
        <w:t>共实施2个项目，已全部完工，完成了年度项目绩效目标。总体上，惠东县、龙门县通过村企合作、挖掘村域内资源优势，扶持村集体经济收入明显增加，基层党组织凝聚力显著增强，项目区农民满意度和项目区基层干部满意度已达到目标值。</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9.农业生产能力提升。</w:t>
      </w:r>
      <w:r>
        <w:rPr>
          <w:rFonts w:ascii="Times New Roman" w:hAnsi="Times New Roman" w:eastAsia="仿宋" w:cs="Times New Roman"/>
          <w:sz w:val="32"/>
          <w:szCs w:val="32"/>
          <w:highlight w:val="none"/>
          <w:lang w:val="en-US" w:eastAsia="zh-CN" w:bidi="ar-SA"/>
        </w:rPr>
        <w:t>共实施2个项目，已全部完工，完成了项目年度绩效目标。惠阳区2023年完成粮食种植面积11.56万亩，粮食产量4.28万吨，同比2022年实现双增长，提升</w:t>
      </w:r>
      <w:r>
        <w:rPr>
          <w:rFonts w:hint="eastAsia" w:eastAsia="仿宋" w:cs="Times New Roman"/>
          <w:sz w:val="32"/>
          <w:szCs w:val="32"/>
          <w:highlight w:val="none"/>
          <w:lang w:val="en-US" w:eastAsia="zh-CN" w:bidi="ar-SA"/>
        </w:rPr>
        <w:t>了</w:t>
      </w:r>
      <w:r>
        <w:rPr>
          <w:rFonts w:ascii="Times New Roman" w:hAnsi="Times New Roman" w:eastAsia="仿宋" w:cs="Times New Roman"/>
          <w:sz w:val="32"/>
          <w:szCs w:val="32"/>
          <w:highlight w:val="none"/>
          <w:lang w:val="en-US" w:eastAsia="zh-CN" w:bidi="ar-SA"/>
        </w:rPr>
        <w:t>农业生产能力，稳定</w:t>
      </w:r>
      <w:r>
        <w:rPr>
          <w:rFonts w:hint="eastAsia" w:eastAsia="仿宋" w:cs="Times New Roman"/>
          <w:sz w:val="32"/>
          <w:szCs w:val="32"/>
          <w:highlight w:val="none"/>
          <w:lang w:val="en-US" w:eastAsia="zh-CN" w:bidi="ar-SA"/>
        </w:rPr>
        <w:t>了</w:t>
      </w:r>
      <w:r>
        <w:rPr>
          <w:rFonts w:ascii="Times New Roman" w:hAnsi="Times New Roman" w:eastAsia="仿宋" w:cs="Times New Roman"/>
          <w:sz w:val="32"/>
          <w:szCs w:val="32"/>
          <w:highlight w:val="none"/>
          <w:lang w:val="en-US" w:eastAsia="zh-CN" w:bidi="ar-SA"/>
        </w:rPr>
        <w:t>粮食种植面积和粮食产量。惠东县实施水稻生产全程机械化能力提升建设项目，建设一个“可看、可学、可推广”水稻生产全程机械化示范点，加快推进水稻全程生产机械化、规模化的进程。</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10.全面推进河长制湖长制。</w:t>
      </w:r>
      <w:r>
        <w:rPr>
          <w:rFonts w:ascii="Times New Roman" w:hAnsi="Times New Roman" w:eastAsia="仿宋" w:cs="Times New Roman"/>
          <w:sz w:val="32"/>
          <w:szCs w:val="32"/>
          <w:highlight w:val="none"/>
          <w:lang w:val="en-US" w:eastAsia="zh-CN" w:bidi="ar-SA"/>
        </w:rPr>
        <w:t>共实施10个项目，其中已完工项目8个，建设实施中项目2个（跨年度实施项目），基本完成了项目年度绩效目标。总体</w:t>
      </w:r>
      <w:r>
        <w:rPr>
          <w:rFonts w:hint="eastAsia" w:eastAsia="仿宋" w:cs="Times New Roman"/>
          <w:sz w:val="32"/>
          <w:szCs w:val="32"/>
          <w:highlight w:val="none"/>
          <w:lang w:val="en-US" w:eastAsia="zh-CN" w:bidi="ar-SA"/>
        </w:rPr>
        <w:t>完成</w:t>
      </w:r>
      <w:r>
        <w:rPr>
          <w:rFonts w:ascii="Times New Roman" w:hAnsi="Times New Roman" w:eastAsia="仿宋" w:cs="Times New Roman"/>
          <w:sz w:val="32"/>
          <w:szCs w:val="32"/>
          <w:highlight w:val="none"/>
          <w:lang w:val="en-US" w:eastAsia="zh-CN" w:bidi="ar-SA"/>
        </w:rPr>
        <w:t>中小河流治理（清淤）长度76.2公里、河湖管护430公里</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val="en-US" w:eastAsia="zh-CN" w:bidi="ar-SA"/>
        </w:rPr>
        <w:t>1座水闸主体工程。</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11.水利安全度汛。</w:t>
      </w:r>
      <w:r>
        <w:rPr>
          <w:rFonts w:ascii="Times New Roman" w:hAnsi="Times New Roman" w:eastAsia="仿宋" w:cs="Times New Roman"/>
          <w:sz w:val="32"/>
          <w:szCs w:val="32"/>
          <w:highlight w:val="none"/>
          <w:lang w:val="en-US" w:eastAsia="zh-CN" w:bidi="ar-SA"/>
        </w:rPr>
        <w:t>共实施2个项目，其中已完工项目1个，建设（实施）中项目1个（跨年度实施项目），完成了项目年度绩效目标。总体上，取得了市级水安全保障规划成果2个，水安全保障项目规划体系进一步完善。</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12.农村集中供水。</w:t>
      </w:r>
      <w:r>
        <w:rPr>
          <w:rFonts w:ascii="Times New Roman" w:hAnsi="Times New Roman" w:eastAsia="仿宋" w:cs="Times New Roman"/>
          <w:sz w:val="32"/>
          <w:szCs w:val="32"/>
          <w:highlight w:val="none"/>
          <w:lang w:val="en-US" w:eastAsia="zh-CN" w:bidi="ar-SA"/>
        </w:rPr>
        <w:t>共实施1个项目，</w:t>
      </w:r>
      <w:r>
        <w:rPr>
          <w:rFonts w:hint="eastAsia" w:eastAsia="仿宋" w:cs="Times New Roman"/>
          <w:sz w:val="32"/>
          <w:szCs w:val="32"/>
          <w:highlight w:val="none"/>
          <w:lang w:val="en-US" w:eastAsia="zh-CN" w:bidi="ar-SA"/>
        </w:rPr>
        <w:t>为惠东县农村集中供水工程，</w:t>
      </w:r>
      <w:r>
        <w:rPr>
          <w:rFonts w:ascii="Times New Roman" w:hAnsi="Times New Roman" w:eastAsia="仿宋" w:cs="Times New Roman"/>
          <w:sz w:val="32"/>
          <w:szCs w:val="32"/>
          <w:highlight w:val="none"/>
          <w:lang w:val="en-US" w:eastAsia="zh-CN" w:bidi="ar-SA"/>
        </w:rPr>
        <w:t>已完工，完成惠东县农村供水“三同五化”改造提升工作总体实施方案编制、农村供水工程升级改造1宗</w:t>
      </w:r>
      <w:r>
        <w:rPr>
          <w:rFonts w:hint="eastAsia" w:eastAsia="仿宋" w:cs="Times New Roman"/>
          <w:sz w:val="32"/>
          <w:szCs w:val="32"/>
          <w:highlight w:val="none"/>
          <w:lang w:val="en-US" w:eastAsia="zh-CN" w:bidi="ar-SA"/>
        </w:rPr>
        <w:t>，实现了项目年度绩效目标</w:t>
      </w:r>
      <w:r>
        <w:rPr>
          <w:rFonts w:ascii="Times New Roman" w:hAnsi="Times New Roman" w:eastAsia="仿宋" w:cs="Times New Roman"/>
          <w:sz w:val="32"/>
          <w:szCs w:val="32"/>
          <w:highlight w:val="none"/>
          <w:lang w:val="en-US" w:eastAsia="zh-CN" w:bidi="ar-SA"/>
        </w:rPr>
        <w:t>。</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13.农村水利水电。</w:t>
      </w:r>
      <w:r>
        <w:rPr>
          <w:rFonts w:ascii="Times New Roman" w:hAnsi="Times New Roman" w:eastAsia="仿宋" w:cs="Times New Roman"/>
          <w:sz w:val="32"/>
          <w:szCs w:val="32"/>
          <w:highlight w:val="none"/>
          <w:lang w:val="en-US" w:eastAsia="zh-CN" w:bidi="ar-SA"/>
        </w:rPr>
        <w:t>共实施4个项目，其中已完工（完成）项目3个，建设（实施）中项目1个（跨年度实施项目），基本完成了项目年度绩效目标。总体上，完成治理河道长度2公里，拆除重建排涝站1座，完成中型灌区节水改造1宗及小水电清退7宗。</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14.重大水利工程。</w:t>
      </w:r>
      <w:r>
        <w:rPr>
          <w:rFonts w:ascii="Times New Roman" w:hAnsi="Times New Roman" w:eastAsia="仿宋" w:cs="Times New Roman"/>
          <w:sz w:val="32"/>
          <w:szCs w:val="32"/>
          <w:highlight w:val="none"/>
          <w:lang w:val="en-US" w:eastAsia="zh-CN" w:bidi="ar-SA"/>
        </w:rPr>
        <w:t>共实施1个项目，</w:t>
      </w:r>
      <w:r>
        <w:rPr>
          <w:rFonts w:hint="eastAsia" w:eastAsia="仿宋" w:cs="Times New Roman"/>
          <w:sz w:val="32"/>
          <w:szCs w:val="32"/>
          <w:highlight w:val="none"/>
          <w:lang w:val="en-US" w:eastAsia="zh-CN" w:bidi="ar-SA"/>
        </w:rPr>
        <w:t>为</w:t>
      </w:r>
      <w:r>
        <w:rPr>
          <w:rFonts w:ascii="Times New Roman" w:hAnsi="Times New Roman" w:eastAsia="仿宋" w:cs="Times New Roman"/>
          <w:sz w:val="32"/>
          <w:szCs w:val="32"/>
          <w:highlight w:val="none"/>
          <w:lang w:val="en-US" w:eastAsia="zh-CN" w:bidi="ar-SA"/>
        </w:rPr>
        <w:t>白花河防洪排涝治理项目</w:t>
      </w:r>
      <w:r>
        <w:rPr>
          <w:rFonts w:hint="eastAsia" w:eastAsia="仿宋" w:cs="Times New Roman"/>
          <w:sz w:val="32"/>
          <w:szCs w:val="32"/>
          <w:highlight w:val="none"/>
          <w:lang w:val="en-US" w:eastAsia="zh-CN" w:bidi="ar-SA"/>
        </w:rPr>
        <w:t>，已完工，完成了年度项目绩效目标。总体上，</w:t>
      </w:r>
      <w:r>
        <w:rPr>
          <w:rFonts w:ascii="Times New Roman" w:hAnsi="Times New Roman" w:eastAsia="仿宋" w:cs="Times New Roman"/>
          <w:sz w:val="32"/>
          <w:szCs w:val="32"/>
          <w:highlight w:val="none"/>
          <w:lang w:val="en-US" w:eastAsia="zh-CN" w:bidi="ar-SA"/>
        </w:rPr>
        <w:t>4座水闸主体工程基本完成，实现了白花镇镇区防护区20年一遇暴雨不成灾。</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15.水资源节约与保护。</w:t>
      </w:r>
      <w:r>
        <w:rPr>
          <w:rFonts w:ascii="Times New Roman" w:hAnsi="Times New Roman" w:eastAsia="仿宋" w:cs="Times New Roman"/>
          <w:sz w:val="32"/>
          <w:szCs w:val="32"/>
          <w:highlight w:val="none"/>
          <w:lang w:val="en-US" w:eastAsia="zh-CN" w:bidi="ar-SA"/>
        </w:rPr>
        <w:t>共实施2个项目，已全部完工，完成了年度绩效目标。总体上，取得了县级《用水总量和强度控制指标分配方案》编制成果1个，实现了265宗农村供水工程水资源论证。</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16.水库移民后期扶持。</w:t>
      </w:r>
      <w:r>
        <w:rPr>
          <w:rFonts w:ascii="Times New Roman" w:hAnsi="Times New Roman" w:eastAsia="仿宋" w:cs="Times New Roman"/>
          <w:sz w:val="32"/>
          <w:szCs w:val="32"/>
          <w:highlight w:val="none"/>
          <w:lang w:val="en-US" w:eastAsia="zh-CN" w:bidi="ar-SA"/>
        </w:rPr>
        <w:t>共实施17个项目，已完工（完成）项目16个，建设（实施）中项目1个。16个已完工项目完成了项目年度绩效目标，1个实施中项目在绩效时限内完工率达到94%，基本完成了年度绩效目标。总体上，建设了一批移民村基础设施项目，实现了年初预定目标，进一步增强水库移民的获得感、幸福感和安全感。</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17.永久基本农田保护。</w:t>
      </w:r>
      <w:r>
        <w:rPr>
          <w:rFonts w:ascii="Times New Roman" w:hAnsi="Times New Roman" w:eastAsia="仿宋" w:cs="Times New Roman"/>
          <w:sz w:val="32"/>
          <w:szCs w:val="32"/>
          <w:highlight w:val="none"/>
          <w:lang w:val="en-US" w:eastAsia="zh-CN" w:bidi="ar-SA"/>
        </w:rPr>
        <w:t>共实施3个项目，已全部完工，完成了项目年度绩效目标。总体上，项目资金执行率达100%，补贴资金的发放大大激发起农民种粮的积极性，稳定农民耕地面积和范围，对一些自然灾害或水毁的农田，能及时拨付专项资金进行维护，对管理成效方面起到明显的效果</w:t>
      </w:r>
      <w:r>
        <w:rPr>
          <w:rFonts w:hint="eastAsia" w:eastAsia="仿宋" w:cs="Times New Roman"/>
          <w:sz w:val="32"/>
          <w:szCs w:val="32"/>
          <w:highlight w:val="none"/>
          <w:lang w:val="en-US" w:eastAsia="zh-CN" w:bidi="ar-SA"/>
        </w:rPr>
        <w:t>，</w:t>
      </w:r>
      <w:r>
        <w:rPr>
          <w:rFonts w:ascii="Times New Roman" w:hAnsi="Times New Roman" w:eastAsia="仿宋" w:cs="Times New Roman"/>
          <w:sz w:val="32"/>
          <w:szCs w:val="32"/>
          <w:highlight w:val="none"/>
          <w:lang w:val="en-US" w:eastAsia="zh-CN" w:bidi="ar-SA"/>
        </w:rPr>
        <w:t>有效提高了村民永久基本农田的保护意识。</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18.农村生活污水治理。</w:t>
      </w:r>
      <w:r>
        <w:rPr>
          <w:rFonts w:ascii="Times New Roman" w:hAnsi="Times New Roman" w:eastAsia="仿宋" w:cs="Times New Roman"/>
          <w:sz w:val="32"/>
          <w:szCs w:val="32"/>
          <w:highlight w:val="none"/>
          <w:lang w:val="en-US" w:eastAsia="zh-CN" w:bidi="ar-SA"/>
        </w:rPr>
        <w:t>共实施16个项目，已全部完工，基本完成了项目年度绩效目标。总体上，惠东县、博罗县完成25条自然村生活污水治理提升工作；全市农村生活污水治理率达89%，县（区）均建立了长效运行管护机制。</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19.乡村生活垃圾治理。</w:t>
      </w:r>
      <w:r>
        <w:rPr>
          <w:rFonts w:ascii="Times New Roman" w:hAnsi="Times New Roman" w:eastAsia="仿宋" w:cs="Times New Roman"/>
          <w:sz w:val="32"/>
          <w:szCs w:val="32"/>
          <w:highlight w:val="none"/>
          <w:lang w:val="en-US" w:eastAsia="zh-CN" w:bidi="ar-SA"/>
        </w:rPr>
        <w:t>共实施2个项目，已全部完工，基本完成了项目年度绩效目标。惠城区122个行政村实现农村垃圾收运体系覆盖率100%，实现农村垃圾日产日清，做好农村生活垃圾无害化收运处理工作，提升农村环境卫生及人居环境；博罗县完成年度收集生活垃圾50.21万吨，运往博罗光大处置，全县生活垃圾100%无害化处理，进一步净化环境卫生，改善人居生活环境，助力博罗生态文明建设。</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3" w:firstLineChars="200"/>
        <w:jc w:val="both"/>
        <w:textAlignment w:val="auto"/>
        <w:rPr>
          <w:rFonts w:ascii="Times New Roman" w:hAnsi="Times New Roman" w:eastAsia="仿宋" w:cs="Times New Roman"/>
          <w:sz w:val="32"/>
          <w:szCs w:val="32"/>
          <w:highlight w:val="none"/>
          <w:lang w:val="en-US" w:eastAsia="zh-CN" w:bidi="ar-SA"/>
        </w:rPr>
      </w:pPr>
      <w:r>
        <w:rPr>
          <w:rFonts w:ascii="Times New Roman" w:hAnsi="Times New Roman" w:eastAsia="仿宋" w:cs="Times New Roman"/>
          <w:b/>
          <w:bCs/>
          <w:sz w:val="32"/>
          <w:szCs w:val="32"/>
          <w:highlight w:val="none"/>
          <w:lang w:val="en-US" w:eastAsia="zh-CN" w:bidi="ar-SA"/>
        </w:rPr>
        <w:t>20.巨灾保险省级财政补贴。</w:t>
      </w:r>
      <w:r>
        <w:rPr>
          <w:rFonts w:ascii="Times New Roman" w:hAnsi="Times New Roman" w:eastAsia="仿宋" w:cs="Times New Roman"/>
          <w:sz w:val="32"/>
          <w:szCs w:val="32"/>
          <w:highlight w:val="none"/>
          <w:lang w:val="en-US" w:eastAsia="zh-CN" w:bidi="ar-SA"/>
        </w:rPr>
        <w:t>共实施1个项目，</w:t>
      </w:r>
      <w:r>
        <w:rPr>
          <w:rFonts w:hint="eastAsia" w:eastAsia="仿宋" w:cs="Times New Roman"/>
          <w:sz w:val="32"/>
          <w:szCs w:val="32"/>
          <w:highlight w:val="none"/>
          <w:lang w:val="en-US" w:eastAsia="zh-CN" w:bidi="ar-SA"/>
        </w:rPr>
        <w:t>为巨灾指数保险项目，</w:t>
      </w:r>
      <w:r>
        <w:rPr>
          <w:rFonts w:ascii="Times New Roman" w:hAnsi="Times New Roman" w:eastAsia="仿宋" w:cs="Times New Roman"/>
          <w:sz w:val="32"/>
          <w:szCs w:val="32"/>
          <w:highlight w:val="none"/>
          <w:lang w:val="en-US" w:eastAsia="zh-CN" w:bidi="ar-SA"/>
        </w:rPr>
        <w:t>已完成，实现了项目年度绩效目标。投保巨灾指数保险，提升我市应对突发事件应急管理和抗灾救灾效率，加强应对自然灾害能力，2023年因台风和强降雨累计获得理赔款2.57亿元，实现达到触发条件下赔偿完整性100%。</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jc w:val="both"/>
        <w:textAlignment w:val="auto"/>
        <w:rPr>
          <w:rFonts w:hint="eastAsia" w:ascii="黑体" w:eastAsia="黑体" w:cs="黑体"/>
          <w:sz w:val="32"/>
          <w:szCs w:val="32"/>
          <w:highlight w:val="none"/>
          <w:lang w:val="en-US" w:eastAsia="zh-CN" w:bidi="ar-SA"/>
        </w:rPr>
      </w:pPr>
      <w:r>
        <w:rPr>
          <w:rFonts w:hint="eastAsia" w:ascii="黑体" w:eastAsia="黑体" w:cs="黑体"/>
          <w:sz w:val="32"/>
          <w:szCs w:val="32"/>
          <w:highlight w:val="none"/>
          <w:lang w:val="en-US" w:eastAsia="zh-CN" w:bidi="ar-SA"/>
        </w:rPr>
        <w:t>四、绩效自评结果拟应用和公开情况</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jc w:val="both"/>
        <w:textAlignment w:val="auto"/>
        <w:rPr>
          <w:rFonts w:hint="eastAsia" w:eastAsia="仿宋"/>
          <w:sz w:val="32"/>
          <w:szCs w:val="32"/>
          <w:highlight w:val="none"/>
        </w:rPr>
      </w:pPr>
      <w:r>
        <w:rPr>
          <w:rFonts w:hint="eastAsia" w:eastAsia="仿宋"/>
          <w:sz w:val="32"/>
          <w:szCs w:val="32"/>
          <w:highlight w:val="none"/>
        </w:rPr>
        <w:t>我市将强化绩效评价结果的应用，将绩效评价结果与下</w:t>
      </w:r>
      <w:r>
        <w:rPr>
          <w:rFonts w:eastAsia="仿宋"/>
          <w:sz w:val="32"/>
          <w:szCs w:val="32"/>
          <w:highlight w:val="none"/>
        </w:rPr>
        <w:t>来</w:t>
      </w:r>
      <w:r>
        <w:rPr>
          <w:rFonts w:hint="eastAsia" w:eastAsia="仿宋"/>
          <w:sz w:val="32"/>
          <w:szCs w:val="32"/>
          <w:highlight w:val="none"/>
        </w:rPr>
        <w:t>涉农统筹整合资金分配挂钩，资金</w:t>
      </w:r>
      <w:r>
        <w:rPr>
          <w:rFonts w:eastAsia="仿宋"/>
          <w:sz w:val="32"/>
          <w:szCs w:val="32"/>
          <w:highlight w:val="none"/>
        </w:rPr>
        <w:t>向</w:t>
      </w:r>
      <w:r>
        <w:rPr>
          <w:rFonts w:hint="eastAsia" w:eastAsia="仿宋"/>
          <w:sz w:val="32"/>
          <w:szCs w:val="32"/>
          <w:highlight w:val="none"/>
        </w:rPr>
        <w:t>使用整体效果较好、各项绩效指标完成好的涉农部门</w:t>
      </w:r>
      <w:r>
        <w:rPr>
          <w:rFonts w:eastAsia="仿宋"/>
          <w:sz w:val="32"/>
          <w:szCs w:val="32"/>
          <w:highlight w:val="none"/>
        </w:rPr>
        <w:t>，以及</w:t>
      </w:r>
      <w:r>
        <w:rPr>
          <w:rFonts w:hint="eastAsia" w:eastAsia="仿宋"/>
          <w:sz w:val="32"/>
          <w:szCs w:val="32"/>
          <w:highlight w:val="none"/>
        </w:rPr>
        <w:t>“</w:t>
      </w:r>
      <w:r>
        <w:rPr>
          <w:rFonts w:eastAsia="仿宋"/>
          <w:sz w:val="32"/>
          <w:szCs w:val="32"/>
          <w:highlight w:val="none"/>
        </w:rPr>
        <w:t>百千万工程</w:t>
      </w:r>
      <w:r>
        <w:rPr>
          <w:rFonts w:hint="eastAsia" w:eastAsia="仿宋"/>
          <w:sz w:val="32"/>
          <w:szCs w:val="32"/>
          <w:highlight w:val="none"/>
        </w:rPr>
        <w:t>”</w:t>
      </w:r>
      <w:r>
        <w:rPr>
          <w:rFonts w:eastAsia="仿宋"/>
          <w:sz w:val="32"/>
          <w:szCs w:val="32"/>
          <w:highlight w:val="none"/>
        </w:rPr>
        <w:t>重点任务等</w:t>
      </w:r>
      <w:r>
        <w:rPr>
          <w:rFonts w:hint="eastAsia" w:eastAsia="仿宋"/>
          <w:sz w:val="32"/>
          <w:szCs w:val="32"/>
          <w:highlight w:val="none"/>
        </w:rPr>
        <w:t>倾斜。绩效自评结果经市涉农资金统筹整合领导小组审定后将按规定予以公开，接受社会监督。</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jc w:val="both"/>
        <w:textAlignment w:val="auto"/>
        <w:rPr>
          <w:rFonts w:hint="eastAsia" w:eastAsia="仿宋"/>
          <w:sz w:val="32"/>
          <w:szCs w:val="32"/>
          <w:highlight w:val="none"/>
          <w:lang w:eastAsia="zh-CN"/>
        </w:rPr>
      </w:pP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640" w:firstLineChars="200"/>
        <w:jc w:val="both"/>
        <w:textAlignment w:val="auto"/>
        <w:rPr>
          <w:rFonts w:hint="eastAsia" w:eastAsia="仿宋"/>
          <w:sz w:val="32"/>
          <w:szCs w:val="32"/>
          <w:highlight w:val="none"/>
          <w:lang w:eastAsia="zh-CN"/>
        </w:rPr>
      </w:pPr>
      <w:r>
        <w:rPr>
          <w:rFonts w:hint="eastAsia" w:eastAsia="仿宋"/>
          <w:sz w:val="32"/>
          <w:szCs w:val="32"/>
          <w:highlight w:val="none"/>
          <w:lang w:eastAsia="zh-CN"/>
        </w:rPr>
        <w:t>附</w:t>
      </w:r>
      <w:r>
        <w:rPr>
          <w:rFonts w:hint="eastAsia" w:eastAsia="仿宋"/>
          <w:sz w:val="32"/>
          <w:szCs w:val="32"/>
          <w:highlight w:val="none"/>
          <w:lang w:val="en-US" w:eastAsia="zh-CN"/>
        </w:rPr>
        <w:t>件</w:t>
      </w:r>
      <w:r>
        <w:rPr>
          <w:rFonts w:hint="eastAsia" w:eastAsia="仿宋"/>
          <w:sz w:val="32"/>
          <w:szCs w:val="32"/>
          <w:highlight w:val="none"/>
          <w:lang w:eastAsia="zh-CN"/>
        </w:rPr>
        <w:t>：惠州市2023年省级涉农统筹整合资金安排和绩</w:t>
      </w:r>
    </w:p>
    <w:p>
      <w:pPr>
        <w:pStyle w:val="18"/>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left="0" w:firstLine="1600" w:firstLineChars="500"/>
        <w:jc w:val="both"/>
        <w:textAlignment w:val="auto"/>
        <w:rPr>
          <w:rFonts w:hint="eastAsia" w:eastAsia="仿宋"/>
          <w:sz w:val="32"/>
          <w:szCs w:val="32"/>
          <w:highlight w:val="none"/>
          <w:lang w:eastAsia="zh-CN"/>
        </w:rPr>
      </w:pPr>
      <w:r>
        <w:rPr>
          <w:rFonts w:hint="eastAsia" w:eastAsia="仿宋"/>
          <w:sz w:val="32"/>
          <w:szCs w:val="32"/>
          <w:highlight w:val="none"/>
          <w:lang w:eastAsia="zh-CN"/>
        </w:rPr>
        <w:t>效目标明细表</w:t>
      </w:r>
    </w:p>
    <w:p>
      <w:pPr>
        <w:pStyle w:val="18"/>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240" w:lineRule="auto"/>
        <w:ind w:left="0" w:firstLine="1600" w:firstLineChars="500"/>
        <w:jc w:val="both"/>
        <w:textAlignment w:val="auto"/>
        <w:rPr>
          <w:rFonts w:hint="eastAsia" w:eastAsia="仿宋"/>
          <w:sz w:val="32"/>
          <w:szCs w:val="32"/>
          <w:highlight w:val="none"/>
          <w:lang w:eastAsia="zh-CN"/>
        </w:rPr>
      </w:pPr>
    </w:p>
    <w:p/>
    <w:sectPr>
      <w:footerReference r:id="rId8"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Segoe Print"/>
    <w:panose1 w:val="020B0606030804020204"/>
    <w:charset w:val="00"/>
    <w:family w:val="auto"/>
    <w:pitch w:val="default"/>
    <w:sig w:usb0="00000000" w:usb1="00000000" w:usb2="00000028"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0</w:t>
                    </w:r>
                    <w:r>
                      <w:rPr>
                        <w:sz w:val="32"/>
                        <w:szCs w:val="32"/>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D63D2"/>
    <w:multiLevelType w:val="singleLevel"/>
    <w:tmpl w:val="85BD63D2"/>
    <w:lvl w:ilvl="0" w:tentative="0">
      <w:start w:val="1"/>
      <w:numFmt w:val="chineseCounting"/>
      <w:suff w:val="nothing"/>
      <w:lvlText w:val="（%1）"/>
      <w:lvlJc w:val="left"/>
      <w:pPr>
        <w:tabs>
          <w:tab w:val="left" w:pos="0"/>
        </w:tabs>
        <w:ind w:left="0" w:firstLine="0"/>
      </w:pPr>
      <w:rPr>
        <w:rFonts w:hint="eastAsia"/>
      </w:rPr>
    </w:lvl>
  </w:abstractNum>
  <w:abstractNum w:abstractNumId="1">
    <w:nsid w:val="B4892989"/>
    <w:multiLevelType w:val="singleLevel"/>
    <w:tmpl w:val="B4892989"/>
    <w:lvl w:ilvl="0" w:tentative="0">
      <w:start w:val="3"/>
      <w:numFmt w:val="chineseCounting"/>
      <w:suff w:val="nothing"/>
      <w:lvlText w:val="%1、"/>
      <w:lvlJc w:val="left"/>
      <w:pPr>
        <w:tabs>
          <w:tab w:val="left" w:pos="0"/>
        </w:tabs>
        <w:ind w:left="0" w:firstLine="0"/>
      </w:pPr>
      <w:rPr>
        <w:rFonts w:hint="eastAsia"/>
      </w:rPr>
    </w:lvl>
  </w:abstractNum>
  <w:abstractNum w:abstractNumId="2">
    <w:nsid w:val="585666CD"/>
    <w:multiLevelType w:val="singleLevel"/>
    <w:tmpl w:val="585666CD"/>
    <w:lvl w:ilvl="0" w:tentative="0">
      <w:start w:val="1"/>
      <w:numFmt w:val="chineseCounting"/>
      <w:suff w:val="nothing"/>
      <w:lvlText w:val="（%1）"/>
      <w:lvlJc w:val="left"/>
      <w:pPr>
        <w:tabs>
          <w:tab w:val="left" w:pos="0"/>
        </w:tabs>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20"/>
    <w:rsid w:val="004B2DAB"/>
    <w:rsid w:val="00AF7220"/>
    <w:rsid w:val="00B87FE3"/>
    <w:rsid w:val="00D90A02"/>
    <w:rsid w:val="014179A0"/>
    <w:rsid w:val="063C4ACE"/>
    <w:rsid w:val="1884798A"/>
    <w:rsid w:val="224D4663"/>
    <w:rsid w:val="39A85EC1"/>
    <w:rsid w:val="39CF6263"/>
    <w:rsid w:val="4D456205"/>
    <w:rsid w:val="524C6D57"/>
    <w:rsid w:val="54B42B24"/>
    <w:rsid w:val="5CCC0DC5"/>
    <w:rsid w:val="5D1149BE"/>
    <w:rsid w:val="60602C20"/>
    <w:rsid w:val="779FFDE7"/>
    <w:rsid w:val="77B3C60B"/>
    <w:rsid w:val="79F6C640"/>
    <w:rsid w:val="7B0C76AF"/>
    <w:rsid w:val="A52FAF8E"/>
    <w:rsid w:val="BDB179FF"/>
    <w:rsid w:val="DF3F3D48"/>
    <w:rsid w:val="EF7F6B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580" w:lineRule="exact"/>
      <w:ind w:firstLine="200" w:firstLineChars="200"/>
    </w:pPr>
  </w:style>
  <w:style w:type="paragraph" w:styleId="3">
    <w:name w:val="header"/>
    <w:basedOn w:val="1"/>
    <w:next w:val="4"/>
    <w:qFormat/>
    <w:uiPriority w:val="0"/>
    <w:pPr>
      <w:tabs>
        <w:tab w:val="center" w:pos="4153"/>
        <w:tab w:val="right" w:pos="8306"/>
      </w:tabs>
      <w:snapToGrid w:val="0"/>
    </w:pPr>
    <w:rPr>
      <w:sz w:val="18"/>
      <w:szCs w:val="24"/>
    </w:rPr>
  </w:style>
  <w:style w:type="paragraph" w:styleId="4">
    <w:name w:val="footer"/>
    <w:basedOn w:val="1"/>
    <w:next w:val="1"/>
    <w:qFormat/>
    <w:uiPriority w:val="0"/>
    <w:pPr>
      <w:tabs>
        <w:tab w:val="center" w:pos="4153"/>
        <w:tab w:val="right" w:pos="8306"/>
      </w:tabs>
      <w:snapToGrid w:val="0"/>
      <w:jc w:val="left"/>
    </w:pPr>
    <w:rPr>
      <w:sz w:val="18"/>
      <w:szCs w:val="24"/>
    </w:rPr>
  </w:style>
  <w:style w:type="paragraph" w:styleId="5">
    <w:name w:val="toc 2"/>
    <w:basedOn w:val="1"/>
    <w:next w:val="1"/>
    <w:qFormat/>
    <w:uiPriority w:val="0"/>
    <w:pPr>
      <w:spacing w:before="0" w:after="0"/>
      <w:ind w:left="200" w:leftChars="200"/>
    </w:pPr>
    <w:rPr>
      <w:rFonts w:cs="Droid Sans"/>
      <w:sz w:val="21"/>
      <w:szCs w:val="24"/>
      <w:lang w:bidi="ar-SA"/>
    </w:rPr>
  </w:style>
  <w:style w:type="paragraph" w:styleId="6">
    <w:name w:val="Body Text First Indent 2"/>
    <w:basedOn w:val="2"/>
    <w:qFormat/>
    <w:uiPriority w:val="0"/>
    <w:pPr>
      <w:widowControl w:val="0"/>
      <w:spacing w:after="120"/>
      <w:jc w:val="both"/>
    </w:pPr>
    <w:rPr>
      <w:rFonts w:ascii="仿宋_GB2312" w:hAnsi="仿宋_GB2312" w:eastAsia="仿宋" w:cs="仿宋_GB2312"/>
      <w:kern w:val="2"/>
      <w:sz w:val="21"/>
      <w:szCs w:val="32"/>
      <w:lang w:val="en-US" w:eastAsia="zh-CN" w:bidi="ar-SA"/>
    </w:rPr>
  </w:style>
  <w:style w:type="paragraph" w:customStyle="1" w:styleId="9">
    <w:name w:val="正文 New New New New New New New New New New New New New New New"/>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标题 3 New"/>
    <w:basedOn w:val="9"/>
    <w:next w:val="9"/>
    <w:qFormat/>
    <w:uiPriority w:val="0"/>
    <w:pPr>
      <w:spacing w:line="572" w:lineRule="exact"/>
      <w:jc w:val="center"/>
      <w:outlineLvl w:val="2"/>
    </w:pPr>
    <w:rPr>
      <w:rFonts w:ascii="宋体" w:hAnsi="宋体" w:eastAsia="方正小标宋简体" w:cs="宋体"/>
      <w:kern w:val="0"/>
      <w:sz w:val="44"/>
      <w:szCs w:val="27"/>
      <w:lang w:bidi="ar-SA"/>
    </w:rPr>
  </w:style>
  <w:style w:type="paragraph" w:customStyle="1" w:styleId="11">
    <w:name w:val="正文 New"/>
    <w:next w:val="1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2">
    <w:name w:val="目录 2 New New"/>
    <w:basedOn w:val="11"/>
    <w:next w:val="11"/>
    <w:qFormat/>
    <w:uiPriority w:val="0"/>
    <w:pPr>
      <w:ind w:left="200" w:leftChars="200"/>
    </w:pPr>
    <w:rPr>
      <w:rFonts w:eastAsia="宋体" w:cs="Droid Sans"/>
      <w:sz w:val="21"/>
      <w:szCs w:val="24"/>
      <w:lang w:bidi="ar-SA"/>
    </w:rPr>
  </w:style>
  <w:style w:type="paragraph" w:customStyle="1" w:styleId="13">
    <w:name w:val="正文 New New"/>
    <w:next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样式1"/>
    <w:basedOn w:val="15"/>
    <w:qFormat/>
    <w:uiPriority w:val="0"/>
    <w:rPr>
      <w:sz w:val="30"/>
      <w:szCs w:val="30"/>
    </w:rPr>
  </w:style>
  <w:style w:type="paragraph" w:customStyle="1" w:styleId="15">
    <w:name w:val="正文1"/>
    <w:basedOn w:val="13"/>
    <w:qFormat/>
    <w:uiPriority w:val="0"/>
    <w:pPr>
      <w:ind w:firstLine="233" w:firstLineChars="233"/>
    </w:pPr>
    <w:rPr>
      <w:rFonts w:ascii="仿宋_GB2312" w:eastAsia="仿宋_GB2312" w:cs="仿宋_GB2312"/>
      <w:sz w:val="30"/>
      <w:szCs w:val="30"/>
      <w:lang w:bidi="ar-SA"/>
    </w:rPr>
  </w:style>
  <w:style w:type="paragraph" w:customStyle="1" w:styleId="16">
    <w:name w:val="目录 2 New"/>
    <w:basedOn w:val="11"/>
    <w:next w:val="17"/>
    <w:qFormat/>
    <w:uiPriority w:val="0"/>
    <w:pPr>
      <w:ind w:left="200" w:leftChars="200"/>
    </w:pPr>
    <w:rPr>
      <w:rFonts w:eastAsia="宋体" w:cs="Droid Sans"/>
      <w:sz w:val="21"/>
      <w:szCs w:val="24"/>
      <w:lang w:bidi="ar-SA"/>
    </w:rPr>
  </w:style>
  <w:style w:type="paragraph" w:customStyle="1" w:styleId="17">
    <w:name w:val="正文 New New New New New New New New New New New New New"/>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w:next w:val="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目录 2 New New New New"/>
    <w:basedOn w:val="19"/>
    <w:next w:val="19"/>
    <w:qFormat/>
    <w:uiPriority w:val="0"/>
    <w:pPr>
      <w:ind w:left="200" w:leftChars="200"/>
    </w:pPr>
    <w:rPr>
      <w:rFonts w:cs="Droid Sans"/>
      <w:sz w:val="21"/>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0</Words>
  <Characters>0</Characters>
  <Lines>1</Lines>
  <Paragraphs>1</Paragraphs>
  <TotalTime>156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2011-02-26T09:06:00Z</dcterms:created>
  <dc:creator>科员01</dc:creator>
  <cp:lastModifiedBy>胡宇恒</cp:lastModifiedBy>
  <cp:lastPrinted>2024-07-10T03:56:30Z</cp:lastPrinted>
  <dcterms:modified xsi:type="dcterms:W3CDTF">2024-07-10T06:24:59Z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4FDF3B212EFC4AFE921015D823F6D1F3</vt:lpwstr>
  </property>
</Properties>
</file>