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6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215号</w:t>
      </w:r>
      <w:bookmarkStart w:id="0" w:name="_Hlk70674848"/>
      <w:bookmarkEnd w:id="0"/>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jc w:val="right"/>
        <w:textAlignment w:val="auto"/>
        <w:rPr>
          <w:rFonts w:hint="eastAsia" w:ascii="Times New Roman" w:hAnsi="Times New Roman"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惠州市惠阳区2023年度第五十批次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bCs/>
          <w:sz w:val="44"/>
          <w:szCs w:val="44"/>
        </w:rPr>
      </w:pPr>
      <w:bookmarkStart w:id="1" w:name="_GoBack"/>
      <w:r>
        <w:rPr>
          <w:rFonts w:hint="eastAsia" w:ascii="Times New Roman" w:hAnsi="Times New Roman" w:eastAsia="方正小标宋_GBK" w:cs="方正小标宋_GBK"/>
          <w:b/>
          <w:bCs/>
          <w:sz w:val="44"/>
          <w:szCs w:val="44"/>
        </w:rPr>
        <w:t>城镇建设用地征地补偿安置方案</w:t>
      </w:r>
    </w:p>
    <w:bookmarkEnd w:id="1"/>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b/>
          <w:bCs/>
          <w:sz w:val="36"/>
          <w:szCs w:val="36"/>
        </w:rPr>
      </w:pPr>
      <w:r>
        <w:rPr>
          <w:rFonts w:hint="eastAsia" w:ascii="Times New Roman" w:hAnsi="Times New Roman" w:eastAsia="方正仿宋_GBK"/>
          <w:b/>
          <w:bCs/>
          <w:sz w:val="36"/>
          <w:szCs w:val="36"/>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bCs/>
          <w:sz w:val="32"/>
          <w:szCs w:val="32"/>
        </w:rPr>
      </w:pPr>
      <w:r>
        <w:rPr>
          <w:rFonts w:ascii="Times New Roman" w:hAnsi="Times New Roman" w:eastAsia="方正仿宋_GBK"/>
          <w:bCs/>
          <w:sz w:val="32"/>
          <w:szCs w:val="32"/>
        </w:rPr>
        <w:t>为了公共利益的需要，经惠阳区人民政府研究，拟征收</w:t>
      </w:r>
      <w:r>
        <w:rPr>
          <w:rFonts w:hint="eastAsia" w:ascii="Times New Roman" w:hAnsi="Times New Roman" w:eastAsia="方正仿宋_GBK"/>
          <w:bCs/>
          <w:sz w:val="32"/>
          <w:szCs w:val="32"/>
        </w:rPr>
        <w:t>惠州市惠阳区秋长街道办事处经济联合总社集体</w:t>
      </w:r>
      <w:r>
        <w:rPr>
          <w:rFonts w:ascii="Times New Roman" w:hAnsi="Times New Roman" w:eastAsia="方正仿宋_GBK"/>
          <w:bCs/>
          <w:sz w:val="32"/>
          <w:szCs w:val="32"/>
        </w:rPr>
        <w:t>所有的</w:t>
      </w:r>
      <w:r>
        <w:rPr>
          <w:rFonts w:hint="eastAsia" w:ascii="Times New Roman" w:hAnsi="Times New Roman" w:eastAsia="方正仿宋_GBK"/>
          <w:bCs/>
          <w:sz w:val="32"/>
          <w:szCs w:val="32"/>
        </w:rPr>
        <w:t>0.7345</w:t>
      </w:r>
      <w:r>
        <w:rPr>
          <w:rFonts w:ascii="Times New Roman" w:hAnsi="Times New Roman" w:eastAsia="方正仿宋_GBK"/>
          <w:bCs/>
          <w:sz w:val="32"/>
          <w:szCs w:val="32"/>
        </w:rPr>
        <w:t>公顷</w:t>
      </w:r>
      <w:r>
        <w:rPr>
          <w:rFonts w:hint="eastAsia" w:ascii="Times New Roman" w:hAnsi="Times New Roman" w:eastAsia="方正仿宋_GBK"/>
          <w:bCs/>
          <w:sz w:val="32"/>
          <w:szCs w:val="32"/>
        </w:rPr>
        <w:t>集体</w:t>
      </w:r>
      <w:r>
        <w:rPr>
          <w:rFonts w:ascii="Times New Roman" w:hAnsi="Times New Roman" w:eastAsia="方正仿宋_GBK"/>
          <w:bCs/>
          <w:sz w:val="32"/>
          <w:szCs w:val="32"/>
        </w:rPr>
        <w:t>土地。</w:t>
      </w:r>
      <w:r>
        <w:rPr>
          <w:rFonts w:ascii="Times New Roman" w:hAnsi="Times New Roman" w:eastAsia="方正仿宋_GBK"/>
          <w:sz w:val="32"/>
          <w:szCs w:val="32"/>
        </w:rPr>
        <w:t>根据《</w:t>
      </w:r>
      <w:r>
        <w:rPr>
          <w:rFonts w:ascii="Times New Roman" w:hAnsi="Times New Roman" w:eastAsia="方正仿宋_GBK"/>
          <w:bCs/>
          <w:sz w:val="32"/>
          <w:szCs w:val="32"/>
        </w:rPr>
        <w:t>中华人民共和国土地管理法</w:t>
      </w:r>
      <w:r>
        <w:rPr>
          <w:rFonts w:ascii="Times New Roman" w:hAnsi="Times New Roman" w:eastAsia="方正仿宋_GBK"/>
          <w:sz w:val="32"/>
          <w:szCs w:val="32"/>
        </w:rPr>
        <w:t>》《中华人民共和国土地管理法实施条例》《广东省土地管理条例》《惠州市人民政府关于公布实施惠州市征收农用地区片综合地价的公告》（惠府公〔2024〕1号）和《惠州市集体土地征收与补偿办法》（惠府〔2021〕27号）等有关规定</w:t>
      </w:r>
      <w:r>
        <w:rPr>
          <w:rFonts w:ascii="Times New Roman" w:hAnsi="Times New Roman" w:eastAsia="方正仿宋_GBK"/>
          <w:bCs/>
          <w:sz w:val="32"/>
          <w:szCs w:val="32"/>
        </w:rPr>
        <w:t>，结合土地现状调查结果，制订本项目征地补偿安置方案如下：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rPr>
        <w:t>一、征收土地的位置、范围、权属、面积和现状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bCs/>
          <w:sz w:val="32"/>
          <w:szCs w:val="32"/>
        </w:rPr>
      </w:pPr>
      <w:r>
        <w:rPr>
          <w:rFonts w:ascii="Times New Roman" w:hAnsi="Times New Roman" w:eastAsia="方正仿宋_GBK"/>
          <w:bCs/>
          <w:sz w:val="32"/>
          <w:szCs w:val="32"/>
        </w:rPr>
        <w:t>拟征收土地位于</w:t>
      </w:r>
      <w:r>
        <w:rPr>
          <w:rFonts w:hint="eastAsia" w:ascii="Times New Roman" w:hAnsi="Times New Roman" w:eastAsia="方正仿宋_GBK"/>
          <w:bCs/>
          <w:sz w:val="32"/>
          <w:szCs w:val="32"/>
        </w:rPr>
        <w:t>惠阳区秋长街道高岭村地段</w:t>
      </w:r>
      <w:r>
        <w:rPr>
          <w:rFonts w:ascii="Times New Roman" w:hAnsi="Times New Roman" w:eastAsia="方正仿宋_GBK"/>
          <w:bCs/>
          <w:sz w:val="32"/>
          <w:szCs w:val="32"/>
        </w:rPr>
        <w:t>，属</w:t>
      </w:r>
      <w:r>
        <w:rPr>
          <w:rFonts w:hint="eastAsia" w:ascii="Times New Roman" w:hAnsi="Times New Roman" w:eastAsia="方正仿宋_GBK"/>
          <w:bCs/>
          <w:sz w:val="32"/>
          <w:szCs w:val="32"/>
        </w:rPr>
        <w:t>惠州市惠阳区秋长街道办事处经济联合总社</w:t>
      </w:r>
      <w:r>
        <w:rPr>
          <w:rFonts w:ascii="Times New Roman" w:hAnsi="Times New Roman" w:eastAsia="方正仿宋_GBK"/>
          <w:bCs/>
          <w:sz w:val="32"/>
          <w:szCs w:val="32"/>
        </w:rPr>
        <w:t>所有的集体土地，面积为</w:t>
      </w:r>
      <w:r>
        <w:rPr>
          <w:rFonts w:hint="eastAsia" w:ascii="Times New Roman" w:hAnsi="Times New Roman" w:eastAsia="方正仿宋_GBK"/>
          <w:bCs/>
          <w:sz w:val="32"/>
          <w:szCs w:val="32"/>
        </w:rPr>
        <w:t>0.7345</w:t>
      </w:r>
      <w:r>
        <w:rPr>
          <w:rFonts w:ascii="Times New Roman" w:hAnsi="Times New Roman" w:eastAsia="方正仿宋_GBK"/>
          <w:bCs/>
          <w:sz w:val="32"/>
          <w:szCs w:val="32"/>
        </w:rPr>
        <w:t>公顷，</w:t>
      </w:r>
      <w:r>
        <w:rPr>
          <w:rFonts w:hint="eastAsia" w:ascii="Times New Roman" w:hAnsi="Times New Roman" w:eastAsia="方正仿宋_GBK"/>
          <w:bCs/>
          <w:sz w:val="32"/>
          <w:szCs w:val="32"/>
        </w:rPr>
        <w:t>均属建设用地</w:t>
      </w:r>
      <w:r>
        <w:rPr>
          <w:rFonts w:ascii="Times New Roman" w:hAnsi="Times New Roman" w:eastAsia="方正仿宋_GBK"/>
          <w:bCs/>
          <w:sz w:val="32"/>
          <w:szCs w:val="32"/>
        </w:rPr>
        <w:t>。</w:t>
      </w:r>
      <w:r>
        <w:rPr>
          <w:rFonts w:hint="eastAsia" w:ascii="Times New Roman" w:hAnsi="Times New Roman" w:eastAsia="方正仿宋_GBK"/>
          <w:bCs/>
          <w:sz w:val="32"/>
          <w:szCs w:val="32"/>
        </w:rPr>
        <w:t>四</w:t>
      </w:r>
      <w:r>
        <w:rPr>
          <w:rFonts w:ascii="Times New Roman" w:hAnsi="Times New Roman" w:eastAsia="方正仿宋_GBK"/>
          <w:bCs/>
          <w:sz w:val="32"/>
          <w:szCs w:val="32"/>
        </w:rPr>
        <w:t>至范围详见附件《被征地</w:t>
      </w:r>
      <w:r>
        <w:rPr>
          <w:rFonts w:hint="eastAsia" w:ascii="Times New Roman" w:hAnsi="Times New Roman" w:eastAsia="方正仿宋_GBK"/>
          <w:bCs/>
          <w:sz w:val="32"/>
          <w:szCs w:val="32"/>
        </w:rPr>
        <w:t>四</w:t>
      </w:r>
      <w:r>
        <w:rPr>
          <w:rFonts w:ascii="Times New Roman" w:hAnsi="Times New Roman" w:eastAsia="方正仿宋_GBK"/>
          <w:bCs/>
          <w:sz w:val="32"/>
          <w:szCs w:val="32"/>
        </w:rPr>
        <w:t>至红线图</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仿宋"/>
          <w:bCs/>
          <w:sz w:val="32"/>
          <w:szCs w:val="32"/>
        </w:rPr>
        <w:t>2023年度第五十批次</w:t>
      </w:r>
      <w:r>
        <w:rPr>
          <w:rFonts w:hint="eastAsia" w:ascii="Times New Roman" w:hAnsi="Times New Roman" w:eastAsia="方正仿宋_GBK" w:cs="方正仿宋_GBK"/>
          <w:bCs/>
          <w:sz w:val="32"/>
          <w:szCs w:val="32"/>
        </w:rPr>
        <w:t>）</w:t>
      </w:r>
      <w:r>
        <w:rPr>
          <w:rFonts w:ascii="Times New Roman" w:hAnsi="Times New Roman" w:eastAsia="方正仿宋_GBK"/>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rPr>
        <w:t>二、征收目的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bCs/>
          <w:sz w:val="32"/>
          <w:szCs w:val="32"/>
        </w:rPr>
      </w:pPr>
      <w:r>
        <w:rPr>
          <w:rFonts w:ascii="Times New Roman" w:hAnsi="Times New Roman" w:eastAsia="方正仿宋_GBK"/>
          <w:bCs/>
          <w:sz w:val="32"/>
          <w:szCs w:val="32"/>
        </w:rPr>
        <w:t>本次拟征收土地用于</w:t>
      </w:r>
      <w:r>
        <w:rPr>
          <w:rFonts w:hint="eastAsia" w:ascii="Times New Roman" w:hAnsi="Times New Roman" w:eastAsia="方正仿宋_GBK"/>
          <w:bCs/>
          <w:sz w:val="32"/>
          <w:szCs w:val="32"/>
        </w:rPr>
        <w:t>卫生</w:t>
      </w:r>
      <w:r>
        <w:rPr>
          <w:rFonts w:ascii="Times New Roman" w:hAnsi="Times New Roman" w:eastAsia="方正仿宋_GBK"/>
          <w:sz w:val="32"/>
          <w:szCs w:val="32"/>
        </w:rPr>
        <w:t>项目</w:t>
      </w:r>
      <w:r>
        <w:rPr>
          <w:rFonts w:hint="eastAsia" w:ascii="Times New Roman" w:hAnsi="Times New Roman" w:eastAsia="方正仿宋_GBK"/>
          <w:bCs/>
          <w:sz w:val="32"/>
          <w:szCs w:val="32"/>
        </w:rPr>
        <w:t>用地</w:t>
      </w:r>
      <w:r>
        <w:rPr>
          <w:rFonts w:ascii="Times New Roman" w:hAnsi="Times New Roman" w:eastAsia="方正仿宋_GBK"/>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rPr>
        <w:t>三、土地补偿及安置补助费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bCs/>
          <w:sz w:val="32"/>
          <w:szCs w:val="32"/>
        </w:rPr>
        <w:t>按照《惠州市人民政府关于公布实施惠州市征收农用地区片综合地价的公告》（惠府公〔202</w:t>
      </w:r>
      <w:r>
        <w:rPr>
          <w:rFonts w:ascii="Times New Roman" w:hAnsi="Times New Roman" w:eastAsia="方正仿宋_GBK"/>
          <w:bCs/>
          <w:sz w:val="32"/>
          <w:szCs w:val="32"/>
        </w:rPr>
        <w:t>4</w:t>
      </w:r>
      <w:r>
        <w:rPr>
          <w:rFonts w:hint="eastAsia" w:ascii="Times New Roman" w:hAnsi="Times New Roman" w:eastAsia="方正仿宋_GBK"/>
          <w:bCs/>
          <w:sz w:val="32"/>
          <w:szCs w:val="32"/>
        </w:rPr>
        <w:t>〕</w:t>
      </w:r>
      <w:r>
        <w:rPr>
          <w:rFonts w:ascii="Times New Roman" w:hAnsi="Times New Roman" w:eastAsia="方正仿宋_GBK"/>
          <w:bCs/>
          <w:sz w:val="32"/>
          <w:szCs w:val="32"/>
        </w:rPr>
        <w:t>1</w:t>
      </w:r>
      <w:r>
        <w:rPr>
          <w:rFonts w:hint="eastAsia" w:ascii="Times New Roman" w:hAnsi="Times New Roman" w:eastAsia="方正仿宋_GBK"/>
          <w:bCs/>
          <w:sz w:val="32"/>
          <w:szCs w:val="32"/>
        </w:rPr>
        <w:t>号）规定，拟征收土地属于区片一类：</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征收建设用地</w:t>
      </w:r>
      <w:r>
        <w:rPr>
          <w:rFonts w:ascii="Times New Roman" w:hAnsi="Times New Roman" w:eastAsia="方正仿宋_GBK"/>
          <w:bCs/>
          <w:sz w:val="32"/>
          <w:szCs w:val="32"/>
        </w:rPr>
        <w:t>0.7345</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92.547</w:t>
      </w:r>
      <w:r>
        <w:rPr>
          <w:rFonts w:hint="eastAsia" w:ascii="Times New Roman" w:hAnsi="Times New Roman" w:eastAsia="方正仿宋_GBK" w:cs="方正仿宋_GBK"/>
          <w:bCs/>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以上土地补偿费共</w:t>
      </w:r>
      <w:r>
        <w:rPr>
          <w:rFonts w:ascii="Times New Roman" w:hAnsi="Times New Roman" w:eastAsia="方正仿宋_GBK" w:cs="方正仿宋_GBK"/>
          <w:sz w:val="32"/>
          <w:szCs w:val="32"/>
        </w:rPr>
        <w:t>92.547</w:t>
      </w:r>
      <w:r>
        <w:rPr>
          <w:rFonts w:hint="eastAsia" w:ascii="Times New Roman" w:hAnsi="Times New Roman"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仿宋"/>
          <w:b/>
          <w:bCs/>
          <w:sz w:val="32"/>
          <w:szCs w:val="32"/>
        </w:rPr>
      </w:pPr>
      <w:r>
        <w:rPr>
          <w:rFonts w:hint="eastAsia" w:ascii="Times New Roman" w:hAnsi="Times New Roman" w:eastAsia="方正黑体_GBK"/>
          <w:sz w:val="32"/>
          <w:szCs w:val="32"/>
        </w:rPr>
        <w:t>四、青苗及地上附着物补偿费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FF0000"/>
          <w:sz w:val="32"/>
          <w:szCs w:val="32"/>
        </w:rPr>
      </w:pPr>
      <w:r>
        <w:rPr>
          <w:rFonts w:hint="eastAsia" w:ascii="Times New Roman" w:hAnsi="Times New Roman" w:eastAsia="仿宋" w:cs="仿宋"/>
          <w:sz w:val="32"/>
          <w:szCs w:val="32"/>
        </w:rPr>
        <w:t>被征地上有两栋钢筋混凝土结构的房屋，历史上该两栋建筑物属国有资产，无需另行补偿。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b/>
          <w:bCs/>
          <w:sz w:val="32"/>
          <w:szCs w:val="32"/>
        </w:rPr>
      </w:pPr>
      <w:r>
        <w:rPr>
          <w:rFonts w:hint="eastAsia" w:ascii="Times New Roman" w:hAnsi="Times New Roman" w:eastAsia="方正黑体_GBK"/>
          <w:sz w:val="32"/>
          <w:szCs w:val="32"/>
        </w:rPr>
        <w:t>五、征地留用地补偿方式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FF0000"/>
          <w:sz w:val="32"/>
          <w:szCs w:val="32"/>
        </w:rPr>
      </w:pPr>
      <w:r>
        <w:rPr>
          <w:rFonts w:hint="eastAsia" w:ascii="Times New Roman" w:hAnsi="Times New Roman" w:eastAsia="方正仿宋_GBK"/>
          <w:sz w:val="32"/>
          <w:szCs w:val="32"/>
        </w:rPr>
        <w:t>征地留用地根据被征地村集体经济组织意愿，选择折算货币补偿的方式解决。按实际征地总面积的15%计算，面积为</w:t>
      </w:r>
      <w:r>
        <w:rPr>
          <w:rFonts w:ascii="Times New Roman" w:hAnsi="Times New Roman" w:eastAsia="方正仿宋_GBK"/>
          <w:sz w:val="32"/>
          <w:szCs w:val="32"/>
        </w:rPr>
        <w:t>0.1102</w:t>
      </w:r>
      <w:r>
        <w:rPr>
          <w:rFonts w:hint="eastAsia" w:ascii="Times New Roman" w:hAnsi="Times New Roman" w:eastAsia="方正仿宋_GBK"/>
          <w:sz w:val="32"/>
          <w:szCs w:val="32"/>
        </w:rPr>
        <w:t>公顷</w:t>
      </w:r>
      <w:r>
        <w:rPr>
          <w:rFonts w:hint="eastAsia" w:ascii="Times New Roman" w:hAnsi="Times New Roman" w:eastAsia="方正仿宋_GBK" w:cs="方正仿宋_GBK"/>
          <w:sz w:val="32"/>
          <w:szCs w:val="32"/>
        </w:rPr>
        <w:t>。根据《惠州市惠阳区人民政府关于印发&lt;惠州市惠阳区征地留用地折算货币补偿标准&gt;的通知》（惠阳府〔</w:t>
      </w:r>
      <w:r>
        <w:rPr>
          <w:rFonts w:hint="eastAsia" w:ascii="Times New Roman" w:hAnsi="Times New Roman" w:eastAsia="仿宋" w:cs="仿宋"/>
          <w:bCs/>
          <w:color w:val="000000"/>
          <w:sz w:val="32"/>
          <w:szCs w:val="32"/>
        </w:rPr>
        <w:t>2023</w:t>
      </w:r>
      <w:r>
        <w:rPr>
          <w:rFonts w:hint="eastAsia" w:ascii="Times New Roman" w:hAnsi="Times New Roman" w:eastAsia="方正仿宋_GBK" w:cs="方正仿宋_GBK"/>
          <w:sz w:val="32"/>
          <w:szCs w:val="32"/>
        </w:rPr>
        <w:t>〕30号），以</w:t>
      </w:r>
      <w:r>
        <w:rPr>
          <w:rFonts w:hint="eastAsia" w:ascii="Times New Roman" w:hAnsi="Times New Roman" w:eastAsia="方正仿宋_GBK" w:cs="仿宋"/>
          <w:bCs/>
          <w:sz w:val="32"/>
          <w:szCs w:val="32"/>
        </w:rPr>
        <w:t>1900</w:t>
      </w:r>
      <w:r>
        <w:rPr>
          <w:rFonts w:hint="eastAsia" w:ascii="Times New Roman" w:hAnsi="Times New Roman" w:eastAsia="方正仿宋_GBK" w:cs="方正仿宋_GBK"/>
          <w:sz w:val="32"/>
          <w:szCs w:val="32"/>
        </w:rPr>
        <w:t>元/平方米计算，补偿款共</w:t>
      </w:r>
      <w:r>
        <w:rPr>
          <w:rFonts w:ascii="Times New Roman" w:hAnsi="Times New Roman" w:eastAsia="方正仿宋_GBK"/>
          <w:sz w:val="32"/>
          <w:szCs w:val="32"/>
        </w:rPr>
        <w:t>209.38</w:t>
      </w:r>
      <w:r>
        <w:rPr>
          <w:rFonts w:hint="eastAsia" w:ascii="Times New Roman" w:hAnsi="Times New Roman" w:eastAsia="方正仿宋_GBK" w:cs="方正仿宋_GBK"/>
          <w:sz w:val="32"/>
          <w:szCs w:val="32"/>
        </w:rPr>
        <w:t>万元，留用地折算货币补偿款已足额存入征地预存款专户。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sz w:val="32"/>
          <w:szCs w:val="32"/>
        </w:rPr>
      </w:pPr>
      <w:r>
        <w:rPr>
          <w:rFonts w:hint="eastAsia" w:ascii="Times New Roman" w:hAnsi="Times New Roman" w:eastAsia="方正黑体_GBK"/>
          <w:bCs/>
          <w:sz w:val="32"/>
          <w:szCs w:val="32"/>
        </w:rPr>
        <w:t>六、被征地农民按广东省人力资源和社会保障厅有关规定纳入相应的养老等社会保障体系。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综上所述，惠州市惠阳区</w:t>
      </w:r>
      <w:r>
        <w:rPr>
          <w:rFonts w:hint="eastAsia" w:ascii="Times New Roman" w:hAnsi="Times New Roman" w:eastAsia="方正仿宋_GBK" w:cs="仿宋"/>
          <w:bCs/>
          <w:color w:val="000000"/>
          <w:sz w:val="32"/>
          <w:szCs w:val="32"/>
        </w:rPr>
        <w:t>2023年度第五十批次</w:t>
      </w:r>
      <w:r>
        <w:rPr>
          <w:rFonts w:hint="eastAsia" w:ascii="Times New Roman" w:hAnsi="Times New Roman" w:eastAsia="方正仿宋_GBK" w:cs="方正仿宋_GBK"/>
          <w:sz w:val="32"/>
          <w:szCs w:val="32"/>
        </w:rPr>
        <w:t>城镇建设用地</w:t>
      </w:r>
      <w:r>
        <w:rPr>
          <w:rFonts w:hint="eastAsia" w:ascii="Times New Roman" w:hAnsi="Times New Roman" w:eastAsia="方正仿宋_GBK" w:cs="方正仿宋_GBK"/>
          <w:bCs/>
          <w:sz w:val="32"/>
          <w:szCs w:val="32"/>
        </w:rPr>
        <w:t>征地补偿总费用</w:t>
      </w:r>
      <w:r>
        <w:rPr>
          <w:rFonts w:ascii="Times New Roman" w:hAnsi="Times New Roman" w:eastAsia="方正仿宋_GBK" w:cs="方正仿宋_GBK"/>
          <w:bCs/>
          <w:sz w:val="32"/>
          <w:szCs w:val="32"/>
        </w:rPr>
        <w:t>301.927</w:t>
      </w:r>
      <w:r>
        <w:rPr>
          <w:rFonts w:hint="eastAsia" w:ascii="Times New Roman" w:hAnsi="Times New Roman" w:eastAsia="方正仿宋_GBK" w:cs="方正仿宋_GBK"/>
          <w:bCs/>
          <w:sz w:val="32"/>
          <w:szCs w:val="32"/>
        </w:rPr>
        <w:t>万元，其中：征地补偿费用</w:t>
      </w:r>
      <w:r>
        <w:rPr>
          <w:rFonts w:ascii="Times New Roman" w:hAnsi="Times New Roman" w:eastAsia="方正仿宋_GBK" w:cs="方正仿宋_GBK"/>
          <w:bCs/>
          <w:sz w:val="32"/>
          <w:szCs w:val="32"/>
        </w:rPr>
        <w:t>92.547</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bCs/>
          <w:sz w:val="32"/>
          <w:szCs w:val="32"/>
        </w:rPr>
        <w:t>（含土地补偿费和安置补助费）、</w:t>
      </w:r>
      <w:r>
        <w:rPr>
          <w:rFonts w:hint="eastAsia" w:ascii="Times New Roman" w:hAnsi="Times New Roman" w:eastAsia="方正仿宋_GBK" w:cs="方正仿宋_GBK"/>
          <w:sz w:val="32"/>
          <w:szCs w:val="32"/>
        </w:rPr>
        <w:t>征地留用地折算货币补偿费</w:t>
      </w:r>
      <w:r>
        <w:rPr>
          <w:rFonts w:ascii="Times New Roman" w:hAnsi="Times New Roman" w:eastAsia="方正仿宋_GBK"/>
          <w:sz w:val="32"/>
          <w:szCs w:val="32"/>
        </w:rPr>
        <w:t>209.38</w:t>
      </w:r>
      <w:r>
        <w:rPr>
          <w:rFonts w:hint="eastAsia" w:ascii="Times New Roman" w:hAnsi="Times New Roman" w:eastAsia="方正仿宋_GBK" w:cs="方正仿宋_GBK"/>
          <w:sz w:val="32"/>
          <w:szCs w:val="32"/>
        </w:rPr>
        <w:t>万元。征地补偿总费用自征地公告期满之日起</w:t>
      </w:r>
      <w:r>
        <w:rPr>
          <w:rFonts w:hint="eastAsia"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个月内一次性支付给被征地权属单位和相关权利人。</w:t>
      </w:r>
      <w:r>
        <w:rPr>
          <w:rFonts w:hint="eastAsia" w:ascii="Times New Roman" w:hAnsi="Times New Roman" w:eastAsia="方正仿宋_GBK"/>
          <w:sz w:val="32"/>
          <w:szCs w:val="32"/>
        </w:rPr>
        <w:t xml:space="preserve"> </w:t>
      </w:r>
    </w:p>
    <w:p>
      <w:pPr>
        <w:spacing w:line="580" w:lineRule="exact"/>
        <w:ind w:firstLine="640" w:firstLineChars="200"/>
        <w:rPr>
          <w:rFonts w:eastAsia="方正仿宋_GBK"/>
          <w:sz w:val="32"/>
          <w:szCs w:val="32"/>
        </w:rPr>
      </w:pPr>
      <w:r>
        <w:rPr>
          <w:rFonts w:eastAsia="方正仿宋_GBK"/>
          <w:sz w:val="32"/>
          <w:szCs w:val="32"/>
        </w:rPr>
        <w:t xml:space="preserve"> </w:t>
      </w:r>
    </w:p>
    <w:p>
      <w:pPr>
        <w:rPr>
          <w:rFonts w:hint="eastAsia"/>
          <w:lang w:eastAsia="zh-CN"/>
        </w:rPr>
      </w:pPr>
    </w:p>
    <w:p>
      <w:pPr>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方正仿宋_GBK"/>
          <w:b w:val="0"/>
          <w:bCs w:val="0"/>
          <w:smallCaps w:val="0"/>
          <w:sz w:val="32"/>
          <w:szCs w:val="32"/>
          <w:lang w:val="en-US" w:eastAsia="zh-CN"/>
        </w:rPr>
      </w:pPr>
      <w:r>
        <w:rPr>
          <w:rFonts w:hint="eastAsia" w:ascii="Times New Roman" w:hAnsi="Times New Roman" w:eastAsia="方正仿宋_GBK" w:cs="方正仿宋_GBK"/>
          <w:b w:val="0"/>
          <w:bCs w:val="0"/>
          <w:smallCaps w:val="0"/>
          <w:sz w:val="32"/>
          <w:szCs w:val="32"/>
          <w:lang w:val="en-US" w:eastAsia="zh-CN"/>
        </w:rPr>
        <w:t xml:space="preserve">                       惠州市惠阳区自然资源局</w:t>
      </w: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jc w:val="both"/>
        <w:textAlignment w:val="auto"/>
        <w:rPr>
          <w:rFonts w:hint="eastAsia" w:ascii="Times New Roman" w:hAnsi="Times New Roman" w:eastAsia="方正仿宋_GBK" w:cs="方正仿宋_GBK"/>
          <w:b w:val="0"/>
          <w:bCs w:val="0"/>
          <w:sz w:val="32"/>
          <w:szCs w:val="32"/>
          <w:highlight w:val="none"/>
          <w:lang w:val="en-US" w:eastAsia="zh-CN"/>
        </w:rPr>
      </w:pPr>
      <w:r>
        <w:rPr>
          <w:rFonts w:hint="eastAsia" w:ascii="Times New Roman" w:hAnsi="Times New Roman" w:eastAsia="方正仿宋_GBK" w:cs="方正仿宋_GBK"/>
          <w:b w:val="0"/>
          <w:bCs w:val="0"/>
          <w:smallCaps w:val="0"/>
          <w:sz w:val="32"/>
          <w:szCs w:val="32"/>
          <w:lang w:val="en-US" w:eastAsia="zh-CN"/>
        </w:rPr>
        <w:t>2024年4月3日</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both"/>
        <w:textAlignment w:val="auto"/>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both"/>
        <w:textAlignment w:val="auto"/>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both"/>
        <w:textAlignment w:val="auto"/>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both"/>
        <w:textAlignment w:val="auto"/>
        <w:rPr>
          <w:rFonts w:hint="eastAsia" w:ascii="方正黑体_GBK" w:hAnsi="方正黑体_GBK" w:eastAsia="方正黑体_GBK" w:cs="方正黑体_GBK"/>
          <w:b w:val="0"/>
          <w:bCs w:val="0"/>
          <w:sz w:val="32"/>
          <w:szCs w:val="32"/>
          <w:highlight w:val="none"/>
          <w:lang w:val="en-US" w:eastAsia="zh-CN"/>
        </w:rPr>
      </w:pPr>
    </w:p>
    <w:p>
      <w:pPr>
        <w:pStyle w:val="2"/>
        <w:rPr>
          <w:rFonts w:hint="eastAsia" w:ascii="方正黑体_GBK" w:hAnsi="方正黑体_GBK" w:eastAsia="方正黑体_GBK" w:cs="方正黑体_GBK"/>
          <w:b w:val="0"/>
          <w:bCs w:val="0"/>
          <w:sz w:val="32"/>
          <w:szCs w:val="32"/>
          <w:highlight w:val="none"/>
          <w:lang w:val="en-US" w:eastAsia="zh-CN"/>
        </w:rPr>
      </w:pPr>
    </w:p>
    <w:p>
      <w:pPr>
        <w:rPr>
          <w:rFonts w:hint="eastAsia" w:ascii="方正黑体_GBK" w:hAnsi="方正黑体_GBK" w:eastAsia="方正黑体_GBK" w:cs="方正黑体_GBK"/>
          <w:b w:val="0"/>
          <w:bCs w:val="0"/>
          <w:sz w:val="32"/>
          <w:szCs w:val="32"/>
          <w:highlight w:val="none"/>
          <w:lang w:val="en-US" w:eastAsia="zh-CN"/>
        </w:rPr>
      </w:pPr>
    </w:p>
    <w:p>
      <w:pPr>
        <w:pStyle w:val="2"/>
        <w:rPr>
          <w:rFonts w:hint="eastAsia" w:ascii="方正黑体_GBK" w:hAnsi="方正黑体_GBK" w:eastAsia="方正黑体_GBK" w:cs="方正黑体_GBK"/>
          <w:b w:val="0"/>
          <w:bCs w:val="0"/>
          <w:sz w:val="32"/>
          <w:szCs w:val="32"/>
          <w:highlight w:val="none"/>
          <w:lang w:val="en-US" w:eastAsia="zh-CN"/>
        </w:rPr>
      </w:pPr>
    </w:p>
    <w:p>
      <w:pPr>
        <w:rPr>
          <w:rFonts w:hint="eastAsia" w:ascii="方正黑体_GBK" w:hAnsi="方正黑体_GBK" w:eastAsia="方正黑体_GBK" w:cs="方正黑体_GBK"/>
          <w:b w:val="0"/>
          <w:bCs w:val="0"/>
          <w:sz w:val="32"/>
          <w:szCs w:val="32"/>
          <w:highlight w:val="none"/>
          <w:lang w:val="en-US" w:eastAsia="zh-CN"/>
        </w:rPr>
      </w:pPr>
    </w:p>
    <w:p>
      <w:pPr>
        <w:pStyle w:val="2"/>
        <w:rPr>
          <w:rFonts w:hint="eastAsia" w:ascii="方正黑体_GBK" w:hAnsi="方正黑体_GBK" w:eastAsia="方正黑体_GBK" w:cs="方正黑体_GBK"/>
          <w:b w:val="0"/>
          <w:bCs w:val="0"/>
          <w:sz w:val="32"/>
          <w:szCs w:val="32"/>
          <w:highlight w:val="none"/>
          <w:lang w:val="en-US" w:eastAsia="zh-CN"/>
        </w:rPr>
      </w:pPr>
    </w:p>
    <w:p>
      <w:pPr>
        <w:rPr>
          <w:rFonts w:hint="eastAsia" w:ascii="方正黑体_GBK" w:hAnsi="方正黑体_GBK" w:eastAsia="方正黑体_GBK" w:cs="方正黑体_GBK"/>
          <w:b w:val="0"/>
          <w:bCs w:val="0"/>
          <w:sz w:val="32"/>
          <w:szCs w:val="32"/>
          <w:highlight w:val="none"/>
          <w:lang w:val="en-US" w:eastAsia="zh-CN"/>
        </w:rPr>
      </w:pPr>
    </w:p>
    <w:p>
      <w:pPr>
        <w:pStyle w:val="2"/>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方正仿宋_GBK" w:cs="方正仿宋_GBK"/>
          <w:b w:val="0"/>
          <w:bCs w:val="0"/>
          <w:sz w:val="32"/>
          <w:szCs w:val="32"/>
          <w:highlight w:val="none"/>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00BDA"/>
    <w:rsid w:val="00A8772B"/>
    <w:rsid w:val="00AA02D6"/>
    <w:rsid w:val="02257B41"/>
    <w:rsid w:val="02E41E33"/>
    <w:rsid w:val="03BA40E6"/>
    <w:rsid w:val="07022384"/>
    <w:rsid w:val="072667F0"/>
    <w:rsid w:val="07595D23"/>
    <w:rsid w:val="07E34DC0"/>
    <w:rsid w:val="08005AA1"/>
    <w:rsid w:val="0A50597E"/>
    <w:rsid w:val="0A933C15"/>
    <w:rsid w:val="0AC868F5"/>
    <w:rsid w:val="0B5A1B08"/>
    <w:rsid w:val="0E195E1B"/>
    <w:rsid w:val="12DA33CF"/>
    <w:rsid w:val="12F026CF"/>
    <w:rsid w:val="13472810"/>
    <w:rsid w:val="136B56B9"/>
    <w:rsid w:val="16FB1FDA"/>
    <w:rsid w:val="1E8B69CC"/>
    <w:rsid w:val="1F306073"/>
    <w:rsid w:val="213B726C"/>
    <w:rsid w:val="227617F4"/>
    <w:rsid w:val="23656CAE"/>
    <w:rsid w:val="237E2F75"/>
    <w:rsid w:val="270D740C"/>
    <w:rsid w:val="28735B14"/>
    <w:rsid w:val="2E3E0013"/>
    <w:rsid w:val="2F0A6AD6"/>
    <w:rsid w:val="30341BA7"/>
    <w:rsid w:val="32B1482B"/>
    <w:rsid w:val="333D7806"/>
    <w:rsid w:val="39A41CD4"/>
    <w:rsid w:val="407117ED"/>
    <w:rsid w:val="41DB7AB5"/>
    <w:rsid w:val="437E252F"/>
    <w:rsid w:val="43D33D83"/>
    <w:rsid w:val="44001448"/>
    <w:rsid w:val="46B2388A"/>
    <w:rsid w:val="4D56558C"/>
    <w:rsid w:val="4DF00BDA"/>
    <w:rsid w:val="50E25BB9"/>
    <w:rsid w:val="566B6F45"/>
    <w:rsid w:val="5CBF4BD3"/>
    <w:rsid w:val="5F4B71E9"/>
    <w:rsid w:val="616F317F"/>
    <w:rsid w:val="61962CA1"/>
    <w:rsid w:val="694A7ECF"/>
    <w:rsid w:val="6BF03E19"/>
    <w:rsid w:val="6CA11E3D"/>
    <w:rsid w:val="6E4A6CA6"/>
    <w:rsid w:val="6F161B2E"/>
    <w:rsid w:val="6F572193"/>
    <w:rsid w:val="70DE3649"/>
    <w:rsid w:val="71043DCD"/>
    <w:rsid w:val="722E7969"/>
    <w:rsid w:val="7775288C"/>
    <w:rsid w:val="782B556D"/>
    <w:rsid w:val="796C228B"/>
    <w:rsid w:val="7AE40773"/>
    <w:rsid w:val="7B1D42A1"/>
    <w:rsid w:val="7B543003"/>
    <w:rsid w:val="7E54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adjustRightInd w:val="0"/>
      <w:snapToGrid w:val="0"/>
      <w:spacing w:line="360" w:lineRule="auto"/>
      <w:ind w:firstLine="462"/>
      <w:textAlignment w:val="baseline"/>
    </w:pPr>
    <w:rPr>
      <w:rFonts w:eastAsia="仿宋_GB2312"/>
      <w:kern w:val="0"/>
      <w:sz w:val="24"/>
    </w:rPr>
  </w:style>
  <w:style w:type="paragraph" w:styleId="5">
    <w:name w:val="Body Text"/>
    <w:basedOn w:val="1"/>
    <w:next w:val="1"/>
    <w:qFormat/>
    <w:uiPriority w:val="0"/>
    <w:pPr>
      <w:spacing w:after="120" w:afterLines="0" w:afterAutospacing="0"/>
    </w:pPr>
  </w:style>
  <w:style w:type="paragraph" w:styleId="6">
    <w:name w:val="Body Text Indent"/>
    <w:basedOn w:val="1"/>
    <w:next w:val="4"/>
    <w:unhideWhenUsed/>
    <w:qFormat/>
    <w:uiPriority w:val="99"/>
    <w:pPr>
      <w:ind w:left="420" w:leftChars="200"/>
    </w:pPr>
  </w:style>
  <w:style w:type="paragraph" w:styleId="7">
    <w:name w:val="Block Text"/>
    <w:basedOn w:val="1"/>
    <w:next w:val="1"/>
    <w:qFormat/>
    <w:uiPriority w:val="0"/>
    <w:pPr>
      <w:spacing w:after="120"/>
      <w:ind w:left="1440" w:leftChars="700" w:right="1440" w:rightChars="700"/>
    </w:pPr>
  </w:style>
  <w:style w:type="paragraph" w:styleId="8">
    <w:name w:val="toc 2"/>
    <w:basedOn w:val="1"/>
    <w:next w:val="1"/>
    <w:qFormat/>
    <w:uiPriority w:val="0"/>
    <w:pPr>
      <w:ind w:left="0" w:firstLine="560" w:firstLineChars="200"/>
      <w:jc w:val="left"/>
    </w:pPr>
    <w:rPr>
      <w:rFonts w:ascii="Calibri" w:hAnsi="Calibri" w:eastAsia="宋体" w:cs="Times New Roman"/>
      <w:smallCaps/>
      <w:sz w:val="28"/>
      <w:szCs w:val="20"/>
    </w:rPr>
  </w:style>
  <w:style w:type="paragraph" w:styleId="9">
    <w:name w:val="Body Text First Indent 2"/>
    <w:basedOn w:val="6"/>
    <w:next w:val="1"/>
    <w:unhideWhenUsed/>
    <w:qFormat/>
    <w:uiPriority w:val="99"/>
    <w:pPr>
      <w:ind w:firstLine="420" w:firstLineChars="200"/>
    </w:pPr>
  </w:style>
  <w:style w:type="paragraph" w:customStyle="1" w:styleId="12">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13">
    <w:name w:val="UserStyle_0"/>
    <w:basedOn w:val="14"/>
    <w:next w:val="1"/>
    <w:qFormat/>
    <w:uiPriority w:val="0"/>
    <w:pPr>
      <w:ind w:firstLine="708" w:firstLineChars="236"/>
    </w:pPr>
    <w:rPr>
      <w:rFonts w:ascii="仿宋_GB2312" w:eastAsia="仿宋_GB2312"/>
      <w:sz w:val="30"/>
      <w:szCs w:val="30"/>
    </w:rPr>
  </w:style>
  <w:style w:type="paragraph" w:customStyle="1" w:styleId="14">
    <w:name w:val="UserStyle_1"/>
    <w:qFormat/>
    <w:uiPriority w:val="0"/>
    <w:pPr>
      <w:jc w:val="both"/>
      <w:textAlignment w:val="baseline"/>
    </w:pPr>
    <w:rPr>
      <w:rFonts w:ascii="Calibri" w:hAnsi="Calibri" w:eastAsia="宋体" w:cs="Times New Roman"/>
      <w:kern w:val="2"/>
      <w:sz w:val="21"/>
      <w:szCs w:val="22"/>
      <w:lang w:val="en-US" w:eastAsia="zh-CN" w:bidi="ar-SA"/>
    </w:rPr>
  </w:style>
  <w:style w:type="character" w:customStyle="1" w:styleId="15">
    <w:name w:val="readonlyfieldval1"/>
    <w:basedOn w:val="11"/>
    <w:qFormat/>
    <w:uiPriority w:val="0"/>
  </w:style>
  <w:style w:type="paragraph" w:customStyle="1" w:styleId="16">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17">
    <w:name w:val="样式1"/>
    <w:basedOn w:val="18"/>
    <w:next w:val="1"/>
    <w:qFormat/>
    <w:uiPriority w:val="0"/>
    <w:rPr>
      <w:rFonts w:ascii="Calibri" w:hAnsi="Calibri" w:eastAsia="方正小标宋_GBK" w:cs="Times New Roman"/>
    </w:rPr>
  </w:style>
  <w:style w:type="paragraph" w:customStyle="1" w:styleId="18">
    <w:name w:val="正文1"/>
    <w:basedOn w:val="19"/>
    <w:next w:val="7"/>
    <w:qFormat/>
    <w:uiPriority w:val="0"/>
    <w:pPr>
      <w:spacing w:line="580" w:lineRule="exact"/>
      <w:ind w:firstLine="880" w:firstLineChars="200"/>
    </w:pPr>
    <w:rPr>
      <w:rFonts w:ascii="仿宋" w:hAnsi="仿宋" w:eastAsia="方正仿宋_GBK" w:cs="仿宋"/>
      <w:kern w:val="6"/>
      <w:sz w:val="32"/>
      <w:szCs w:val="32"/>
    </w:rPr>
  </w:style>
  <w:style w:type="paragraph" w:customStyle="1" w:styleId="19">
    <w:name w:val="正文 New"/>
    <w:next w:val="17"/>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2024-02-06T10:04:00Z</dcterms:created>
  <dc:creator>办公室套文号</dc:creator>
  <cp:lastModifiedBy>办公室套文号</cp:lastModifiedBy>
  <cp:lastPrinted>2024-04-03T08:41:05Z</cp:lastPrinted>
  <dcterms:modified xsi:type="dcterms:W3CDTF">2024-04-03T08:41:15Z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B9FC33645F084112A457FC1F3410C3E2</vt:lpwstr>
  </property>
</Properties>
</file>