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 w:hAnsi="Times New Roman" w:eastAsia="仿宋_GB2312"/>
          <w:b w:val="0"/>
          <w:bCs w:val="0"/>
          <w:color w:val="auto"/>
          <w:sz w:val="32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</w:rPr>
        <w:t>惠市环建〔20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lang w:val="en-US" w:eastAsia="zh-CN"/>
        </w:rPr>
        <w:t>23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</w:rPr>
        <w:t>〕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lang w:val="en-US" w:eastAsia="zh-CN"/>
        </w:rPr>
        <w:t>95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306"/>
        <w:jc w:val="right"/>
        <w:textAlignment w:val="auto"/>
        <w:outlineLvl w:val="9"/>
        <w:rPr>
          <w:rFonts w:hint="eastAsia" w:ascii="仿宋_GB2312"/>
          <w:b w:val="0"/>
          <w:bCs w:val="0"/>
          <w:color w:val="auto"/>
        </w:rPr>
      </w:pPr>
    </w:p>
    <w:p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关于</w:t>
      </w:r>
      <w:r>
        <w:rPr>
          <w:rFonts w:hint="eastAsia" w:eastAsia="方正小标宋简体"/>
          <w:sz w:val="44"/>
        </w:rPr>
        <w:t>广东华电惠州东江燃机热电项目取水工程</w:t>
      </w:r>
      <w:r>
        <w:rPr>
          <w:rFonts w:eastAsia="方正小标宋简体"/>
          <w:sz w:val="44"/>
        </w:rPr>
        <w:t>环境影响报告</w:t>
      </w:r>
      <w:r>
        <w:rPr>
          <w:rFonts w:hint="eastAsia" w:eastAsia="方正小标宋简体"/>
          <w:sz w:val="44"/>
          <w:lang w:val="en-US" w:eastAsia="zh-CN"/>
        </w:rPr>
        <w:t>书</w:t>
      </w:r>
      <w:r>
        <w:rPr>
          <w:rFonts w:eastAsia="方正小标宋简体"/>
          <w:sz w:val="44"/>
        </w:rPr>
        <w:t>的批复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textAlignment w:val="auto"/>
      </w:pPr>
    </w:p>
    <w:p>
      <w:pPr>
        <w:pStyle w:val="5"/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firstLine="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广东华电惠州能源有限公司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你单位报批的《广东华电惠州东江燃机热电项目取水工程环境影响报告书》（以下简称“报告书”等材料收悉。经审查，符合《中华人民共和国环境影响评价法》的规定，批复如下：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广东华电惠州东江燃机热电项目取水工程，取水口位于惠州市惠城区水口镇廉福地的东江干流左岸、取水泵站位于惠州市惠城区水口街道蓬陵村PL-01地块、输水管网起点惠州市惠城区位于水口镇廉福地的东江干流左岸，终点位于广东惠州东江高新科技产业园南部，途经惠阳区、仲恺高新区，总用地为69676平方米，其中永久用地885平方米，临时用地68791平方米。项目主要包含：取水口、取水泵站和管网工程，管网采用2×DN560mm的输水管道，长约6.216</w:t>
      </w:r>
      <w:r>
        <w:rPr>
          <w:rFonts w:hint="eastAsia" w:ascii="Times New Roman" w:hAnsi="Times New Roman" w:cs="Times New Roman"/>
          <w:lang w:val="en-US" w:eastAsia="zh-CN"/>
        </w:rPr>
        <w:t>千米</w:t>
      </w:r>
      <w:r>
        <w:rPr>
          <w:rFonts w:hint="default" w:ascii="Times New Roman" w:hAnsi="Times New Roman" w:cs="Times New Roman"/>
          <w:lang w:val="en-US" w:eastAsia="zh-CN"/>
        </w:rPr>
        <w:t>（单线长度），管道埋深0.05~5.42</w:t>
      </w:r>
      <w:r>
        <w:rPr>
          <w:rFonts w:hint="eastAsia" w:ascii="Times New Roman" w:hAnsi="Times New Roman" w:cs="Times New Roman"/>
          <w:lang w:val="en-US" w:eastAsia="zh-CN"/>
        </w:rPr>
        <w:t>米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根据报告书的评价结论、</w:t>
      </w:r>
      <w:r>
        <w:rPr>
          <w:rFonts w:hint="eastAsia" w:ascii="Times New Roman" w:hAnsi="Times New Roman" w:cs="Times New Roman"/>
          <w:lang w:val="en-US" w:eastAsia="zh-CN"/>
        </w:rPr>
        <w:t>项目沿线各生态环境</w:t>
      </w:r>
      <w:r>
        <w:rPr>
          <w:rFonts w:hint="default" w:ascii="Times New Roman" w:hAnsi="Times New Roman" w:cs="Times New Roman"/>
          <w:lang w:val="en-US" w:eastAsia="zh-CN"/>
        </w:rPr>
        <w:t>分局的初审意见和惠州市环境科学研究所的技术评估意见，在全面落实</w:t>
      </w:r>
      <w:r>
        <w:rPr>
          <w:rFonts w:hint="eastAsia" w:ascii="Times New Roman" w:hAnsi="Times New Roman" w:cs="Times New Roman"/>
          <w:lang w:val="en-US" w:eastAsia="zh-CN"/>
        </w:rPr>
        <w:t>报告书</w:t>
      </w:r>
      <w:r>
        <w:rPr>
          <w:rFonts w:hint="default" w:ascii="Times New Roman" w:hAnsi="Times New Roman" w:cs="Times New Roman"/>
          <w:lang w:val="en-US" w:eastAsia="zh-CN"/>
        </w:rPr>
        <w:t>提出的各项污染防治</w:t>
      </w:r>
      <w:r>
        <w:rPr>
          <w:rFonts w:hint="eastAsia" w:ascii="Times New Roman" w:hAnsi="Times New Roman" w:cs="Times New Roman"/>
          <w:lang w:val="en-US" w:eastAsia="zh-CN"/>
        </w:rPr>
        <w:t>、生态保护</w:t>
      </w:r>
      <w:r>
        <w:rPr>
          <w:rFonts w:hint="default" w:ascii="Times New Roman" w:hAnsi="Times New Roman" w:cs="Times New Roman"/>
          <w:lang w:val="en-US" w:eastAsia="zh-CN"/>
        </w:rPr>
        <w:t>和环境风险防范措施，并确保</w:t>
      </w:r>
      <w:r>
        <w:rPr>
          <w:rFonts w:hint="eastAsia" w:ascii="Times New Roman" w:hAnsi="Times New Roman" w:cs="Times New Roman"/>
          <w:lang w:val="en-US" w:eastAsia="zh-CN"/>
        </w:rPr>
        <w:t>饮用水源和</w:t>
      </w:r>
      <w:r>
        <w:rPr>
          <w:rFonts w:hint="default" w:ascii="Times New Roman" w:hAnsi="Times New Roman" w:cs="Times New Roman"/>
          <w:lang w:val="en-US" w:eastAsia="zh-CN"/>
        </w:rPr>
        <w:t>生态环境安全的前提下，</w:t>
      </w:r>
      <w:r>
        <w:rPr>
          <w:rFonts w:hint="eastAsia" w:ascii="Times New Roman" w:hAnsi="Times New Roman" w:cs="Times New Roman"/>
          <w:lang w:val="en-US" w:eastAsia="zh-CN"/>
        </w:rPr>
        <w:t>我局原则同意报告书中所列性质、规模、地点、工艺和拟采取的生态环境保护措施。</w:t>
      </w:r>
      <w:r>
        <w:rPr>
          <w:rFonts w:hint="default" w:ascii="Times New Roman" w:hAnsi="Times New Roman" w:cs="Times New Roman"/>
          <w:lang w:val="en-US" w:eastAsia="zh-CN"/>
        </w:rPr>
        <w:t>项目建设和运营中还应重点做好以下工作: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认真落实生态保护、恢复措施，进一步优化施工方案严格控制施工范围，规范取水口头部桩基打桩、引水管道头部布设、开挖方等施工活动，防止因水土流失造成水环境污染，并做好施工后的生态恢复工作。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做好地表水环境保护工作。施工生产的基坑开挖废水、管线试压废水、含油废水及冲洗废水经处理后全部回用，不得外排。泥浆废水引入沉淀池沉淀净化后回用于施工工地洒水、降尘；剩余部分达到广东省《水污染物排放限值》（DB44/26-2001）第二时段一级标准后排入蓬陵排渠，禁止排入I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Ⅱ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类的水域和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Ⅲ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类水域中划定的保护区。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落实大气污染防治措施。按照《惠州市扬尘污染防治条例》等规定严格落实各项防尘措施，有效控制大气环境影响，采取施工场地围挡封闭、施工现场及时洒水等抑尘措施。施工扬尘、施工机械设备燃油废气和焊接烟尘等污染物排放应符合广东省《大气污染物排放限值》(DB44/27-2001)第二时段标准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0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落实噪声污染防治措施。尽量选用低噪声设备，采用有效降噪措施，确保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0"/>
          <w:lang w:val="en-US" w:eastAsia="zh-CN" w:bidi="ar-SA"/>
        </w:rPr>
        <w:t>厂界噪声符合《工业企业厂界环境噪声排放标准》（GB12348-2008）2类标准限值要求。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严格落实固体废物分类处置和综合利用措施。分类收集处理各类固体废物。及时清运、妥善处理施工期间产生的各类固体废弃物，做好弃土、建筑垃圾、清淤淤泥等处理处置。危险废物按相关规定妥善处理处置。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完善并落实有效的环境风险防范措施和应急预案，加强施工设施、取水泵站和管道的维护管理，有效防范突发环境事件，保障环境安全。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0" w:leftChars="0" w:firstLine="629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在施工和运营过程中，应定期发布环境信息，建立畅通的公众参与平台，加强与沿线地方政府、相关单位和群众的沟通协调，及时回应和解决公众关心、担忧的环境问题，切实维护公众合法环境权益。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Cs w:val="20"/>
        </w:rPr>
        <w:t>项目环保投资应纳入工程投资概算并予以落实。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报告书经批准后，建设项目的性质、规模、地点、采用的生产工艺或者防治污染、防止生态破坏的措施发生重大变动的，建设单位应当重新报批环境影响评价文件。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你公司应落实生态环境保护主体责任，加强生态环境管理，推进各项生态环境保护措施落实。项目建设必须严格执行配套的环境保护设施与主体工程同时设计、同时施工、同时投产使用的环境保护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三同时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制度。应将各项生态环境保护措施及概算纳入设计以及施工、工程监理等招标文件及合同，并明确责任。项目建成后，应按规定程序实施竣工环境保护验收。项目验收后，适时组织开展环境影响后评价。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你公司应在收到本批复后20个工作日内，将批准后的环境影响报告书送至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项目沿线各生态环境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分局，并按规定接受各级生态环境主管部门日常监督检查。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42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20" w:lineRule="exact"/>
        <w:ind w:left="42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惠州市生态环境局                                       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日 </w:t>
      </w: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公开方式：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主动公开 </w:t>
      </w:r>
    </w:p>
    <w:p>
      <w:pPr>
        <w:pStyle w:val="2"/>
        <w:ind w:left="840" w:hanging="840" w:hangingChars="3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抄送：惠州市生态环境局执法支队，惠州市生态环境局惠城分局、惠州市生态环境局惠阳分局、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惠州市生态环境局仲恺高新区分局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，广东华南环保产业技术研究院有限公司</w:t>
      </w:r>
    </w:p>
    <w:sectPr>
      <w:footerReference r:id="rId3" w:type="default"/>
      <w:pgSz w:w="11906" w:h="16838"/>
      <w:pgMar w:top="1440" w:right="1587" w:bottom="147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Times New Roman" w:hAnsi="Times New Roman" w:eastAsia="宋体" w:cs="Times New Roman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1828800" cy="3035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23.9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gCfv1gAAAAcBAAAPAAAAAAAAAAEAIAAAACIAAABkcnMvZG93&#10;bnJldi54bWxQSwECFAAUAAAACACHTuJAFS7uQjsCAABu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71F51"/>
    <w:multiLevelType w:val="singleLevel"/>
    <w:tmpl w:val="93E71F51"/>
    <w:lvl w:ilvl="0" w:tentative="0">
      <w:start w:val="1"/>
      <w:numFmt w:val="chineseCounting"/>
      <w:suff w:val="space"/>
      <w:lvlText w:val="(%1)"/>
      <w:lvlJc w:val="left"/>
      <w:pPr>
        <w:ind w:left="0" w:firstLine="629"/>
      </w:pPr>
      <w:rPr>
        <w:rFonts w:hint="eastAsia" w:ascii="Times New Roman" w:hAnsi="Times New Roman" w:eastAsia="仿宋" w:cs="Times New Roman"/>
        <w:sz w:val="32"/>
        <w:szCs w:val="32"/>
      </w:rPr>
    </w:lvl>
  </w:abstractNum>
  <w:abstractNum w:abstractNumId="1">
    <w:nsid w:val="3D64F7C7"/>
    <w:multiLevelType w:val="singleLevel"/>
    <w:tmpl w:val="3D64F7C7"/>
    <w:lvl w:ilvl="0" w:tentative="0">
      <w:start w:val="1"/>
      <w:numFmt w:val="chineseCounting"/>
      <w:suff w:val="nothing"/>
      <w:lvlText w:val="%1、"/>
      <w:lvlJc w:val="left"/>
      <w:rPr>
        <w:rFonts w:hint="eastAsia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E7F2E"/>
    <w:rsid w:val="15606804"/>
    <w:rsid w:val="174825FC"/>
    <w:rsid w:val="23A517B3"/>
    <w:rsid w:val="32FD21E3"/>
    <w:rsid w:val="37A03C03"/>
    <w:rsid w:val="407801A3"/>
    <w:rsid w:val="442A201C"/>
    <w:rsid w:val="4A721927"/>
    <w:rsid w:val="4C5A0409"/>
    <w:rsid w:val="4EE16D12"/>
    <w:rsid w:val="56AE7F2E"/>
    <w:rsid w:val="56D1630A"/>
    <w:rsid w:val="601D0716"/>
    <w:rsid w:val="69975A04"/>
    <w:rsid w:val="6F6F12A0"/>
    <w:rsid w:val="70A02F49"/>
    <w:rsid w:val="70AB47E2"/>
    <w:rsid w:val="771C5188"/>
    <w:rsid w:val="78C5269D"/>
    <w:rsid w:val="7D1A6322"/>
    <w:rsid w:val="7E686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ST Song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hint="eastAsia" w:ascii="宋体" w:hAnsi="Courier New"/>
      <w:szCs w:val="22"/>
    </w:rPr>
  </w:style>
  <w:style w:type="paragraph" w:styleId="4">
    <w:name w:val="Body Text"/>
    <w:basedOn w:val="1"/>
    <w:next w:val="5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ind w:firstLine="600"/>
    </w:pPr>
    <w:rPr>
      <w:rFonts w:ascii="仿宋_GB2312" w:eastAsia="仿宋_GB2312"/>
      <w:sz w:val="32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 w:afterLines="0" w:line="360" w:lineRule="auto"/>
      <w:ind w:left="90" w:leftChars="32" w:firstLine="560" w:firstLineChars="200"/>
    </w:pPr>
    <w:rPr>
      <w:rFonts w:cs="宋体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2023-10-12T08:04:00Z</dcterms:created>
  <dc:creator>Administrator</dc:creator>
  <cp:lastModifiedBy>钟永瑞</cp:lastModifiedBy>
  <cp:lastPrinted>2023-10-23T09:46:25Z</cp:lastPrinted>
  <dcterms:modified xsi:type="dcterms:W3CDTF">2023-10-23T09:52:00Z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C581132B6920445B8D620EF20BED0D98</vt:lpwstr>
  </property>
</Properties>
</file>