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eastAsia="楷体_GB2312"/>
          <w:sz w:val="32"/>
          <w:szCs w:val="32"/>
        </w:rPr>
      </w:pPr>
    </w:p>
    <w:p>
      <w:pPr>
        <w:pStyle w:val="23"/>
        <w:pageBreakBefore w:val="0"/>
        <w:widowControl w:val="0"/>
        <w:kinsoku/>
        <w:wordWrap/>
        <w:overflowPunct/>
        <w:topLinePunct w:val="0"/>
        <w:autoSpaceDE/>
        <w:autoSpaceDN/>
        <w:bidi w:val="0"/>
        <w:spacing w:line="580" w:lineRule="exact"/>
        <w:jc w:val="right"/>
        <w:textAlignment w:val="auto"/>
        <w:rPr>
          <w:rFonts w:hint="eastAsia" w:ascii="方正楷体_GBK" w:hAnsi="方正楷体_GBK" w:eastAsia="方正楷体_GBK" w:cs="方正楷体_GBK"/>
          <w:sz w:val="32"/>
          <w:szCs w:val="32"/>
          <w:lang w:val="en-US" w:eastAsia="zh-CN"/>
        </w:rPr>
      </w:pPr>
      <w:r>
        <w:rPr>
          <w:rFonts w:hint="eastAsia" w:ascii="Times New Roman" w:hAnsi="Times New Roman" w:eastAsia="方正仿宋_GBK" w:cs="方正仿宋_GBK"/>
          <w:sz w:val="32"/>
          <w:szCs w:val="32"/>
        </w:rPr>
        <w:t>惠阳</w:t>
      </w:r>
      <w:r>
        <w:rPr>
          <w:rFonts w:hint="eastAsia" w:ascii="Times New Roman" w:hAnsi="Times New Roman" w:eastAsia="方正仿宋_GBK" w:cs="方正仿宋_GBK"/>
          <w:sz w:val="32"/>
          <w:szCs w:val="32"/>
          <w:lang w:eastAsia="zh-CN"/>
        </w:rPr>
        <w:t>自然资</w:t>
      </w:r>
      <w:r>
        <w:rPr>
          <w:rFonts w:hint="eastAsia" w:ascii="Times New Roman" w:hAnsi="Times New Roman" w:eastAsia="方正仿宋_GBK" w:cs="方正仿宋_GBK"/>
          <w:sz w:val="32"/>
          <w:szCs w:val="32"/>
        </w:rPr>
        <w:t>〔20</w:t>
      </w:r>
      <w:r>
        <w:rPr>
          <w:rFonts w:hint="eastAsia" w:ascii="Times New Roman" w:hAnsi="Times New Roman" w:eastAsia="方正仿宋_GBK" w:cs="方正仿宋_GBK"/>
          <w:sz w:val="32"/>
          <w:szCs w:val="32"/>
          <w:lang w:val="en-US" w:eastAsia="zh-CN"/>
        </w:rPr>
        <w:t>23</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795</w:t>
      </w:r>
      <w:r>
        <w:rPr>
          <w:rFonts w:hint="eastAsia" w:ascii="Times New Roman" w:hAnsi="Times New Roman" w:eastAsia="方正仿宋_GBK" w:cs="方正仿宋_GBK"/>
          <w:sz w:val="32"/>
          <w:szCs w:val="32"/>
        </w:rPr>
        <w:t>号</w:t>
      </w:r>
      <w:r>
        <w:rPr>
          <w:rFonts w:hint="eastAsia" w:ascii="仿宋" w:hAnsi="仿宋" w:eastAsia="方正仿宋_GBK" w:cs="方正仿宋_GBK"/>
          <w:sz w:val="32"/>
          <w:szCs w:val="32"/>
        </w:rPr>
        <w:t xml:space="preserve">     </w:t>
      </w:r>
      <w:r>
        <w:rPr>
          <w:rFonts w:hint="eastAsia" w:ascii="仿宋" w:hAnsi="仿宋"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惠州市惠阳区自然资源局关于惠州市惠阳区2022年度第二十六批次城镇建设用地</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方正小标宋_GBK" w:cs="黑体"/>
          <w:b/>
          <w:bCs/>
          <w:sz w:val="44"/>
          <w:szCs w:val="44"/>
        </w:rPr>
      </w:pPr>
      <w:r>
        <w:rPr>
          <w:rFonts w:hint="eastAsia" w:ascii="Times New Roman" w:hAnsi="Times New Roman" w:eastAsia="方正小标宋_GBK" w:cs="黑体"/>
          <w:b/>
          <w:bCs/>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000000"/>
          <w:sz w:val="32"/>
          <w:szCs w:val="32"/>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仿宋"/>
          <w:bCs/>
          <w:color w:val="000000"/>
          <w:sz w:val="32"/>
          <w:szCs w:val="32"/>
        </w:rPr>
      </w:pPr>
      <w:r>
        <w:rPr>
          <w:rFonts w:hint="eastAsia" w:ascii="Times New Roman" w:hAnsi="Times New Roman" w:eastAsia="方正仿宋_GBK" w:cs="方正仿宋_GBK"/>
          <w:bCs/>
          <w:color w:val="000000"/>
          <w:sz w:val="32"/>
          <w:szCs w:val="32"/>
        </w:rPr>
        <w:t>为了公共利益的需要，经惠州市惠阳区人民政府研究，拟征收惠州市惠阳区三和街道铁门扇村石苟股份经济合作社、惠州市惠阳区三和街道铁门扇村下元股份经济合作社、惠州市惠阳区三和街道铁门扇村塘房股份经济合作社、惠州市惠阳区三和街道铁门扇村老屋股份经济合作社所有的面积合计</w:t>
      </w:r>
      <w:r>
        <w:rPr>
          <w:rFonts w:hint="eastAsia" w:ascii="Times New Roman" w:hAnsi="Times New Roman" w:eastAsia="方正仿宋_GBK" w:cs="仿宋"/>
          <w:bCs/>
          <w:color w:val="000000"/>
          <w:sz w:val="32"/>
          <w:szCs w:val="32"/>
        </w:rPr>
        <w:t>9.7983公顷</w:t>
      </w:r>
      <w:r>
        <w:rPr>
          <w:rFonts w:hint="eastAsia" w:ascii="Times New Roman" w:hAnsi="Times New Roman" w:eastAsia="方正仿宋_GBK" w:cs="方正仿宋_GBK"/>
          <w:bCs/>
          <w:color w:val="000000"/>
          <w:sz w:val="32"/>
          <w:szCs w:val="32"/>
        </w:rPr>
        <w:t>集体土地，作为惠州市惠阳区</w:t>
      </w:r>
      <w:r>
        <w:rPr>
          <w:rFonts w:hint="eastAsia" w:ascii="Times New Roman" w:hAnsi="Times New Roman" w:eastAsia="方正仿宋_GBK" w:cs="仿宋"/>
          <w:bCs/>
          <w:color w:val="000000"/>
          <w:sz w:val="32"/>
          <w:szCs w:val="32"/>
        </w:rPr>
        <w:t>2022年度第二十六批次</w:t>
      </w:r>
      <w:r>
        <w:rPr>
          <w:rFonts w:hint="eastAsia" w:ascii="Times New Roman" w:hAnsi="Times New Roman" w:eastAsia="方正仿宋_GBK" w:cs="方正仿宋_GBK"/>
          <w:bCs/>
          <w:color w:val="000000"/>
          <w:sz w:val="32"/>
          <w:szCs w:val="32"/>
        </w:rPr>
        <w:t>城镇建设用地。</w:t>
      </w:r>
      <w:r>
        <w:rPr>
          <w:rFonts w:hint="eastAsia" w:ascii="Times New Roman" w:hAnsi="Times New Roman" w:eastAsia="方正仿宋_GBK" w:cs="方正仿宋_GBK"/>
          <w:sz w:val="32"/>
          <w:szCs w:val="32"/>
        </w:rPr>
        <w:t>根据《</w:t>
      </w:r>
      <w:r>
        <w:rPr>
          <w:rFonts w:hint="eastAsia" w:ascii="Times New Roman" w:hAnsi="Times New Roman" w:eastAsia="方正仿宋_GBK" w:cs="方正仿宋_GBK"/>
          <w:bCs/>
          <w:color w:val="000000"/>
          <w:sz w:val="32"/>
          <w:szCs w:val="32"/>
        </w:rPr>
        <w:t>中华人民共和国土地管理法</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bCs/>
          <w:color w:val="000000"/>
          <w:sz w:val="32"/>
          <w:szCs w:val="32"/>
        </w:rPr>
        <w:t>中华人民共和国土地管理法实施条例</w:t>
      </w:r>
      <w:r>
        <w:rPr>
          <w:rFonts w:hint="eastAsia" w:ascii="Times New Roman" w:hAnsi="Times New Roman" w:eastAsia="方正仿宋_GBK" w:cs="方正仿宋_GBK"/>
          <w:sz w:val="32"/>
          <w:szCs w:val="32"/>
        </w:rPr>
        <w:t>》《广东省土地管理条例》《惠州市人民政府关于公布实施征收农用地区片综合地价的公告》（惠府公〔</w:t>
      </w:r>
      <w:r>
        <w:rPr>
          <w:rFonts w:hint="eastAsia" w:ascii="Times New Roman" w:hAnsi="Times New Roman" w:eastAsia="方正仿宋_GBK" w:cs="仿宋"/>
          <w:bCs/>
          <w:color w:val="000000"/>
          <w:sz w:val="32"/>
          <w:szCs w:val="32"/>
        </w:rPr>
        <w:t>2021</w:t>
      </w:r>
      <w:r>
        <w:rPr>
          <w:rFonts w:hint="eastAsia" w:ascii="Times New Roman" w:hAnsi="Times New Roman" w:eastAsia="方正仿宋_GBK" w:cs="方正仿宋_GBK"/>
          <w:sz w:val="32"/>
          <w:szCs w:val="32"/>
        </w:rPr>
        <w:t>〕</w:t>
      </w:r>
      <w:r>
        <w:rPr>
          <w:rFonts w:hint="eastAsia" w:ascii="Times New Roman" w:hAnsi="Times New Roman" w:eastAsia="方正仿宋_GBK" w:cs="仿宋"/>
          <w:bCs/>
          <w:color w:val="000000"/>
          <w:sz w:val="32"/>
          <w:szCs w:val="32"/>
        </w:rPr>
        <w:t>4</w:t>
      </w:r>
      <w:r>
        <w:rPr>
          <w:rFonts w:hint="eastAsia" w:ascii="Times New Roman" w:hAnsi="Times New Roman" w:eastAsia="方正仿宋_GBK" w:cs="方正仿宋_GBK"/>
          <w:sz w:val="32"/>
          <w:szCs w:val="32"/>
        </w:rPr>
        <w:t>号）和《惠州市集体土地征收与补偿办法》（惠府〔</w:t>
      </w:r>
      <w:r>
        <w:rPr>
          <w:rFonts w:hint="eastAsia" w:ascii="Times New Roman" w:hAnsi="Times New Roman" w:eastAsia="方正仿宋_GBK" w:cs="仿宋"/>
          <w:bCs/>
          <w:color w:val="000000"/>
          <w:sz w:val="32"/>
          <w:szCs w:val="32"/>
        </w:rPr>
        <w:t>2021</w:t>
      </w:r>
      <w:r>
        <w:rPr>
          <w:rFonts w:hint="eastAsia" w:ascii="Times New Roman" w:hAnsi="Times New Roman" w:eastAsia="方正仿宋_GBK" w:cs="方正仿宋_GBK"/>
          <w:sz w:val="32"/>
          <w:szCs w:val="32"/>
        </w:rPr>
        <w:t>〕</w:t>
      </w:r>
      <w:r>
        <w:rPr>
          <w:rFonts w:hint="eastAsia" w:ascii="Times New Roman" w:hAnsi="Times New Roman" w:eastAsia="方正仿宋_GBK" w:cs="仿宋"/>
          <w:bCs/>
          <w:color w:val="000000"/>
          <w:sz w:val="32"/>
          <w:szCs w:val="32"/>
        </w:rPr>
        <w:t>27</w:t>
      </w:r>
      <w:r>
        <w:rPr>
          <w:rFonts w:hint="eastAsia" w:ascii="Times New Roman" w:hAnsi="Times New Roman" w:eastAsia="方正仿宋_GBK" w:cs="方正仿宋_GBK"/>
          <w:sz w:val="32"/>
          <w:szCs w:val="32"/>
        </w:rPr>
        <w:t>号）等有关规定</w:t>
      </w:r>
      <w:r>
        <w:rPr>
          <w:rFonts w:hint="eastAsia" w:ascii="Times New Roman" w:hAnsi="Times New Roman" w:eastAsia="方正仿宋_GBK" w:cs="方正仿宋_GBK"/>
          <w:bCs/>
          <w:color w:val="000000"/>
          <w:sz w:val="32"/>
          <w:szCs w:val="32"/>
        </w:rPr>
        <w:t>，结合土地现状调查结果，制订本征地补偿安置方案，具体如下：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黑体_GBK" w:cs="方正黑体_GBK"/>
          <w:bCs/>
          <w:sz w:val="32"/>
          <w:szCs w:val="32"/>
        </w:rPr>
      </w:pPr>
      <w:bookmarkStart w:id="0" w:name="_Toc16733"/>
      <w:r>
        <w:rPr>
          <w:rFonts w:hint="eastAsia" w:ascii="Times New Roman" w:hAnsi="Times New Roman" w:eastAsia="方正黑体_GBK" w:cs="方正黑体_GBK"/>
          <w:bCs/>
          <w:sz w:val="32"/>
          <w:szCs w:val="32"/>
        </w:rPr>
        <w:t>一、</w:t>
      </w:r>
      <w:bookmarkEnd w:id="0"/>
      <w:r>
        <w:rPr>
          <w:rFonts w:hint="eastAsia" w:ascii="Times New Roman" w:hAnsi="Times New Roman" w:eastAsia="方正黑体_GBK" w:cs="方正黑体_GBK"/>
          <w:bCs/>
          <w:sz w:val="32"/>
          <w:szCs w:val="32"/>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拟征收土地位于惠州市</w:t>
      </w:r>
      <w:r>
        <w:rPr>
          <w:rFonts w:hint="eastAsia" w:ascii="Times New Roman" w:hAnsi="Times New Roman" w:eastAsia="方正仿宋_GBK" w:cs="方正仿宋_GBK"/>
          <w:bCs/>
          <w:color w:val="000000"/>
          <w:sz w:val="32"/>
          <w:szCs w:val="32"/>
        </w:rPr>
        <w:t>惠阳区三和街道铁门扇地段</w:t>
      </w:r>
      <w:r>
        <w:rPr>
          <w:rFonts w:hint="eastAsia" w:ascii="Times New Roman" w:hAnsi="Times New Roman" w:eastAsia="方正仿宋_GBK" w:cs="方正仿宋_GBK"/>
          <w:bCs/>
          <w:sz w:val="32"/>
          <w:szCs w:val="32"/>
        </w:rPr>
        <w:t>，属</w:t>
      </w:r>
      <w:r>
        <w:rPr>
          <w:rFonts w:hint="eastAsia" w:ascii="Times New Roman" w:hAnsi="Times New Roman" w:eastAsia="方正仿宋_GBK" w:cs="方正仿宋_GBK"/>
          <w:bCs/>
          <w:color w:val="000000"/>
          <w:sz w:val="32"/>
          <w:szCs w:val="32"/>
        </w:rPr>
        <w:t>惠州市惠阳区三和街道铁门扇村石苟股份经济合作社、惠州市惠阳区三和街道铁门扇村下元股份经济合作社、惠州市惠阳区三和街道铁门扇村塘房股份经济合作社、惠州市惠阳区三和街道铁门扇村老屋股份经济合作社</w:t>
      </w:r>
      <w:r>
        <w:rPr>
          <w:rFonts w:hint="eastAsia" w:ascii="Times New Roman" w:hAnsi="Times New Roman" w:eastAsia="方正仿宋_GBK" w:cs="方正仿宋_GBK"/>
          <w:bCs/>
          <w:sz w:val="32"/>
          <w:szCs w:val="32"/>
        </w:rPr>
        <w:t>所有的集体土地，面积合计</w:t>
      </w:r>
      <w:r>
        <w:rPr>
          <w:rFonts w:hint="eastAsia" w:ascii="Times New Roman" w:hAnsi="Times New Roman" w:eastAsia="方正仿宋_GBK" w:cs="仿宋"/>
          <w:bCs/>
          <w:color w:val="000000"/>
          <w:sz w:val="32"/>
          <w:szCs w:val="32"/>
        </w:rPr>
        <w:t>9.7983公顷</w:t>
      </w:r>
      <w:r>
        <w:rPr>
          <w:rFonts w:hint="eastAsia" w:ascii="Times New Roman" w:hAnsi="Times New Roman" w:eastAsia="方正仿宋_GBK" w:cs="方正仿宋_GBK"/>
          <w:bCs/>
          <w:sz w:val="32"/>
          <w:szCs w:val="32"/>
        </w:rPr>
        <w:t>，其中：园地</w:t>
      </w:r>
      <w:r>
        <w:rPr>
          <w:rFonts w:ascii="Times New Roman" w:hAnsi="Times New Roman" w:eastAsia="方正仿宋_GBK" w:cs="仿宋"/>
          <w:bCs/>
          <w:color w:val="000000"/>
          <w:sz w:val="32"/>
          <w:szCs w:val="32"/>
        </w:rPr>
        <w:t>7.3823</w:t>
      </w:r>
      <w:r>
        <w:rPr>
          <w:rFonts w:hint="eastAsia" w:ascii="Times New Roman" w:hAnsi="Times New Roman" w:eastAsia="方正仿宋_GBK" w:cs="方正仿宋_GBK"/>
          <w:bCs/>
          <w:sz w:val="32"/>
          <w:szCs w:val="32"/>
        </w:rPr>
        <w:t>公顷；林地</w:t>
      </w:r>
      <w:r>
        <w:rPr>
          <w:rFonts w:ascii="Times New Roman" w:hAnsi="Times New Roman" w:eastAsia="方正仿宋_GBK" w:cs="仿宋"/>
          <w:bCs/>
          <w:color w:val="000000"/>
          <w:sz w:val="32"/>
          <w:szCs w:val="32"/>
        </w:rPr>
        <w:t>0.0003</w:t>
      </w:r>
      <w:r>
        <w:rPr>
          <w:rFonts w:hint="eastAsia" w:ascii="Times New Roman" w:hAnsi="Times New Roman" w:eastAsia="方正仿宋_GBK" w:cs="方正仿宋_GBK"/>
          <w:bCs/>
          <w:sz w:val="32"/>
          <w:szCs w:val="32"/>
        </w:rPr>
        <w:t>公顷；草地</w:t>
      </w:r>
      <w:r>
        <w:rPr>
          <w:rFonts w:ascii="Times New Roman" w:hAnsi="Times New Roman" w:eastAsia="方正仿宋_GBK" w:cs="仿宋"/>
          <w:bCs/>
          <w:color w:val="000000"/>
          <w:sz w:val="32"/>
          <w:szCs w:val="32"/>
        </w:rPr>
        <w:t>0.2813</w:t>
      </w:r>
      <w:r>
        <w:rPr>
          <w:rFonts w:hint="eastAsia" w:ascii="Times New Roman" w:hAnsi="Times New Roman" w:eastAsia="方正仿宋_GBK" w:cs="方正仿宋_GBK"/>
          <w:bCs/>
          <w:sz w:val="32"/>
          <w:szCs w:val="32"/>
        </w:rPr>
        <w:t>公顷；其他农用地</w:t>
      </w:r>
      <w:r>
        <w:rPr>
          <w:rFonts w:ascii="Times New Roman" w:hAnsi="Times New Roman" w:eastAsia="方正仿宋_GBK" w:cs="仿宋"/>
          <w:bCs/>
          <w:color w:val="000000"/>
          <w:sz w:val="32"/>
          <w:szCs w:val="32"/>
        </w:rPr>
        <w:t>2.1344</w:t>
      </w:r>
      <w:r>
        <w:rPr>
          <w:rFonts w:hint="eastAsia" w:ascii="Times New Roman" w:hAnsi="Times New Roman" w:eastAsia="方正仿宋_GBK" w:cs="方正仿宋_GBK"/>
          <w:bCs/>
          <w:sz w:val="32"/>
          <w:szCs w:val="32"/>
        </w:rPr>
        <w:t>公顷。四至范围详见附件《被征地四至红线图（惠阳区</w:t>
      </w:r>
      <w:r>
        <w:rPr>
          <w:rFonts w:hint="eastAsia" w:ascii="Times New Roman" w:hAnsi="Times New Roman" w:eastAsia="方正仿宋_GBK" w:cs="仿宋"/>
          <w:bCs/>
          <w:color w:val="000000"/>
          <w:sz w:val="32"/>
          <w:szCs w:val="32"/>
        </w:rPr>
        <w:t>2022年度第二十六批次</w:t>
      </w:r>
      <w:r>
        <w:rPr>
          <w:rFonts w:hint="eastAsia" w:ascii="Times New Roman" w:hAnsi="Times New Roman" w:eastAsia="方正仿宋_GBK" w:cs="方正仿宋_GBK"/>
          <w:bCs/>
          <w:sz w:val="32"/>
          <w:szCs w:val="32"/>
        </w:rPr>
        <w:t>）》。</w:t>
      </w:r>
    </w:p>
    <w:p>
      <w:pPr>
        <w:spacing w:line="560" w:lineRule="exact"/>
        <w:ind w:firstLine="640" w:firstLineChars="200"/>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二、征收目的</w:t>
      </w:r>
    </w:p>
    <w:p>
      <w:pPr>
        <w:spacing w:line="560" w:lineRule="exact"/>
        <w:ind w:firstLine="640" w:firstLineChars="200"/>
        <w:rPr>
          <w:rFonts w:ascii="Times New Roman" w:hAnsi="Times New Roman" w:eastAsia="方正仿宋_GBK" w:cs="仿宋"/>
          <w:bCs/>
          <w:sz w:val="32"/>
          <w:szCs w:val="32"/>
        </w:rPr>
      </w:pPr>
      <w:r>
        <w:rPr>
          <w:rFonts w:hint="eastAsia" w:ascii="Times New Roman" w:hAnsi="Times New Roman" w:eastAsia="方正仿宋_GBK" w:cs="方正仿宋_GBK"/>
          <w:bCs/>
          <w:sz w:val="32"/>
          <w:szCs w:val="32"/>
        </w:rPr>
        <w:t>本次征收土地拟用于工业项目建设。</w:t>
      </w:r>
    </w:p>
    <w:p>
      <w:pPr>
        <w:spacing w:line="560" w:lineRule="exact"/>
        <w:ind w:firstLine="640" w:firstLineChars="20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三、土地补偿及安置补助费</w:t>
      </w:r>
    </w:p>
    <w:p>
      <w:pPr>
        <w:spacing w:line="560"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按照《惠州市人民政府关于公布实施征收农用地区片综合地价的公告》（惠府公〔2021〕4号）规定，拟征收土地属于区片一类：</w:t>
      </w:r>
    </w:p>
    <w:p>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征收园地</w:t>
      </w:r>
      <w:r>
        <w:rPr>
          <w:rFonts w:ascii="Times New Roman" w:hAnsi="Times New Roman" w:eastAsia="方正仿宋_GBK" w:cs="仿宋"/>
          <w:bCs/>
          <w:color w:val="000000"/>
          <w:sz w:val="32"/>
          <w:szCs w:val="32"/>
        </w:rPr>
        <w:t>7.3823</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930.1698</w:t>
      </w:r>
      <w:r>
        <w:rPr>
          <w:rFonts w:hint="eastAsia" w:ascii="Times New Roman" w:hAnsi="Times New Roman" w:eastAsia="方正仿宋_GBK" w:cs="方正仿宋_GBK"/>
          <w:bCs/>
          <w:sz w:val="32"/>
          <w:szCs w:val="32"/>
        </w:rPr>
        <w:t>万元；</w:t>
      </w:r>
    </w:p>
    <w:p>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征收林地</w:t>
      </w:r>
      <w:r>
        <w:rPr>
          <w:rFonts w:ascii="Times New Roman" w:hAnsi="Times New Roman" w:eastAsia="方正仿宋_GBK" w:cs="仿宋"/>
          <w:bCs/>
          <w:color w:val="000000"/>
          <w:sz w:val="32"/>
          <w:szCs w:val="32"/>
        </w:rPr>
        <w:t>0.0003</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sz w:val="32"/>
          <w:szCs w:val="32"/>
        </w:rPr>
        <w:t>69.3</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0.0208</w:t>
      </w:r>
      <w:r>
        <w:rPr>
          <w:rFonts w:hint="eastAsia" w:ascii="Times New Roman" w:hAnsi="Times New Roman" w:eastAsia="方正仿宋_GBK" w:cs="方正仿宋_GBK"/>
          <w:bCs/>
          <w:sz w:val="32"/>
          <w:szCs w:val="32"/>
        </w:rPr>
        <w:t>万元；</w:t>
      </w:r>
    </w:p>
    <w:p>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征收草地</w:t>
      </w:r>
      <w:r>
        <w:rPr>
          <w:rFonts w:ascii="Times New Roman" w:hAnsi="Times New Roman" w:eastAsia="方正仿宋_GBK" w:cs="仿宋"/>
          <w:bCs/>
          <w:color w:val="000000"/>
          <w:sz w:val="32"/>
          <w:szCs w:val="32"/>
        </w:rPr>
        <w:t>0.2813</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35.4438</w:t>
      </w:r>
      <w:r>
        <w:rPr>
          <w:rFonts w:hint="eastAsia" w:ascii="Times New Roman" w:hAnsi="Times New Roman" w:eastAsia="方正仿宋_GBK" w:cs="方正仿宋_GBK"/>
          <w:bCs/>
          <w:sz w:val="32"/>
          <w:szCs w:val="32"/>
        </w:rPr>
        <w:t>万元；</w:t>
      </w:r>
    </w:p>
    <w:p>
      <w:pPr>
        <w:spacing w:line="56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征收其他农用地</w:t>
      </w:r>
      <w:r>
        <w:rPr>
          <w:rFonts w:ascii="Times New Roman" w:hAnsi="Times New Roman" w:eastAsia="方正仿宋_GBK" w:cs="仿宋"/>
          <w:bCs/>
          <w:color w:val="000000"/>
          <w:sz w:val="32"/>
          <w:szCs w:val="32"/>
        </w:rPr>
        <w:t>2.1344</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color w:val="000000"/>
          <w:sz w:val="32"/>
          <w:szCs w:val="32"/>
        </w:rPr>
        <w:t>126</w:t>
      </w:r>
      <w:r>
        <w:rPr>
          <w:rFonts w:hint="eastAsia" w:ascii="Times New Roman" w:hAnsi="Times New Roman" w:eastAsia="方正仿宋_GBK" w:cs="方正仿宋_GBK"/>
          <w:bCs/>
          <w:sz w:val="32"/>
          <w:szCs w:val="32"/>
        </w:rPr>
        <w:t>万元/公顷，需补偿费268.9344万元。</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以上土地补偿费共</w:t>
      </w:r>
      <w:r>
        <w:rPr>
          <w:rFonts w:ascii="Times New Roman" w:hAnsi="Times New Roman" w:eastAsia="方正仿宋_GBK" w:cs="方正仿宋_GBK"/>
          <w:sz w:val="32"/>
          <w:szCs w:val="32"/>
        </w:rPr>
        <w:t>1234.5688</w:t>
      </w:r>
      <w:r>
        <w:rPr>
          <w:rFonts w:hint="eastAsia" w:ascii="Times New Roman" w:hAnsi="Times New Roman" w:eastAsia="方正仿宋_GBK" w:cs="方正仿宋_GBK"/>
          <w:sz w:val="32"/>
          <w:szCs w:val="32"/>
        </w:rPr>
        <w:t>万元，自征地公告发布之日起</w:t>
      </w:r>
      <w:r>
        <w:rPr>
          <w:rFonts w:hint="eastAsia" w:ascii="Times New Roman" w:hAnsi="Times New Roman" w:eastAsia="方正仿宋_GBK" w:cs="仿宋"/>
          <w:bCs/>
          <w:color w:val="000000"/>
          <w:sz w:val="32"/>
          <w:szCs w:val="32"/>
        </w:rPr>
        <w:t>3</w:t>
      </w:r>
      <w:r>
        <w:rPr>
          <w:rFonts w:hint="eastAsia" w:ascii="Times New Roman" w:hAnsi="Times New Roman" w:eastAsia="方正仿宋_GBK" w:cs="方正仿宋_GBK"/>
          <w:sz w:val="32"/>
          <w:szCs w:val="32"/>
        </w:rPr>
        <w:t>个月内一次性直接支付给被征地权属单位。</w:t>
      </w:r>
    </w:p>
    <w:p>
      <w:pPr>
        <w:spacing w:line="560" w:lineRule="exact"/>
        <w:ind w:firstLine="640" w:firstLineChars="200"/>
        <w:rPr>
          <w:rFonts w:ascii="Times New Roman" w:hAnsi="Times New Roman" w:eastAsia="仿宋" w:cs="仿宋"/>
          <w:b/>
          <w:bCs/>
          <w:sz w:val="32"/>
          <w:szCs w:val="32"/>
        </w:rPr>
      </w:pPr>
      <w:r>
        <w:rPr>
          <w:rFonts w:hint="eastAsia" w:ascii="Times New Roman" w:hAnsi="Times New Roman" w:eastAsia="方正黑体_GBK" w:cs="方正黑体_GBK"/>
          <w:sz w:val="32"/>
          <w:szCs w:val="32"/>
        </w:rPr>
        <w:t>四、青苗及地上附着物补偿费</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被征地上有框架、混合结构房屋、果树等地上附着物，按《惠州市集体土地征收与补偿办法》（惠府〔</w:t>
      </w:r>
      <w:r>
        <w:rPr>
          <w:rFonts w:hint="eastAsia" w:ascii="Times New Roman" w:hAnsi="Times New Roman" w:eastAsia="仿宋" w:cs="仿宋"/>
          <w:bCs/>
          <w:color w:val="000000"/>
          <w:sz w:val="32"/>
          <w:szCs w:val="32"/>
        </w:rPr>
        <w:t>2021</w:t>
      </w:r>
      <w:r>
        <w:rPr>
          <w:rFonts w:hint="eastAsia" w:ascii="Times New Roman" w:hAnsi="Times New Roman" w:eastAsia="仿宋" w:cs="仿宋"/>
          <w:sz w:val="32"/>
          <w:szCs w:val="32"/>
        </w:rPr>
        <w:t>〕</w:t>
      </w:r>
      <w:r>
        <w:rPr>
          <w:rFonts w:hint="eastAsia" w:ascii="Times New Roman" w:hAnsi="Times New Roman" w:eastAsia="仿宋" w:cs="仿宋"/>
          <w:bCs/>
          <w:color w:val="000000"/>
          <w:sz w:val="32"/>
          <w:szCs w:val="32"/>
        </w:rPr>
        <w:t>27</w:t>
      </w:r>
      <w:r>
        <w:rPr>
          <w:rFonts w:hint="eastAsia" w:ascii="Times New Roman" w:hAnsi="Times New Roman" w:eastAsia="仿宋" w:cs="仿宋"/>
          <w:sz w:val="32"/>
          <w:szCs w:val="32"/>
        </w:rPr>
        <w:t>号）确定的补偿标准进行补偿，需补偿</w:t>
      </w:r>
      <w:r>
        <w:rPr>
          <w:rFonts w:hint="eastAsia" w:ascii="Times New Roman" w:hAnsi="Times New Roman" w:eastAsia="方正仿宋_GBK" w:cs="方正仿宋_GBK"/>
          <w:sz w:val="32"/>
          <w:szCs w:val="32"/>
        </w:rPr>
        <w:t>费共</w:t>
      </w:r>
      <w:r>
        <w:rPr>
          <w:rFonts w:ascii="Times New Roman" w:hAnsi="Times New Roman" w:eastAsia="方正仿宋_GBK"/>
          <w:bCs/>
          <w:sz w:val="32"/>
          <w:szCs w:val="32"/>
        </w:rPr>
        <w:t>11</w:t>
      </w:r>
      <w:r>
        <w:rPr>
          <w:rFonts w:hint="eastAsia" w:ascii="Times New Roman" w:hAnsi="Times New Roman" w:eastAsia="方正仿宋_GBK"/>
          <w:bCs/>
          <w:sz w:val="32"/>
          <w:szCs w:val="32"/>
        </w:rPr>
        <w:t>33.3960</w:t>
      </w:r>
      <w:r>
        <w:rPr>
          <w:rFonts w:hint="eastAsia" w:ascii="Times New Roman" w:hAnsi="Times New Roman" w:eastAsia="仿宋" w:cs="仿宋"/>
          <w:sz w:val="32"/>
          <w:szCs w:val="32"/>
        </w:rPr>
        <w:t>万元（补偿以实际发生为准）。地上附着物补偿费自</w:t>
      </w:r>
      <w:r>
        <w:rPr>
          <w:rFonts w:hint="eastAsia" w:ascii="Times New Roman" w:hAnsi="Times New Roman" w:eastAsia="方正仿宋_GBK" w:cs="方正仿宋_GBK"/>
          <w:sz w:val="32"/>
          <w:szCs w:val="32"/>
        </w:rPr>
        <w:t>征地公告发布之日起</w:t>
      </w:r>
      <w:r>
        <w:rPr>
          <w:rFonts w:hint="eastAsia" w:ascii="Times New Roman" w:hAnsi="Times New Roman" w:eastAsia="仿宋" w:cs="仿宋"/>
          <w:bCs/>
          <w:color w:val="000000"/>
          <w:sz w:val="32"/>
          <w:szCs w:val="32"/>
        </w:rPr>
        <w:t>3</w:t>
      </w:r>
      <w:r>
        <w:rPr>
          <w:rFonts w:hint="eastAsia" w:ascii="Times New Roman" w:hAnsi="Times New Roman" w:eastAsia="方正仿宋_GBK" w:cs="方正仿宋_GBK"/>
          <w:sz w:val="32"/>
          <w:szCs w:val="32"/>
        </w:rPr>
        <w:t>个月内</w:t>
      </w:r>
      <w:r>
        <w:rPr>
          <w:rFonts w:hint="eastAsia" w:ascii="Times New Roman" w:hAnsi="Times New Roman" w:eastAsia="仿宋" w:cs="仿宋"/>
          <w:sz w:val="32"/>
          <w:szCs w:val="32"/>
        </w:rPr>
        <w:t>一次性支付给权属人。</w:t>
      </w:r>
    </w:p>
    <w:p>
      <w:pPr>
        <w:spacing w:line="560" w:lineRule="exact"/>
        <w:ind w:firstLine="640" w:firstLineChars="200"/>
        <w:rPr>
          <w:rFonts w:ascii="Times New Roman" w:hAnsi="Times New Roman" w:eastAsia="仿宋" w:cs="仿宋"/>
          <w:b/>
          <w:bCs/>
          <w:sz w:val="32"/>
          <w:szCs w:val="32"/>
        </w:rPr>
      </w:pPr>
      <w:r>
        <w:rPr>
          <w:rFonts w:hint="eastAsia" w:ascii="Times New Roman" w:hAnsi="Times New Roman" w:eastAsia="方正黑体_GBK" w:cs="方正黑体_GBK"/>
          <w:sz w:val="32"/>
          <w:szCs w:val="32"/>
        </w:rPr>
        <w:t>五、征地留用地补偿方式</w:t>
      </w:r>
    </w:p>
    <w:p>
      <w:pPr>
        <w:spacing w:line="560" w:lineRule="exact"/>
        <w:ind w:firstLine="640" w:firstLineChars="200"/>
        <w:rPr>
          <w:rFonts w:ascii="Times New Roman" w:hAnsi="Times New Roman" w:eastAsia="方正仿宋_GBK" w:cs="方正仿宋_GBK"/>
          <w:color w:val="FF0000"/>
          <w:sz w:val="32"/>
          <w:szCs w:val="32"/>
        </w:rPr>
      </w:pPr>
      <w:r>
        <w:rPr>
          <w:rFonts w:hint="eastAsia" w:ascii="Times New Roman" w:hAnsi="Times New Roman" w:eastAsia="方正仿宋_GBK" w:cs="方正仿宋_GBK"/>
          <w:sz w:val="32"/>
          <w:szCs w:val="32"/>
        </w:rPr>
        <w:t>征地留用地根据被征地村集体经济组织意愿，</w:t>
      </w:r>
      <w:r>
        <w:rPr>
          <w:rFonts w:hint="eastAsia" w:ascii="Times New Roman" w:hAnsi="Times New Roman" w:eastAsia="方正仿宋_GBK"/>
          <w:sz w:val="32"/>
          <w:szCs w:val="32"/>
        </w:rPr>
        <w:t>征地留用地采取折算货币方式补偿</w:t>
      </w:r>
      <w:r>
        <w:rPr>
          <w:rFonts w:hint="eastAsia" w:ascii="Times New Roman" w:hAnsi="Times New Roman" w:eastAsia="方正仿宋_GBK" w:cs="方正仿宋_GBK"/>
          <w:sz w:val="32"/>
          <w:szCs w:val="32"/>
        </w:rPr>
        <w:t>，按实际征地面积的</w:t>
      </w:r>
      <w:r>
        <w:rPr>
          <w:rFonts w:hint="eastAsia" w:ascii="Times New Roman" w:hAnsi="Times New Roman" w:eastAsia="方正仿宋_GBK" w:cs="仿宋"/>
          <w:bCs/>
          <w:sz w:val="32"/>
          <w:szCs w:val="32"/>
        </w:rPr>
        <w:t>15</w:t>
      </w:r>
      <w:r>
        <w:rPr>
          <w:rFonts w:hint="eastAsia" w:ascii="Times New Roman" w:hAnsi="Times New Roman" w:eastAsia="方正仿宋_GBK" w:cs="方正仿宋_GBK"/>
          <w:sz w:val="32"/>
          <w:szCs w:val="32"/>
        </w:rPr>
        <w:t>%计算，面积为1.4697公顷，按</w:t>
      </w:r>
      <w:r>
        <w:rPr>
          <w:rFonts w:hint="eastAsia" w:ascii="Times New Roman" w:hAnsi="Times New Roman" w:eastAsia="方正仿宋_GBK" w:cs="仿宋"/>
          <w:bCs/>
          <w:sz w:val="32"/>
          <w:szCs w:val="32"/>
        </w:rPr>
        <w:t>1900</w:t>
      </w:r>
      <w:r>
        <w:rPr>
          <w:rFonts w:hint="eastAsia" w:ascii="Times New Roman" w:hAnsi="Times New Roman" w:eastAsia="方正仿宋_GBK" w:cs="方正仿宋_GBK"/>
          <w:sz w:val="32"/>
          <w:szCs w:val="32"/>
        </w:rPr>
        <w:t>万元/公顷计算，补偿款共</w:t>
      </w:r>
      <w:r>
        <w:rPr>
          <w:rFonts w:ascii="Times New Roman" w:hAnsi="Times New Roman" w:eastAsia="方正仿宋_GBK"/>
          <w:sz w:val="32"/>
          <w:szCs w:val="32"/>
        </w:rPr>
        <w:t>2792.43</w:t>
      </w:r>
      <w:r>
        <w:rPr>
          <w:rFonts w:hint="eastAsia" w:ascii="Times New Roman" w:hAnsi="Times New Roman" w:eastAsia="方正仿宋_GBK" w:cs="方正仿宋_GBK"/>
          <w:sz w:val="32"/>
          <w:szCs w:val="32"/>
        </w:rPr>
        <w:t>万元，留用地折算货币补偿款已足额存入征地预存款专户。</w:t>
      </w:r>
    </w:p>
    <w:p>
      <w:pPr>
        <w:spacing w:line="560" w:lineRule="exact"/>
        <w:ind w:firstLine="640" w:firstLineChars="200"/>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六、被征地农民按广东省人力资源和社会保障厅有关规定纳入相应的养老等社会保障体系</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综上所述，惠州市惠阳区</w:t>
      </w:r>
      <w:r>
        <w:rPr>
          <w:rFonts w:hint="eastAsia" w:ascii="Times New Roman" w:hAnsi="Times New Roman" w:eastAsia="方正仿宋_GBK" w:cs="仿宋"/>
          <w:bCs/>
          <w:color w:val="000000"/>
          <w:sz w:val="32"/>
          <w:szCs w:val="32"/>
        </w:rPr>
        <w:t>2022年度第二十六批次</w:t>
      </w:r>
      <w:r>
        <w:rPr>
          <w:rFonts w:hint="eastAsia" w:ascii="Times New Roman" w:hAnsi="Times New Roman" w:eastAsia="方正仿宋_GBK" w:cs="方正仿宋_GBK"/>
          <w:sz w:val="32"/>
          <w:szCs w:val="32"/>
        </w:rPr>
        <w:t>城镇建设用地</w:t>
      </w:r>
      <w:r>
        <w:rPr>
          <w:rFonts w:hint="eastAsia" w:ascii="Times New Roman" w:hAnsi="Times New Roman" w:eastAsia="方正仿宋_GBK" w:cs="方正仿宋_GBK"/>
          <w:bCs/>
          <w:sz w:val="32"/>
          <w:szCs w:val="32"/>
        </w:rPr>
        <w:t>征地补偿总费用</w:t>
      </w:r>
      <w:r>
        <w:rPr>
          <w:rFonts w:hint="eastAsia" w:ascii="Times New Roman" w:hAnsi="Times New Roman" w:eastAsia="方正仿宋_GBK"/>
          <w:bCs/>
          <w:sz w:val="32"/>
          <w:szCs w:val="32"/>
        </w:rPr>
        <w:t>5160.3948</w:t>
      </w:r>
      <w:r>
        <w:rPr>
          <w:rFonts w:hint="eastAsia" w:ascii="Times New Roman" w:hAnsi="Times New Roman" w:eastAsia="方正仿宋_GBK" w:cs="方正仿宋_GBK"/>
          <w:bCs/>
          <w:sz w:val="32"/>
          <w:szCs w:val="32"/>
        </w:rPr>
        <w:t>万元，其中：征地补偿费用</w:t>
      </w:r>
      <w:r>
        <w:rPr>
          <w:rFonts w:ascii="Times New Roman" w:hAnsi="Times New Roman" w:eastAsia="方正仿宋_GBK" w:cs="方正仿宋_GBK"/>
          <w:sz w:val="32"/>
          <w:szCs w:val="32"/>
        </w:rPr>
        <w:t>1234.5688</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bCs/>
          <w:sz w:val="32"/>
          <w:szCs w:val="32"/>
        </w:rPr>
        <w:t>（含土地补偿费和安置补助费）、青苗及地上附着物补偿款</w:t>
      </w:r>
      <w:r>
        <w:rPr>
          <w:rFonts w:ascii="Times New Roman" w:hAnsi="Times New Roman" w:eastAsia="方正仿宋_GBK"/>
          <w:bCs/>
          <w:sz w:val="32"/>
          <w:szCs w:val="32"/>
        </w:rPr>
        <w:t>11</w:t>
      </w:r>
      <w:r>
        <w:rPr>
          <w:rFonts w:hint="eastAsia" w:ascii="Times New Roman" w:hAnsi="Times New Roman" w:eastAsia="方正仿宋_GBK"/>
          <w:bCs/>
          <w:sz w:val="32"/>
          <w:szCs w:val="32"/>
        </w:rPr>
        <w:t>33.3960</w:t>
      </w:r>
      <w:r>
        <w:rPr>
          <w:rFonts w:ascii="Times New Roman" w:hAnsi="Times New Roman" w:eastAsia="方正仿宋_GBK"/>
          <w:sz w:val="32"/>
          <w:szCs w:val="32"/>
        </w:rPr>
        <w:t>万元</w:t>
      </w:r>
      <w:r>
        <w:rPr>
          <w:rFonts w:hint="eastAsia" w:ascii="Times New Roman" w:hAnsi="Times New Roman" w:eastAsia="方正仿宋_GBK"/>
          <w:sz w:val="32"/>
          <w:szCs w:val="32"/>
        </w:rPr>
        <w:t>、</w:t>
      </w:r>
      <w:r>
        <w:rPr>
          <w:rFonts w:hint="eastAsia" w:ascii="Times New Roman" w:hAnsi="Times New Roman" w:eastAsia="方正仿宋_GBK" w:cs="方正仿宋_GBK"/>
          <w:sz w:val="32"/>
          <w:szCs w:val="32"/>
        </w:rPr>
        <w:t>征地留用地折算货币补偿费</w:t>
      </w:r>
      <w:r>
        <w:rPr>
          <w:rFonts w:ascii="Times New Roman" w:hAnsi="Times New Roman" w:eastAsia="方正仿宋_GBK"/>
          <w:sz w:val="32"/>
          <w:szCs w:val="32"/>
        </w:rPr>
        <w:t>2792.43</w:t>
      </w:r>
      <w:r>
        <w:rPr>
          <w:rFonts w:hint="eastAsia" w:ascii="Times New Roman" w:hAnsi="Times New Roman" w:eastAsia="方正仿宋_GBK" w:cs="方正仿宋_GBK"/>
          <w:sz w:val="32"/>
          <w:szCs w:val="32"/>
        </w:rPr>
        <w:t>万元。征地补偿总费用自征地公告发布之日起</w:t>
      </w:r>
      <w:r>
        <w:rPr>
          <w:rFonts w:hint="eastAsia" w:ascii="Times New Roman" w:hAnsi="Times New Roman" w:eastAsia="方正仿宋_GBK" w:cs="仿宋"/>
          <w:bCs/>
          <w:color w:val="000000"/>
          <w:sz w:val="32"/>
          <w:szCs w:val="32"/>
        </w:rPr>
        <w:t>3</w:t>
      </w:r>
      <w:r>
        <w:rPr>
          <w:rFonts w:hint="eastAsia" w:ascii="Times New Roman" w:hAnsi="Times New Roman" w:eastAsia="方正仿宋_GBK" w:cs="方正仿宋_GBK"/>
          <w:sz w:val="32"/>
          <w:szCs w:val="32"/>
        </w:rPr>
        <w:t>个月内一次性支付给被征地权属单位和相关权利人。</w:t>
      </w:r>
    </w:p>
    <w:p>
      <w:pPr>
        <w:pStyle w:val="18"/>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p>
    <w:p>
      <w:pPr>
        <w:pStyle w:val="18"/>
        <w:keepNext w:val="0"/>
        <w:keepLines w:val="0"/>
        <w:pageBreakBefore w:val="0"/>
        <w:widowControl w:val="0"/>
        <w:kinsoku/>
        <w:wordWrap/>
        <w:overflowPunct/>
        <w:topLinePunct w:val="0"/>
        <w:bidi w:val="0"/>
        <w:snapToGrid/>
        <w:spacing w:line="580" w:lineRule="exact"/>
        <w:textAlignment w:val="auto"/>
        <w:rPr>
          <w:rFonts w:hint="eastAsia" w:ascii="Times New Roman" w:hAnsi="Times New Roman"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val="0"/>
        <w:bidi w:val="0"/>
        <w:snapToGrid/>
        <w:spacing w:line="540" w:lineRule="exact"/>
        <w:ind w:firstLine="4480" w:firstLineChars="1400"/>
        <w:textAlignment w:val="auto"/>
        <w:rPr>
          <w:rFonts w:hint="eastAsia" w:ascii="Times New Roman" w:hAnsi="Times New Roman" w:eastAsia="方正仿宋_GBK" w:cs="方正仿宋_GBK"/>
          <w:sz w:val="32"/>
          <w:szCs w:val="32"/>
        </w:rPr>
      </w:pPr>
      <w:bookmarkStart w:id="1" w:name="_Hlk149036222"/>
      <w:r>
        <w:rPr>
          <w:rFonts w:hint="eastAsia" w:ascii="Times New Roman" w:hAnsi="Times New Roman" w:eastAsia="方正仿宋_GBK" w:cs="方正仿宋_GBK"/>
          <w:sz w:val="32"/>
          <w:szCs w:val="32"/>
        </w:rPr>
        <w:t>惠州市惠阳区自然资源局</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2023年</w:t>
      </w:r>
      <w:r>
        <w:rPr>
          <w:rFonts w:ascii="Times New Roman" w:hAnsi="Times New Roman" w:eastAsia="方正仿宋_GBK" w:cs="方正仿宋_GBK"/>
          <w:sz w:val="32"/>
          <w:szCs w:val="32"/>
        </w:rPr>
        <w:t>1</w:t>
      </w:r>
      <w:r>
        <w:rPr>
          <w:rFonts w:hint="eastAsia" w:eastAsia="方正仿宋_GBK" w:cs="方正仿宋_GBK"/>
          <w:sz w:val="32"/>
          <w:szCs w:val="32"/>
          <w:lang w:val="en-US" w:eastAsia="zh-CN"/>
        </w:rPr>
        <w:t>1</w:t>
      </w:r>
      <w:r>
        <w:rPr>
          <w:rFonts w:hint="eastAsia" w:ascii="Times New Roman" w:hAnsi="Times New Roman" w:eastAsia="方正仿宋_GBK" w:cs="方正仿宋_GBK"/>
          <w:sz w:val="32"/>
          <w:szCs w:val="32"/>
        </w:rPr>
        <w:t>月</w:t>
      </w:r>
      <w:r>
        <w:rPr>
          <w:rFonts w:hint="eastAsia" w:eastAsia="方正仿宋_GBK" w:cs="方正仿宋_GBK"/>
          <w:sz w:val="32"/>
          <w:szCs w:val="32"/>
          <w:lang w:val="en-US" w:eastAsia="zh-CN"/>
        </w:rPr>
        <w:t>9</w:t>
      </w:r>
      <w:r>
        <w:rPr>
          <w:rFonts w:hint="eastAsia" w:ascii="Times New Roman" w:hAnsi="Times New Roman" w:eastAsia="方正仿宋_GBK" w:cs="方正仿宋_GBK"/>
          <w:sz w:val="32"/>
          <w:szCs w:val="32"/>
        </w:rPr>
        <w:t>日</w:t>
      </w:r>
      <w:bookmarkEnd w:id="1"/>
    </w:p>
    <w:p>
      <w:pPr>
        <w:pStyle w:val="19"/>
        <w:keepNext w:val="0"/>
        <w:keepLines w:val="0"/>
        <w:pageBreakBefore w:val="0"/>
        <w:kinsoku/>
        <w:wordWrap/>
        <w:overflowPunct/>
        <w:topLinePunct w:val="0"/>
        <w:autoSpaceDE/>
        <w:autoSpaceDN/>
        <w:bidi w:val="0"/>
        <w:spacing w:line="580" w:lineRule="exact"/>
        <w:ind w:left="0" w:leftChars="0" w:firstLine="0" w:firstLineChars="0"/>
        <w:textAlignment w:val="auto"/>
        <w:rPr>
          <w:rFonts w:hint="eastAsia" w:ascii="方正仿宋_GBK" w:hAnsi="方正仿宋_GBK" w:eastAsia="方正仿宋_GBK" w:cs="方正仿宋_GBK"/>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2041" w:right="1587"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w:t>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t>—</w:t>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526C2"/>
    <w:rsid w:val="003B35B2"/>
    <w:rsid w:val="0116327B"/>
    <w:rsid w:val="03DB6FED"/>
    <w:rsid w:val="0629030A"/>
    <w:rsid w:val="07445F78"/>
    <w:rsid w:val="085E1523"/>
    <w:rsid w:val="086F754F"/>
    <w:rsid w:val="087669BA"/>
    <w:rsid w:val="08955C68"/>
    <w:rsid w:val="09A21C1E"/>
    <w:rsid w:val="0A94009A"/>
    <w:rsid w:val="0ADC328A"/>
    <w:rsid w:val="0E0D241F"/>
    <w:rsid w:val="0E4B1AF9"/>
    <w:rsid w:val="0F2C036B"/>
    <w:rsid w:val="0FB12E83"/>
    <w:rsid w:val="109754E3"/>
    <w:rsid w:val="11A03DA6"/>
    <w:rsid w:val="11B14509"/>
    <w:rsid w:val="13506C5E"/>
    <w:rsid w:val="14294FC9"/>
    <w:rsid w:val="15940436"/>
    <w:rsid w:val="159704B3"/>
    <w:rsid w:val="175D4363"/>
    <w:rsid w:val="17F3347C"/>
    <w:rsid w:val="1A2E3EC0"/>
    <w:rsid w:val="1A5C5DE4"/>
    <w:rsid w:val="1B016311"/>
    <w:rsid w:val="1CE64833"/>
    <w:rsid w:val="1D923095"/>
    <w:rsid w:val="2048324C"/>
    <w:rsid w:val="20B4037D"/>
    <w:rsid w:val="22D4169F"/>
    <w:rsid w:val="23C43F26"/>
    <w:rsid w:val="23EF2942"/>
    <w:rsid w:val="272F448E"/>
    <w:rsid w:val="27E64955"/>
    <w:rsid w:val="29B15007"/>
    <w:rsid w:val="29C42EFB"/>
    <w:rsid w:val="2B9D4087"/>
    <w:rsid w:val="2CB91E04"/>
    <w:rsid w:val="2CE55C1C"/>
    <w:rsid w:val="2DEB7E1B"/>
    <w:rsid w:val="2DF65AE3"/>
    <w:rsid w:val="2E66451A"/>
    <w:rsid w:val="2E976F24"/>
    <w:rsid w:val="31086B87"/>
    <w:rsid w:val="31290644"/>
    <w:rsid w:val="312C21F8"/>
    <w:rsid w:val="31CD6ECF"/>
    <w:rsid w:val="32A30F1A"/>
    <w:rsid w:val="3339525A"/>
    <w:rsid w:val="33DE312E"/>
    <w:rsid w:val="34401B9A"/>
    <w:rsid w:val="35F96AE1"/>
    <w:rsid w:val="382B51A4"/>
    <w:rsid w:val="38733D42"/>
    <w:rsid w:val="3D4D6FCF"/>
    <w:rsid w:val="3DC02797"/>
    <w:rsid w:val="3EC609CF"/>
    <w:rsid w:val="3F902D8B"/>
    <w:rsid w:val="41DA52E3"/>
    <w:rsid w:val="4400327C"/>
    <w:rsid w:val="46001931"/>
    <w:rsid w:val="463240FF"/>
    <w:rsid w:val="466959C4"/>
    <w:rsid w:val="469F1143"/>
    <w:rsid w:val="49696192"/>
    <w:rsid w:val="4A305017"/>
    <w:rsid w:val="4BD82DFC"/>
    <w:rsid w:val="4C9963D4"/>
    <w:rsid w:val="4DA82CB1"/>
    <w:rsid w:val="523F6FF6"/>
    <w:rsid w:val="531E52A3"/>
    <w:rsid w:val="54095B81"/>
    <w:rsid w:val="541E65D7"/>
    <w:rsid w:val="5455799B"/>
    <w:rsid w:val="55670501"/>
    <w:rsid w:val="556C117E"/>
    <w:rsid w:val="56174D2A"/>
    <w:rsid w:val="56352554"/>
    <w:rsid w:val="56383CC3"/>
    <w:rsid w:val="56E16B37"/>
    <w:rsid w:val="58397E09"/>
    <w:rsid w:val="584E7FE8"/>
    <w:rsid w:val="58974596"/>
    <w:rsid w:val="59A24FCE"/>
    <w:rsid w:val="5A291A52"/>
    <w:rsid w:val="5AD4757C"/>
    <w:rsid w:val="5B272FFC"/>
    <w:rsid w:val="5B99790C"/>
    <w:rsid w:val="5C9E07FA"/>
    <w:rsid w:val="5F1B70D1"/>
    <w:rsid w:val="5FBD627A"/>
    <w:rsid w:val="5FBE2AA6"/>
    <w:rsid w:val="60364A24"/>
    <w:rsid w:val="603E4856"/>
    <w:rsid w:val="60965A78"/>
    <w:rsid w:val="60D526C2"/>
    <w:rsid w:val="615F1098"/>
    <w:rsid w:val="617E50F5"/>
    <w:rsid w:val="646A170B"/>
    <w:rsid w:val="64835701"/>
    <w:rsid w:val="64B21D2D"/>
    <w:rsid w:val="66A6195E"/>
    <w:rsid w:val="66D44E8C"/>
    <w:rsid w:val="68584009"/>
    <w:rsid w:val="6900196E"/>
    <w:rsid w:val="6AA32269"/>
    <w:rsid w:val="6AEA403F"/>
    <w:rsid w:val="6B866DFF"/>
    <w:rsid w:val="6D2408B2"/>
    <w:rsid w:val="6D9C434E"/>
    <w:rsid w:val="6E8F3D69"/>
    <w:rsid w:val="6F483C1F"/>
    <w:rsid w:val="70005411"/>
    <w:rsid w:val="715A3706"/>
    <w:rsid w:val="72462B2E"/>
    <w:rsid w:val="72901397"/>
    <w:rsid w:val="73465E8D"/>
    <w:rsid w:val="74654D69"/>
    <w:rsid w:val="74661622"/>
    <w:rsid w:val="763F2C7F"/>
    <w:rsid w:val="765E52A7"/>
    <w:rsid w:val="77B62F1C"/>
    <w:rsid w:val="7A1D072D"/>
    <w:rsid w:val="7B722271"/>
    <w:rsid w:val="7B924AA4"/>
    <w:rsid w:val="7BC50F63"/>
    <w:rsid w:val="7BF87042"/>
    <w:rsid w:val="7D1A043E"/>
    <w:rsid w:val="7DB93F99"/>
    <w:rsid w:val="7F120747"/>
    <w:rsid w:val="7F436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wordWrap w:val="0"/>
      <w:autoSpaceDE w:val="0"/>
      <w:autoSpaceDN w:val="0"/>
      <w:spacing w:before="340" w:after="330" w:line="576" w:lineRule="auto"/>
      <w:outlineLvl w:val="0"/>
    </w:pPr>
    <w:rPr>
      <w:rFonts w:ascii="Batang" w:hAnsi="Calibri" w:eastAsia="Batang" w:cs="宋体"/>
      <w:b/>
      <w:bCs/>
      <w:kern w:val="44"/>
      <w:sz w:val="44"/>
      <w:szCs w:val="44"/>
      <w:lang w:eastAsia="ko-KR"/>
    </w:rPr>
  </w:style>
  <w:style w:type="paragraph" w:styleId="4">
    <w:name w:val="heading 2"/>
    <w:next w:val="1"/>
    <w:unhideWhenUsed/>
    <w:qFormat/>
    <w:uiPriority w:val="0"/>
    <w:pPr>
      <w:keepNext/>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2">
    <w:name w:val="heading 3"/>
    <w:basedOn w:val="1"/>
    <w:next w:val="1"/>
    <w:unhideWhenUsed/>
    <w:qFormat/>
    <w:uiPriority w:val="0"/>
    <w:pPr>
      <w:keepNext/>
      <w:keepLines/>
      <w:spacing w:before="156" w:beforeLines="50" w:after="156" w:afterLines="50" w:line="416" w:lineRule="auto"/>
      <w:ind w:firstLine="560" w:firstLineChars="200"/>
      <w:outlineLvl w:val="2"/>
    </w:pPr>
    <w:rPr>
      <w:rFonts w:ascii="仿宋" w:hAnsi="仿宋" w:eastAsia="微软雅黑"/>
      <w:b/>
      <w:bCs/>
      <w:color w:val="000000"/>
      <w:sz w:val="32"/>
      <w:szCs w:val="32"/>
      <w:shd w:val="clear" w:color="auto" w:fill="FFFFFF"/>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qFormat/>
    <w:uiPriority w:val="0"/>
    <w:pPr>
      <w:tabs>
        <w:tab w:val="left" w:pos="562"/>
        <w:tab w:val="left" w:pos="3372"/>
        <w:tab w:val="left" w:pos="3653"/>
      </w:tabs>
    </w:pPr>
    <w:rPr>
      <w:rFonts w:ascii="Times New Roman" w:hAnsi="Times New Roman" w:eastAsia="宋体" w:cs="Times New Roman"/>
    </w:rPr>
  </w:style>
  <w:style w:type="paragraph" w:styleId="7">
    <w:name w:val="Body Text Indent"/>
    <w:basedOn w:val="1"/>
    <w:qFormat/>
    <w:uiPriority w:val="0"/>
    <w:pPr>
      <w:spacing w:after="120"/>
      <w:ind w:left="420" w:leftChars="200"/>
    </w:pPr>
  </w:style>
  <w:style w:type="paragraph" w:styleId="8">
    <w:name w:val="Block Text"/>
    <w:basedOn w:val="1"/>
    <w:next w:val="1"/>
    <w:qFormat/>
    <w:uiPriority w:val="0"/>
    <w:pPr>
      <w:ind w:left="1440" w:leftChars="700" w:right="1440" w:rightChars="700"/>
    </w:pPr>
  </w:style>
  <w:style w:type="paragraph" w:styleId="9">
    <w:name w:val="toc 5"/>
    <w:basedOn w:val="1"/>
    <w:next w:val="1"/>
    <w:qFormat/>
    <w:uiPriority w:val="0"/>
    <w:pPr>
      <w:ind w:left="1680" w:leftChars="800"/>
    </w:pPr>
    <w:rPr>
      <w:rFonts w:ascii="Times New Roman" w:hAnsi="Times New Roman" w:eastAsia="宋体" w:cs="Times New Roman"/>
      <w:sz w:val="21"/>
    </w:rPr>
  </w:style>
  <w:style w:type="paragraph" w:styleId="10">
    <w:name w:val="Plain Text"/>
    <w:basedOn w:val="1"/>
    <w:unhideWhenUsed/>
    <w:qFormat/>
    <w:uiPriority w:val="99"/>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kern w:val="2"/>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Normal (Web)"/>
    <w:basedOn w:val="1"/>
    <w:unhideWhenUsed/>
    <w:qFormat/>
    <w:uiPriority w:val="99"/>
    <w:pPr>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Pr>
      <w:kern w:val="0"/>
      <w:sz w:val="24"/>
      <w:lang w:val="en-US" w:eastAsia="zh-CN" w:bidi="ar"/>
    </w:rPr>
  </w:style>
  <w:style w:type="paragraph" w:styleId="14">
    <w:name w:val="Body Text First Indent 2"/>
    <w:basedOn w:val="7"/>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19">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20">
    <w:name w:val="样式1"/>
    <w:basedOn w:val="21"/>
    <w:qFormat/>
    <w:uiPriority w:val="0"/>
  </w:style>
  <w:style w:type="paragraph" w:customStyle="1" w:styleId="21">
    <w:name w:val="正文1"/>
    <w:basedOn w:val="1"/>
    <w:qFormat/>
    <w:uiPriority w:val="99"/>
    <w:pPr>
      <w:ind w:firstLine="708" w:firstLineChars="236"/>
    </w:pPr>
    <w:rPr>
      <w:rFonts w:ascii="仿宋_GB2312" w:eastAsia="仿宋_GB2312" w:cs="仿宋_GB2312"/>
      <w:sz w:val="30"/>
      <w:szCs w:val="30"/>
    </w:rPr>
  </w:style>
  <w:style w:type="paragraph" w:customStyle="1" w:styleId="22">
    <w:name w:val="No Spacing"/>
    <w:qFormat/>
    <w:uiPriority w:val="0"/>
    <w:pPr>
      <w:widowControl w:val="0"/>
      <w:spacing w:before="50" w:after="50" w:line="360" w:lineRule="auto"/>
      <w:jc w:val="both"/>
    </w:pPr>
    <w:rPr>
      <w:rFonts w:ascii="Calibri" w:hAnsi="Calibri" w:eastAsia="宋体" w:cs="Times New Roman"/>
      <w:kern w:val="2"/>
      <w:sz w:val="24"/>
      <w:szCs w:val="22"/>
      <w:lang w:val="en-US" w:eastAsia="zh-CN" w:bidi="ar-SA"/>
    </w:rPr>
  </w:style>
  <w:style w:type="paragraph" w:customStyle="1" w:styleId="23">
    <w:name w:val="正文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4">
    <w:name w:val="readonlyfieldval1"/>
    <w:basedOn w:val="17"/>
    <w:qFormat/>
    <w:uiPriority w:val="0"/>
  </w:style>
  <w:style w:type="paragraph" w:customStyle="1" w:styleId="25">
    <w:name w:val="正文 New New New"/>
    <w:next w:val="26"/>
    <w:qFormat/>
    <w:uiPriority w:val="0"/>
    <w:pPr>
      <w:widowControl w:val="0"/>
      <w:jc w:val="both"/>
    </w:pPr>
    <w:rPr>
      <w:rFonts w:ascii="宋体" w:hAnsi="宋体" w:eastAsia="方正仿宋_GBK" w:cs="Times New Roman"/>
      <w:kern w:val="2"/>
      <w:sz w:val="32"/>
      <w:szCs w:val="32"/>
      <w:lang w:val="en-US" w:eastAsia="zh-CN"/>
    </w:rPr>
  </w:style>
  <w:style w:type="paragraph" w:customStyle="1" w:styleId="26">
    <w:name w:val="标题 3 New"/>
    <w:basedOn w:val="25"/>
    <w:next w:val="25"/>
    <w:qFormat/>
    <w:uiPriority w:val="0"/>
    <w:pPr>
      <w:keepNext/>
      <w:keepLines/>
      <w:spacing w:line="413" w:lineRule="auto"/>
      <w:outlineLvl w:val="2"/>
    </w:pPr>
    <w:rPr>
      <w:b/>
      <w:sz w:val="32"/>
    </w:rPr>
  </w:style>
  <w:style w:type="paragraph" w:customStyle="1" w:styleId="27">
    <w:name w:val="BodyText"/>
    <w:basedOn w:val="1"/>
    <w:next w:val="28"/>
    <w:qFormat/>
    <w:uiPriority w:val="0"/>
    <w:pPr>
      <w:ind w:left="138"/>
      <w:jc w:val="both"/>
      <w:textAlignment w:val="baseline"/>
    </w:pPr>
    <w:rPr>
      <w:rFonts w:ascii="宋体" w:hAnsi="宋体" w:eastAsia="宋体"/>
      <w:kern w:val="2"/>
      <w:sz w:val="32"/>
      <w:szCs w:val="32"/>
      <w:lang w:val="en-US" w:eastAsia="zh-CN" w:bidi="ar-SA"/>
    </w:rPr>
  </w:style>
  <w:style w:type="paragraph" w:customStyle="1" w:styleId="28">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character" w:customStyle="1" w:styleId="29">
    <w:name w:val="NormalCharacter"/>
    <w:semiHidden/>
    <w:qFormat/>
    <w:uiPriority w:val="0"/>
    <w:rPr>
      <w:rFonts w:ascii="Times New Roman" w:hAnsi="Times New Roman" w:eastAsia="宋体" w:cs="Times New Roman"/>
      <w:kern w:val="2"/>
      <w:sz w:val="21"/>
      <w:szCs w:val="22"/>
      <w:lang w:val="en-US" w:eastAsia="zh-CN" w:bidi="ar-SA"/>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2021-05-20T07:07:00Z</dcterms:created>
  <dc:creator>张丽芬</dc:creator>
  <cp:lastModifiedBy>办公室套文号</cp:lastModifiedBy>
  <cp:lastPrinted>2023-11-10T02:01:45Z</cp:lastPrinted>
  <dcterms:modified xsi:type="dcterms:W3CDTF">2023-11-10T02:01:47Z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0B9D76D2DDD74E27AFC0AEA2EB5C39E9</vt:lpwstr>
  </property>
</Properties>
</file>