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w:t>
      </w:r>
      <w:bookmarkStart w:id="0" w:name="_GoBack"/>
      <w:bookmarkEnd w:id="0"/>
      <w:r>
        <w:rPr>
          <w:rFonts w:hint="eastAsia" w:ascii="方正小标宋_GBK" w:hAnsi="方正小标宋_GBK" w:eastAsia="方正小标宋_GBK" w:cs="方正小标宋_GBK"/>
          <w:sz w:val="44"/>
          <w:szCs w:val="44"/>
          <w:highlight w:val="none"/>
          <w:lang w:eastAsia="zh-CN"/>
        </w:rPr>
        <w:t>项目</w:t>
      </w:r>
      <w:r>
        <w:rPr>
          <w:rFonts w:hint="eastAsia" w:ascii="方正小标宋_GBK" w:hAnsi="方正小标宋_GBK" w:eastAsia="方正小标宋_GBK" w:cs="方正小标宋_GBK"/>
          <w:sz w:val="44"/>
          <w:szCs w:val="44"/>
          <w:highlight w:val="none"/>
        </w:rPr>
        <w:t>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一、</w:t>
      </w:r>
      <w:r>
        <w:rPr>
          <w:rFonts w:hint="eastAsia" w:ascii="黑体" w:hAnsi="黑体" w:eastAsia="黑体" w:cs="黑体"/>
          <w:b w:val="0"/>
          <w:bCs w:val="0"/>
          <w:color w:val="191919"/>
          <w:sz w:val="32"/>
          <w:szCs w:val="32"/>
          <w:shd w:val="clear" w:color="auto" w:fill="FFFFFF"/>
          <w:lang w:val="en-US" w:eastAsia="zh-CN"/>
        </w:rPr>
        <w:t>噻虫胺</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二、恩诺沙星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 食品中兽药最大残留限量》（GB 31650-2019）中规定，恩诺沙星在鱼的皮和肉中最大残留限量值均为100μg/kg。淡水鱼中恩诺沙星超标的原因，可能是养殖户在养殖过程中为快速控制疫病，违规加大用药量；也可能是养殖户不遵守休药期规定，致使产品上市销售时残留超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三、二氧化硫残留量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-2014）对各类食品的二氧化硫残留量限量值有相关规定。二氧化硫残留量超标的原因，可能是生产者使用劣质原料以降低成本后为提高产品色泽而超范围、超量使用二氧化硫，也可能是使用时不计量或计量不准确，还可能是由于使用硫磺熏蒸漂白这种传统工艺或直接使用亚硫酸盐浸泡所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四、</w:t>
      </w:r>
      <w:r>
        <w:rPr>
          <w:rFonts w:hint="eastAsia" w:ascii="黑体" w:hAnsi="黑体" w:eastAsia="黑体" w:cs="黑体"/>
          <w:b w:val="0"/>
          <w:bCs w:val="0"/>
          <w:color w:val="000000"/>
          <w:kern w:val="0"/>
          <w:sz w:val="32"/>
          <w:szCs w:val="32"/>
          <w:lang w:val="en-US" w:eastAsia="zh-CN" w:bidi="ar"/>
        </w:rPr>
        <w:t>甲氧苄啶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
        </w:rPr>
        <w:t>甲氧苄啶（trimethoprim）是合成的抗菌药和磺胺增效药。具有抗菌谱广、性质稳定、 体内分布广泛等优点。链球菌属含肺炎链球菌等革兰氏阳性菌以及大肠杆菌、沙门菌属、奇异变形杆菌、肺炎杆菌、痢疾杆菌、伤寒杆菌、百日咳杆菌等革兰氏阴性菌对甲氧苄啶敏感；此外，甲氧苄啶对疟原虫及某些真菌，如奴卡菌、组浆菌，酵母菌也有一定作用。 动物产品的甲氧苄啶残留，一般不会导致对人体的急性毒性作用；长期大量摄入甲氧苄啶残留超标的食品，可能在人体内蓄积，导致胃肠道反应、皮肤过敏症状等。</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15AC739D"/>
    <w:rsid w:val="2E4828DE"/>
    <w:rsid w:val="319E2D5E"/>
    <w:rsid w:val="40D761EA"/>
    <w:rsid w:val="4921579A"/>
    <w:rsid w:val="4C0360C1"/>
    <w:rsid w:val="549E6265"/>
    <w:rsid w:val="60CA1D20"/>
    <w:rsid w:val="646E6F0B"/>
    <w:rsid w:val="6D6F07FD"/>
    <w:rsid w:val="6F77059D"/>
    <w:rsid w:val="74F3240C"/>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4013</Words>
  <Characters>4462</Characters>
  <Lines>0</Lines>
  <Paragraphs>0</Paragraphs>
  <TotalTime>1</TotalTime>
  <ScaleCrop>false</ScaleCrop>
  <LinksUpToDate>false</LinksUpToDate>
  <CharactersWithSpaces>4586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2023-10-27T09:11:26Z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