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ind w:left="210" w:leftChars="100" w:right="210" w:rightChars="100"/>
        <w:textAlignment w:val="auto"/>
        <w:rPr>
          <w:rFonts w:hint="eastAsia"/>
        </w:rPr>
      </w:pPr>
      <w:bookmarkStart w:id="0" w:name="PO_part3A3Year1"/>
      <w:r>
        <w:rPr>
          <w:rFonts w:hint="eastAsia"/>
        </w:rPr>
        <w:t>2022</w:t>
      </w:r>
      <w:bookmarkEnd w:id="0"/>
      <w:r>
        <w:rPr>
          <w:rFonts w:hint="eastAsia"/>
        </w:rPr>
        <w:t>年</w:t>
      </w:r>
      <w:r>
        <w:rPr>
          <w:rFonts w:hint="eastAsia"/>
          <w:lang w:eastAsia="zh-CN"/>
        </w:rPr>
        <w:t>度惠州市卫生监督所</w:t>
      </w:r>
      <w:r>
        <w:rPr>
          <w:rFonts w:hint="eastAsia"/>
        </w:rPr>
        <w:t>“三公”经费支出决算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  <w:bookmarkStart w:id="1" w:name="PO_part3A3B1C1DivNameYear1"/>
      <w:r>
        <w:rPr>
          <w:rFonts w:hint="eastAsia"/>
        </w:rPr>
        <w:t>惠州市卫生监督所</w:t>
      </w:r>
      <w:r>
        <w:t>2022</w:t>
      </w:r>
      <w:bookmarkEnd w:id="1"/>
      <w:r>
        <w:rPr>
          <w:rFonts w:hint="eastAsia"/>
        </w:rPr>
        <w:t>年度“三公”经费支出决算为</w:t>
      </w:r>
      <w:bookmarkStart w:id="2" w:name="PO_part3A3B1C1Amount1"/>
      <w:r>
        <w:t>18.73</w:t>
      </w:r>
      <w:bookmarkEnd w:id="2"/>
      <w:r>
        <w:rPr>
          <w:rFonts w:hint="eastAsia"/>
        </w:rPr>
        <w:t>万元，完成全年预算</w:t>
      </w:r>
      <w:bookmarkStart w:id="3" w:name="PO_part3A3B1C1Amount2"/>
      <w:r>
        <w:t>29</w:t>
      </w:r>
      <w:bookmarkEnd w:id="3"/>
      <w:r>
        <w:rPr>
          <w:rFonts w:hint="eastAsia"/>
        </w:rPr>
        <w:t>万元的</w:t>
      </w:r>
      <w:bookmarkStart w:id="4" w:name="PO_part3A3B1C1Percent1"/>
      <w:r>
        <w:t>64.6%</w:t>
      </w:r>
      <w:bookmarkEnd w:id="4"/>
      <w:r>
        <w:rPr>
          <w:rFonts w:hint="eastAsia"/>
        </w:rPr>
        <w:t>，比上年决算数</w:t>
      </w:r>
      <w:bookmarkStart w:id="5" w:name="PO_part3A3B1C1IncAmount1"/>
      <w:r>
        <w:rPr>
          <w:rFonts w:hint="eastAsia"/>
        </w:rPr>
        <w:t>增加</w:t>
      </w:r>
      <w:r>
        <w:t>1.52</w:t>
      </w:r>
      <w:bookmarkEnd w:id="5"/>
      <w:r>
        <w:rPr>
          <w:rFonts w:hint="eastAsia"/>
        </w:rPr>
        <w:t>万元，</w:t>
      </w:r>
      <w:bookmarkStart w:id="6" w:name="PO_part3A3B1C1IncPercent1"/>
      <w:r>
        <w:rPr>
          <w:rFonts w:hint="eastAsia"/>
        </w:rPr>
        <w:t>增长</w:t>
      </w:r>
      <w:r>
        <w:t>8.8%</w:t>
      </w:r>
      <w:bookmarkEnd w:id="6"/>
      <w:r>
        <w:rPr>
          <w:rFonts w:hint="eastAsia"/>
        </w:rPr>
        <w:t>。其中：因公出国（境）费</w:t>
      </w:r>
      <w:bookmarkStart w:id="7" w:name="PO_part3A3B2Amount1"/>
      <w:r>
        <w:t>0万元，占0%</w:t>
      </w:r>
      <w:bookmarkEnd w:id="7"/>
      <w:r>
        <w:rPr>
          <w:rFonts w:hint="eastAsia"/>
        </w:rPr>
        <w:t>；公务用车购置及运行维护费支出</w:t>
      </w:r>
      <w:bookmarkStart w:id="8" w:name="PO_part3A3B2Amount2"/>
      <w:r>
        <w:t>18.22万元，占97.3%</w:t>
      </w:r>
      <w:bookmarkEnd w:id="8"/>
      <w:r>
        <w:rPr>
          <w:rFonts w:hint="eastAsia"/>
        </w:rPr>
        <w:t>；公务接待费支出</w:t>
      </w:r>
      <w:bookmarkStart w:id="9" w:name="PO_part3A3B2Amount3"/>
      <w:r>
        <w:t>0.51万元，占2.7%</w:t>
      </w:r>
      <w:bookmarkEnd w:id="9"/>
      <w:r>
        <w:rPr>
          <w:rFonts w:hint="eastAsia"/>
        </w:rPr>
        <w:t>。具体情况如下：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．</w:t>
      </w:r>
      <w:r>
        <w:rPr>
          <w:rFonts w:hint="eastAsia"/>
        </w:rPr>
        <w:t>因公出国（境）费支出</w:t>
      </w:r>
      <w:bookmarkStart w:id="10" w:name="PO_part3A3B2C1Amount1"/>
      <w:r>
        <w:t>0</w:t>
      </w:r>
      <w:bookmarkEnd w:id="10"/>
      <w:r>
        <w:rPr>
          <w:rFonts w:hint="eastAsia"/>
        </w:rPr>
        <w:t>万元。全年使用财政拨款安排出国（境）团组</w:t>
      </w:r>
      <w:bookmarkStart w:id="11" w:name="PO_part3A3B2C1JgcgCount1"/>
      <w:r>
        <w:t>0</w:t>
      </w:r>
      <w:bookmarkEnd w:id="11"/>
      <w:r>
        <w:rPr>
          <w:rFonts w:hint="eastAsia"/>
        </w:rPr>
        <w:t>个、累计</w:t>
      </w:r>
      <w:bookmarkStart w:id="12" w:name="PO_part3A3B2C1JgcgManCount1"/>
      <w:r>
        <w:t>0</w:t>
      </w:r>
      <w:bookmarkEnd w:id="12"/>
      <w:r>
        <w:rPr>
          <w:rFonts w:hint="eastAsia"/>
        </w:rPr>
        <w:t>人次</w:t>
      </w:r>
      <w:bookmarkStart w:id="13" w:name="PO_part3A3B2C1D1Meeting1"/>
      <w:r>
        <w:rPr>
          <w:rFonts w:hint="eastAsia"/>
        </w:rPr>
        <w:t>。</w:t>
      </w:r>
      <w:bookmarkEnd w:id="13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 w:ascii="仿宋" w:hAnsi="仿宋" w:eastAsia="仿宋" w:cs="仿宋"/>
          <w:lang w:val="en-US" w:eastAsia="zh-CN"/>
        </w:rPr>
        <w:t>．</w:t>
      </w:r>
      <w:r>
        <w:rPr>
          <w:rFonts w:hint="eastAsia"/>
        </w:rPr>
        <w:t>公务用车购置及运行维护费支出</w:t>
      </w:r>
      <w:bookmarkStart w:id="14" w:name="PO_part3A3B2C2Amount1"/>
      <w:r>
        <w:t>18.22</w:t>
      </w:r>
      <w:bookmarkEnd w:id="14"/>
      <w:r>
        <w:rPr>
          <w:rFonts w:hint="eastAsia"/>
        </w:rPr>
        <w:t>万元，其中：公务用车购置支出为</w:t>
      </w:r>
      <w:bookmarkStart w:id="15" w:name="PO_part3A3B2C2D1Amount1"/>
      <w:r>
        <w:t>0</w:t>
      </w:r>
      <w:bookmarkEnd w:id="15"/>
      <w:r>
        <w:rPr>
          <w:rFonts w:hint="eastAsia"/>
        </w:rPr>
        <w:t>万元，公务用车购置数</w:t>
      </w:r>
      <w:bookmarkStart w:id="16" w:name="PO_part3A3B2C2D1CarCount1"/>
      <w:r>
        <w:t>0</w:t>
      </w:r>
      <w:bookmarkEnd w:id="16"/>
      <w:r>
        <w:rPr>
          <w:rFonts w:hint="eastAsia"/>
        </w:rPr>
        <w:t>辆。公务用车运行维护费支出</w:t>
      </w:r>
      <w:bookmarkStart w:id="17" w:name="PO_part3A3B2C2D2Amount1"/>
      <w:r>
        <w:t>18.22</w:t>
      </w:r>
      <w:bookmarkEnd w:id="17"/>
      <w:r>
        <w:rPr>
          <w:rFonts w:hint="eastAsia"/>
        </w:rPr>
        <w:t>万元，公务用车保有量为</w:t>
      </w:r>
      <w:bookmarkStart w:id="18" w:name="PO_part3A3B2C2D2CarCount1"/>
      <w:r>
        <w:t>8</w:t>
      </w:r>
      <w:bookmarkEnd w:id="18"/>
      <w:r>
        <w:rPr>
          <w:rFonts w:hint="eastAsia"/>
        </w:rPr>
        <w:t>辆，主要用于</w:t>
      </w:r>
      <w:bookmarkStart w:id="19" w:name="PO_part3A3B2C2D2Use1"/>
      <w:r>
        <w:rPr>
          <w:rFonts w:hint="eastAsia"/>
          <w:lang w:eastAsia="zh-CN"/>
        </w:rPr>
        <w:t>卫生健康综合监督执法用车</w:t>
      </w:r>
      <w:r>
        <w:rPr>
          <w:rFonts w:hint="eastAsia"/>
        </w:rPr>
        <w:t>。</w:t>
      </w:r>
      <w:bookmarkEnd w:id="19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 w:ascii="仿宋" w:hAnsi="仿宋" w:eastAsia="仿宋" w:cs="仿宋"/>
          <w:lang w:val="en-US" w:eastAsia="zh-CN"/>
        </w:rPr>
        <w:t>．</w:t>
      </w:r>
      <w:r>
        <w:rPr>
          <w:rFonts w:hint="eastAsia"/>
        </w:rPr>
        <w:t>公务接待</w:t>
      </w:r>
      <w:bookmarkStart w:id="30" w:name="_GoBack"/>
      <w:bookmarkEnd w:id="30"/>
      <w:r>
        <w:rPr>
          <w:rFonts w:hint="eastAsia"/>
        </w:rPr>
        <w:t>费支出</w:t>
      </w:r>
      <w:bookmarkStart w:id="20" w:name="PO_part3A3B2C3Amount1"/>
      <w:r>
        <w:t>0.51</w:t>
      </w:r>
      <w:bookmarkEnd w:id="20"/>
      <w:r>
        <w:rPr>
          <w:rFonts w:hint="eastAsia"/>
        </w:rPr>
        <w:t>万元，主要用于</w:t>
      </w:r>
      <w:bookmarkStart w:id="21" w:name="PO_part3A3B2C3Detail1"/>
      <w:r>
        <w:rPr>
          <w:rFonts w:hint="eastAsia"/>
          <w:lang w:eastAsia="zh-CN"/>
        </w:rPr>
        <w:t>公务来访人员接待</w:t>
      </w:r>
      <w:bookmarkEnd w:id="21"/>
      <w:r>
        <w:rPr>
          <w:rFonts w:hint="eastAsia"/>
        </w:rPr>
        <w:t>，共接待国外、境外来访团组</w:t>
      </w:r>
      <w:bookmarkStart w:id="22" w:name="PO_part3A3B2C3LfztCount1"/>
      <w:r>
        <w:t>0</w:t>
      </w:r>
      <w:bookmarkEnd w:id="22"/>
      <w:r>
        <w:rPr>
          <w:rFonts w:hint="eastAsia"/>
        </w:rPr>
        <w:t>个，来访外宾</w:t>
      </w:r>
      <w:bookmarkStart w:id="23" w:name="PO_part3A3B2C3LfwbCount1"/>
      <w:r>
        <w:t>0</w:t>
      </w:r>
      <w:bookmarkEnd w:id="23"/>
      <w:r>
        <w:rPr>
          <w:rFonts w:hint="eastAsia"/>
        </w:rPr>
        <w:t>人次；发生国内接待</w:t>
      </w:r>
      <w:bookmarkStart w:id="24" w:name="PO_part3A3B2C3GnjdCount1"/>
      <w:r>
        <w:t>9</w:t>
      </w:r>
      <w:bookmarkEnd w:id="24"/>
      <w:r>
        <w:rPr>
          <w:rFonts w:hint="eastAsia"/>
        </w:rPr>
        <w:t>次，接待人数共</w:t>
      </w:r>
      <w:bookmarkStart w:id="25" w:name="PO_part3A3B2C3GnjdManCount1"/>
      <w:r>
        <w:t>72</w:t>
      </w:r>
      <w:bookmarkEnd w:id="25"/>
      <w:r>
        <w:rPr>
          <w:rFonts w:hint="eastAsia"/>
        </w:rPr>
        <w:t>人。</w:t>
      </w:r>
      <w:bookmarkStart w:id="26" w:name="PO_part3A3B2C3GnjdInclude1"/>
      <w:r>
        <w:rPr>
          <w:rFonts w:hint="eastAsia"/>
        </w:rPr>
        <w:t>主要包括</w:t>
      </w:r>
      <w:r>
        <w:rPr>
          <w:rFonts w:hint="eastAsia"/>
          <w:lang w:eastAsia="zh-CN"/>
        </w:rPr>
        <w:t>新冠防控检查指导、国家双随机检查、卫生监督工作接待等。</w:t>
      </w:r>
      <w:bookmarkEnd w:id="26"/>
    </w:p>
    <w:p>
      <w:pPr>
        <w:ind w:left="0" w:leftChars="0" w:firstLine="0" w:firstLineChars="0"/>
      </w:pPr>
    </w:p>
    <w:p>
      <w:pPr>
        <w:spacing w:line="288" w:lineRule="auto"/>
        <w:jc w:val="left"/>
        <w:rPr>
          <w:rFonts w:hint="eastAsia" w:ascii="宋体" w:hAnsi="宋体" w:cs="宋体"/>
        </w:rPr>
        <w:sectPr>
          <w:pgSz w:w="11906" w:h="16838"/>
          <w:pgMar w:top="1984" w:right="1587" w:bottom="1701" w:left="1587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spacing w:line="288" w:lineRule="auto"/>
        <w:jc w:val="left"/>
        <w:rPr>
          <w:rFonts w:hint="eastAsia" w:ascii="宋体" w:hAnsi="宋体" w:cs="宋体"/>
        </w:rPr>
      </w:pPr>
    </w:p>
    <w:tbl>
      <w:tblPr>
        <w:tblStyle w:val="6"/>
        <w:tblW w:w="13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10"/>
        <w:gridCol w:w="1140"/>
        <w:gridCol w:w="1155"/>
        <w:gridCol w:w="1140"/>
        <w:gridCol w:w="1080"/>
        <w:gridCol w:w="1110"/>
        <w:gridCol w:w="1140"/>
        <w:gridCol w:w="1095"/>
        <w:gridCol w:w="1110"/>
        <w:gridCol w:w="1185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bookmarkStart w:id="27" w:name="PO_part2DivName9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单位 </w:t>
            </w:r>
            <w:bookmarkEnd w:id="27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：</w:t>
            </w:r>
            <w:bookmarkStart w:id="28" w:name="PO_part2Table9DivName1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惠州市卫生监督所 </w:t>
            </w:r>
            <w:bookmarkEnd w:id="28"/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0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679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1177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公务用车购置费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公务用车运行维护费</w:t>
            </w:r>
          </w:p>
        </w:tc>
        <w:tc>
          <w:tcPr>
            <w:tcW w:w="108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公务用车购置费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公务用车运行维护费</w:t>
            </w:r>
          </w:p>
        </w:tc>
        <w:tc>
          <w:tcPr>
            <w:tcW w:w="1159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29.00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28.00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28.00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1.00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18.73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18.22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18.22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0.51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line="360" w:lineRule="auto"/>
        <w:ind w:left="0" w:leftChars="0" w:firstLine="0" w:firstLineChars="0"/>
        <w:textAlignment w:val="auto"/>
      </w:pPr>
      <w:r>
        <w:rPr>
          <w:rFonts w:hint="eastAsia" w:ascii="宋体" w:hAnsi="宋体" w:cs="宋体"/>
          <w:szCs w:val="21"/>
        </w:rPr>
        <w:t>注：</w:t>
      </w:r>
      <w:bookmarkStart w:id="29" w:name="PO_part2Table1Remark9"/>
      <w:r>
        <w:rPr>
          <w:rFonts w:hint="eastAsia" w:ascii="宋体" w:hAnsi="宋体" w:cs="宋体"/>
          <w:szCs w:val="21"/>
        </w:rPr>
        <w:t xml:space="preserve">本表反映单位本年度财政拨款“三公”经费支出预决算情况。其中，预算数为“三公”经费全年预算数，反映按规定程序调整后的预算数；决算数是包括当年财政拨款和以前年度结转资金安排的实际支出。 </w:t>
      </w:r>
      <w:bookmarkEnd w:id="29"/>
    </w:p>
    <w:sectPr>
      <w:pgSz w:w="16838" w:h="11906" w:orient="landscape"/>
      <w:pgMar w:top="1984" w:right="1587" w:bottom="1701" w:left="1587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15CFB"/>
    <w:rsid w:val="00071348"/>
    <w:rsid w:val="00100EFA"/>
    <w:rsid w:val="0043238A"/>
    <w:rsid w:val="00967A7D"/>
    <w:rsid w:val="00BA0F9D"/>
    <w:rsid w:val="015810A6"/>
    <w:rsid w:val="01603A81"/>
    <w:rsid w:val="01947E08"/>
    <w:rsid w:val="01991428"/>
    <w:rsid w:val="01AB48F3"/>
    <w:rsid w:val="01DB6500"/>
    <w:rsid w:val="01FE7541"/>
    <w:rsid w:val="02A84956"/>
    <w:rsid w:val="02CF44F3"/>
    <w:rsid w:val="03816F14"/>
    <w:rsid w:val="03D87DB7"/>
    <w:rsid w:val="03FC7138"/>
    <w:rsid w:val="040A1032"/>
    <w:rsid w:val="042F017C"/>
    <w:rsid w:val="046A22C4"/>
    <w:rsid w:val="049049DF"/>
    <w:rsid w:val="04A325E4"/>
    <w:rsid w:val="04B31B97"/>
    <w:rsid w:val="04BF33E6"/>
    <w:rsid w:val="04EB71E7"/>
    <w:rsid w:val="059062E6"/>
    <w:rsid w:val="05B539FF"/>
    <w:rsid w:val="05B97A14"/>
    <w:rsid w:val="062B18C2"/>
    <w:rsid w:val="064A5063"/>
    <w:rsid w:val="067250B2"/>
    <w:rsid w:val="07074628"/>
    <w:rsid w:val="07494443"/>
    <w:rsid w:val="0792422D"/>
    <w:rsid w:val="07BD3C97"/>
    <w:rsid w:val="07C01EC4"/>
    <w:rsid w:val="07F44CAC"/>
    <w:rsid w:val="08610D28"/>
    <w:rsid w:val="0866000E"/>
    <w:rsid w:val="08794F6D"/>
    <w:rsid w:val="08F83522"/>
    <w:rsid w:val="093D5E69"/>
    <w:rsid w:val="09E735A0"/>
    <w:rsid w:val="09E73E43"/>
    <w:rsid w:val="0A1323B3"/>
    <w:rsid w:val="0AD8300C"/>
    <w:rsid w:val="0AEA24BB"/>
    <w:rsid w:val="0B031435"/>
    <w:rsid w:val="0B074D94"/>
    <w:rsid w:val="0B4C1179"/>
    <w:rsid w:val="0B6B2A09"/>
    <w:rsid w:val="0B782247"/>
    <w:rsid w:val="0BC47C61"/>
    <w:rsid w:val="0BC66FE1"/>
    <w:rsid w:val="0BE47A7A"/>
    <w:rsid w:val="0BE51E3D"/>
    <w:rsid w:val="0C204165"/>
    <w:rsid w:val="0C392F8E"/>
    <w:rsid w:val="0C627048"/>
    <w:rsid w:val="0C886B3E"/>
    <w:rsid w:val="0C9B38FD"/>
    <w:rsid w:val="0CA677DF"/>
    <w:rsid w:val="0CED4348"/>
    <w:rsid w:val="0CF053CF"/>
    <w:rsid w:val="0CF06D80"/>
    <w:rsid w:val="0D582C28"/>
    <w:rsid w:val="0D7A7B3F"/>
    <w:rsid w:val="0D8F51B2"/>
    <w:rsid w:val="0DD04CB2"/>
    <w:rsid w:val="0DDB6C40"/>
    <w:rsid w:val="0DE256CB"/>
    <w:rsid w:val="0E0B25A3"/>
    <w:rsid w:val="0E277927"/>
    <w:rsid w:val="0E404906"/>
    <w:rsid w:val="0E7020B4"/>
    <w:rsid w:val="0F0D188F"/>
    <w:rsid w:val="0F2E4CE8"/>
    <w:rsid w:val="0F43278D"/>
    <w:rsid w:val="101B76B9"/>
    <w:rsid w:val="10344486"/>
    <w:rsid w:val="10B506F6"/>
    <w:rsid w:val="11663DFD"/>
    <w:rsid w:val="118C4315"/>
    <w:rsid w:val="118D5673"/>
    <w:rsid w:val="11DD521B"/>
    <w:rsid w:val="11FD6F8E"/>
    <w:rsid w:val="122E2EAB"/>
    <w:rsid w:val="123F0835"/>
    <w:rsid w:val="125857A7"/>
    <w:rsid w:val="127505F1"/>
    <w:rsid w:val="128B669B"/>
    <w:rsid w:val="12B82649"/>
    <w:rsid w:val="13487F3D"/>
    <w:rsid w:val="13CE2C80"/>
    <w:rsid w:val="13FA6D3A"/>
    <w:rsid w:val="14106694"/>
    <w:rsid w:val="146F65F6"/>
    <w:rsid w:val="14E7632C"/>
    <w:rsid w:val="14F00EEF"/>
    <w:rsid w:val="14F24ED6"/>
    <w:rsid w:val="15C770B7"/>
    <w:rsid w:val="15D27B81"/>
    <w:rsid w:val="161043F0"/>
    <w:rsid w:val="16273054"/>
    <w:rsid w:val="166D056F"/>
    <w:rsid w:val="167F6B28"/>
    <w:rsid w:val="168C6288"/>
    <w:rsid w:val="16925E77"/>
    <w:rsid w:val="16A94B32"/>
    <w:rsid w:val="170E49BA"/>
    <w:rsid w:val="17260B57"/>
    <w:rsid w:val="176C175A"/>
    <w:rsid w:val="17D17878"/>
    <w:rsid w:val="17F51110"/>
    <w:rsid w:val="181B4F6F"/>
    <w:rsid w:val="18485C16"/>
    <w:rsid w:val="18704677"/>
    <w:rsid w:val="193A6C42"/>
    <w:rsid w:val="19A42717"/>
    <w:rsid w:val="19A74E5A"/>
    <w:rsid w:val="19C84588"/>
    <w:rsid w:val="19E37D12"/>
    <w:rsid w:val="1A6D7148"/>
    <w:rsid w:val="1AEA5684"/>
    <w:rsid w:val="1B041461"/>
    <w:rsid w:val="1B2C1F7B"/>
    <w:rsid w:val="1B346BB9"/>
    <w:rsid w:val="1B7401FC"/>
    <w:rsid w:val="1BC24ABC"/>
    <w:rsid w:val="1BD73AAA"/>
    <w:rsid w:val="1C1564FD"/>
    <w:rsid w:val="1C2F253A"/>
    <w:rsid w:val="1C4807CA"/>
    <w:rsid w:val="1C913D01"/>
    <w:rsid w:val="1C94144E"/>
    <w:rsid w:val="1C9A0F72"/>
    <w:rsid w:val="1CCF6A0E"/>
    <w:rsid w:val="1CF41314"/>
    <w:rsid w:val="1D4C5530"/>
    <w:rsid w:val="1D75299B"/>
    <w:rsid w:val="1D9230FD"/>
    <w:rsid w:val="1E351601"/>
    <w:rsid w:val="1E3A1FC3"/>
    <w:rsid w:val="1E5232E9"/>
    <w:rsid w:val="1E554761"/>
    <w:rsid w:val="1E900F0F"/>
    <w:rsid w:val="1EBD3BE6"/>
    <w:rsid w:val="1ED9647D"/>
    <w:rsid w:val="1F2F49F0"/>
    <w:rsid w:val="1F364993"/>
    <w:rsid w:val="1F4F680F"/>
    <w:rsid w:val="1F8D0F74"/>
    <w:rsid w:val="202F396A"/>
    <w:rsid w:val="207C660A"/>
    <w:rsid w:val="20BC4D66"/>
    <w:rsid w:val="20BC5EE6"/>
    <w:rsid w:val="212B4D49"/>
    <w:rsid w:val="214623B1"/>
    <w:rsid w:val="21910E9C"/>
    <w:rsid w:val="21B35650"/>
    <w:rsid w:val="21DD4A25"/>
    <w:rsid w:val="22013E2E"/>
    <w:rsid w:val="22314B4E"/>
    <w:rsid w:val="223E26E0"/>
    <w:rsid w:val="2259482B"/>
    <w:rsid w:val="225D4591"/>
    <w:rsid w:val="22970784"/>
    <w:rsid w:val="22C65920"/>
    <w:rsid w:val="23A16E76"/>
    <w:rsid w:val="23FE386C"/>
    <w:rsid w:val="241C4228"/>
    <w:rsid w:val="2420691A"/>
    <w:rsid w:val="24430C0B"/>
    <w:rsid w:val="246F746F"/>
    <w:rsid w:val="24813CEA"/>
    <w:rsid w:val="249D521F"/>
    <w:rsid w:val="24D857A9"/>
    <w:rsid w:val="250420E5"/>
    <w:rsid w:val="250A7646"/>
    <w:rsid w:val="256142F8"/>
    <w:rsid w:val="25654D9D"/>
    <w:rsid w:val="25927419"/>
    <w:rsid w:val="25AB7E78"/>
    <w:rsid w:val="25BD48E1"/>
    <w:rsid w:val="2603388B"/>
    <w:rsid w:val="261D2E0D"/>
    <w:rsid w:val="265E70E6"/>
    <w:rsid w:val="267061D9"/>
    <w:rsid w:val="26B92F43"/>
    <w:rsid w:val="26BA51DA"/>
    <w:rsid w:val="27161BD1"/>
    <w:rsid w:val="27195169"/>
    <w:rsid w:val="27E73195"/>
    <w:rsid w:val="27ED7651"/>
    <w:rsid w:val="282A50FE"/>
    <w:rsid w:val="28413B36"/>
    <w:rsid w:val="28BC5074"/>
    <w:rsid w:val="28E653C2"/>
    <w:rsid w:val="28ED1BB7"/>
    <w:rsid w:val="28FF1532"/>
    <w:rsid w:val="29120260"/>
    <w:rsid w:val="29267C31"/>
    <w:rsid w:val="29435DD0"/>
    <w:rsid w:val="2971551C"/>
    <w:rsid w:val="29794992"/>
    <w:rsid w:val="298369F9"/>
    <w:rsid w:val="29AA03F9"/>
    <w:rsid w:val="29AC4D19"/>
    <w:rsid w:val="29CF3C48"/>
    <w:rsid w:val="2A2654C2"/>
    <w:rsid w:val="2A831C41"/>
    <w:rsid w:val="2B1526B9"/>
    <w:rsid w:val="2B5A5208"/>
    <w:rsid w:val="2B7D52EA"/>
    <w:rsid w:val="2C05514A"/>
    <w:rsid w:val="2C2471E8"/>
    <w:rsid w:val="2C353BE4"/>
    <w:rsid w:val="2CAE2B05"/>
    <w:rsid w:val="2CCE2C4B"/>
    <w:rsid w:val="2E1173A5"/>
    <w:rsid w:val="2E175D80"/>
    <w:rsid w:val="2E191388"/>
    <w:rsid w:val="2E504C22"/>
    <w:rsid w:val="2E8354F7"/>
    <w:rsid w:val="2E8B42AE"/>
    <w:rsid w:val="2EBF7FAA"/>
    <w:rsid w:val="2EF476D4"/>
    <w:rsid w:val="2F21155F"/>
    <w:rsid w:val="2F571DA3"/>
    <w:rsid w:val="2FAB06C0"/>
    <w:rsid w:val="2FCE7B00"/>
    <w:rsid w:val="2FD02A19"/>
    <w:rsid w:val="2FF373FB"/>
    <w:rsid w:val="304B27E3"/>
    <w:rsid w:val="30A32611"/>
    <w:rsid w:val="30AE66E1"/>
    <w:rsid w:val="30B74551"/>
    <w:rsid w:val="30B84B6F"/>
    <w:rsid w:val="31156C44"/>
    <w:rsid w:val="3132170E"/>
    <w:rsid w:val="318B6A85"/>
    <w:rsid w:val="31AB2EFB"/>
    <w:rsid w:val="31C520BD"/>
    <w:rsid w:val="31FB2044"/>
    <w:rsid w:val="32594F0B"/>
    <w:rsid w:val="325B03CC"/>
    <w:rsid w:val="32995486"/>
    <w:rsid w:val="32B92803"/>
    <w:rsid w:val="32C703CE"/>
    <w:rsid w:val="3383524D"/>
    <w:rsid w:val="3390773A"/>
    <w:rsid w:val="34173034"/>
    <w:rsid w:val="343C37DA"/>
    <w:rsid w:val="34685926"/>
    <w:rsid w:val="347A7F65"/>
    <w:rsid w:val="347E631A"/>
    <w:rsid w:val="34C777D3"/>
    <w:rsid w:val="34FC1DF8"/>
    <w:rsid w:val="35466857"/>
    <w:rsid w:val="356A7866"/>
    <w:rsid w:val="36537EE3"/>
    <w:rsid w:val="366D463C"/>
    <w:rsid w:val="3700521B"/>
    <w:rsid w:val="374C6366"/>
    <w:rsid w:val="378D137C"/>
    <w:rsid w:val="37F42CF3"/>
    <w:rsid w:val="382A3CD4"/>
    <w:rsid w:val="39320113"/>
    <w:rsid w:val="39F82E48"/>
    <w:rsid w:val="39FC590D"/>
    <w:rsid w:val="3A4007BA"/>
    <w:rsid w:val="3A6E3E07"/>
    <w:rsid w:val="3A933278"/>
    <w:rsid w:val="3A951DA2"/>
    <w:rsid w:val="3A966D14"/>
    <w:rsid w:val="3ACF5CEE"/>
    <w:rsid w:val="3B0E49EF"/>
    <w:rsid w:val="3B234171"/>
    <w:rsid w:val="3B9D0D08"/>
    <w:rsid w:val="3B9F0BFD"/>
    <w:rsid w:val="3BAA0B98"/>
    <w:rsid w:val="3BCD2094"/>
    <w:rsid w:val="3BD23635"/>
    <w:rsid w:val="3C4D72F9"/>
    <w:rsid w:val="3C707C95"/>
    <w:rsid w:val="3C7573ED"/>
    <w:rsid w:val="3CB24928"/>
    <w:rsid w:val="3CB25362"/>
    <w:rsid w:val="3D275C7B"/>
    <w:rsid w:val="3D5C621F"/>
    <w:rsid w:val="3DA76DEB"/>
    <w:rsid w:val="3DB16283"/>
    <w:rsid w:val="3DCC4D35"/>
    <w:rsid w:val="3DEF5E01"/>
    <w:rsid w:val="3E313032"/>
    <w:rsid w:val="3EE341A8"/>
    <w:rsid w:val="3EF078B4"/>
    <w:rsid w:val="3F5152A8"/>
    <w:rsid w:val="3F56182F"/>
    <w:rsid w:val="403F1F18"/>
    <w:rsid w:val="4057394F"/>
    <w:rsid w:val="40643983"/>
    <w:rsid w:val="40F5109A"/>
    <w:rsid w:val="40FC3280"/>
    <w:rsid w:val="41B102AB"/>
    <w:rsid w:val="41C06709"/>
    <w:rsid w:val="4223545F"/>
    <w:rsid w:val="422E7BA7"/>
    <w:rsid w:val="4257635F"/>
    <w:rsid w:val="426C3A36"/>
    <w:rsid w:val="4279780F"/>
    <w:rsid w:val="42881FB0"/>
    <w:rsid w:val="42A648B9"/>
    <w:rsid w:val="42EC52D6"/>
    <w:rsid w:val="43297504"/>
    <w:rsid w:val="432F6745"/>
    <w:rsid w:val="43847352"/>
    <w:rsid w:val="43902C4A"/>
    <w:rsid w:val="43D62206"/>
    <w:rsid w:val="43EC6A3E"/>
    <w:rsid w:val="44136A53"/>
    <w:rsid w:val="444F06A7"/>
    <w:rsid w:val="44AF4333"/>
    <w:rsid w:val="44B52C97"/>
    <w:rsid w:val="4574475A"/>
    <w:rsid w:val="45B221D3"/>
    <w:rsid w:val="45D9283C"/>
    <w:rsid w:val="467959A3"/>
    <w:rsid w:val="46AF162E"/>
    <w:rsid w:val="46DA2C3D"/>
    <w:rsid w:val="471A003E"/>
    <w:rsid w:val="474E5392"/>
    <w:rsid w:val="477F784F"/>
    <w:rsid w:val="478974C9"/>
    <w:rsid w:val="47A55FA8"/>
    <w:rsid w:val="47B62A43"/>
    <w:rsid w:val="47BB4311"/>
    <w:rsid w:val="47EA7A6D"/>
    <w:rsid w:val="482F2437"/>
    <w:rsid w:val="485B0370"/>
    <w:rsid w:val="487D6A0C"/>
    <w:rsid w:val="4883489E"/>
    <w:rsid w:val="48882EE6"/>
    <w:rsid w:val="48A37912"/>
    <w:rsid w:val="4901713E"/>
    <w:rsid w:val="491B0F60"/>
    <w:rsid w:val="49390709"/>
    <w:rsid w:val="49460E7A"/>
    <w:rsid w:val="498218D8"/>
    <w:rsid w:val="499508F1"/>
    <w:rsid w:val="4A49625C"/>
    <w:rsid w:val="4A8F3F2A"/>
    <w:rsid w:val="4B247997"/>
    <w:rsid w:val="4B315585"/>
    <w:rsid w:val="4B404E86"/>
    <w:rsid w:val="4BD21F12"/>
    <w:rsid w:val="4C2A7715"/>
    <w:rsid w:val="4C2F3C5D"/>
    <w:rsid w:val="4C475AD2"/>
    <w:rsid w:val="4C6D77D9"/>
    <w:rsid w:val="4C985B16"/>
    <w:rsid w:val="4CA04B46"/>
    <w:rsid w:val="4CC40CA8"/>
    <w:rsid w:val="4CFF60E3"/>
    <w:rsid w:val="4D4A4DED"/>
    <w:rsid w:val="4D7A4201"/>
    <w:rsid w:val="4DA74503"/>
    <w:rsid w:val="4DFE13AE"/>
    <w:rsid w:val="4E4C680E"/>
    <w:rsid w:val="4E62270C"/>
    <w:rsid w:val="4E9A52A8"/>
    <w:rsid w:val="4E9D0954"/>
    <w:rsid w:val="4EB045BB"/>
    <w:rsid w:val="4F1308CE"/>
    <w:rsid w:val="4F175EC8"/>
    <w:rsid w:val="4F376DC7"/>
    <w:rsid w:val="4F775B01"/>
    <w:rsid w:val="4F884CD1"/>
    <w:rsid w:val="4FDD0EFC"/>
    <w:rsid w:val="4FE72524"/>
    <w:rsid w:val="50153374"/>
    <w:rsid w:val="50207724"/>
    <w:rsid w:val="50481F40"/>
    <w:rsid w:val="507E58E4"/>
    <w:rsid w:val="509545A9"/>
    <w:rsid w:val="516F4510"/>
    <w:rsid w:val="51786EAD"/>
    <w:rsid w:val="51FF0522"/>
    <w:rsid w:val="52611277"/>
    <w:rsid w:val="52666422"/>
    <w:rsid w:val="528D0C3B"/>
    <w:rsid w:val="52E1114C"/>
    <w:rsid w:val="53286660"/>
    <w:rsid w:val="53642CFB"/>
    <w:rsid w:val="53D33595"/>
    <w:rsid w:val="54700DE7"/>
    <w:rsid w:val="547A1992"/>
    <w:rsid w:val="54AD56B3"/>
    <w:rsid w:val="54E37100"/>
    <w:rsid w:val="553846AC"/>
    <w:rsid w:val="55B211C4"/>
    <w:rsid w:val="55CE7E3A"/>
    <w:rsid w:val="55DA7B16"/>
    <w:rsid w:val="565B08F9"/>
    <w:rsid w:val="56A47686"/>
    <w:rsid w:val="56D57681"/>
    <w:rsid w:val="56E97D60"/>
    <w:rsid w:val="56FA631D"/>
    <w:rsid w:val="57221A1A"/>
    <w:rsid w:val="576C4BE0"/>
    <w:rsid w:val="57701F99"/>
    <w:rsid w:val="57CE3B93"/>
    <w:rsid w:val="57EB758E"/>
    <w:rsid w:val="581F083A"/>
    <w:rsid w:val="582E3E91"/>
    <w:rsid w:val="585367B9"/>
    <w:rsid w:val="58BE47DB"/>
    <w:rsid w:val="58E339CF"/>
    <w:rsid w:val="58E40C25"/>
    <w:rsid w:val="58F159D9"/>
    <w:rsid w:val="591B6702"/>
    <w:rsid w:val="59211B43"/>
    <w:rsid w:val="59675C9E"/>
    <w:rsid w:val="59992C25"/>
    <w:rsid w:val="59BF4387"/>
    <w:rsid w:val="5A3B71D5"/>
    <w:rsid w:val="5A714EA4"/>
    <w:rsid w:val="5B0B09E4"/>
    <w:rsid w:val="5B1B2659"/>
    <w:rsid w:val="5B773F89"/>
    <w:rsid w:val="5BE92EA4"/>
    <w:rsid w:val="5C161C5B"/>
    <w:rsid w:val="5C470A56"/>
    <w:rsid w:val="5CA371D1"/>
    <w:rsid w:val="5CB76092"/>
    <w:rsid w:val="5CC15CFB"/>
    <w:rsid w:val="5D0E7D94"/>
    <w:rsid w:val="5DE21874"/>
    <w:rsid w:val="5E0F3184"/>
    <w:rsid w:val="5E253257"/>
    <w:rsid w:val="5E4D59AF"/>
    <w:rsid w:val="5E786965"/>
    <w:rsid w:val="5E82435B"/>
    <w:rsid w:val="5E9769E9"/>
    <w:rsid w:val="5E9F6AD0"/>
    <w:rsid w:val="5ECA54FD"/>
    <w:rsid w:val="5EDF3FFD"/>
    <w:rsid w:val="5EE70DB3"/>
    <w:rsid w:val="5F200C23"/>
    <w:rsid w:val="5F234274"/>
    <w:rsid w:val="5F771738"/>
    <w:rsid w:val="5F7D5AE9"/>
    <w:rsid w:val="5F90733A"/>
    <w:rsid w:val="5FF04548"/>
    <w:rsid w:val="6009073D"/>
    <w:rsid w:val="600F1B36"/>
    <w:rsid w:val="6032237B"/>
    <w:rsid w:val="603A2BD0"/>
    <w:rsid w:val="608209E4"/>
    <w:rsid w:val="60BB642E"/>
    <w:rsid w:val="60CC397B"/>
    <w:rsid w:val="6179341B"/>
    <w:rsid w:val="61AD3E3A"/>
    <w:rsid w:val="61DC70F4"/>
    <w:rsid w:val="61DD2672"/>
    <w:rsid w:val="62AC4C04"/>
    <w:rsid w:val="62C26F5F"/>
    <w:rsid w:val="62D9783B"/>
    <w:rsid w:val="63427E74"/>
    <w:rsid w:val="636E499F"/>
    <w:rsid w:val="637A2856"/>
    <w:rsid w:val="63A84B8B"/>
    <w:rsid w:val="63FB7855"/>
    <w:rsid w:val="63FF1828"/>
    <w:rsid w:val="647C54E3"/>
    <w:rsid w:val="64DD7186"/>
    <w:rsid w:val="650258A6"/>
    <w:rsid w:val="6550394E"/>
    <w:rsid w:val="65832DBA"/>
    <w:rsid w:val="65EE19DC"/>
    <w:rsid w:val="65F87075"/>
    <w:rsid w:val="663617E4"/>
    <w:rsid w:val="664D5C2E"/>
    <w:rsid w:val="666B57E7"/>
    <w:rsid w:val="667D4622"/>
    <w:rsid w:val="66A777DC"/>
    <w:rsid w:val="66C93669"/>
    <w:rsid w:val="67173E7E"/>
    <w:rsid w:val="67841FA4"/>
    <w:rsid w:val="679157F9"/>
    <w:rsid w:val="682F6823"/>
    <w:rsid w:val="684B4741"/>
    <w:rsid w:val="68803607"/>
    <w:rsid w:val="68CE339B"/>
    <w:rsid w:val="68D52415"/>
    <w:rsid w:val="68FB49A6"/>
    <w:rsid w:val="694C2043"/>
    <w:rsid w:val="694D2D14"/>
    <w:rsid w:val="69626824"/>
    <w:rsid w:val="69B82444"/>
    <w:rsid w:val="69C70DC9"/>
    <w:rsid w:val="69CA04EC"/>
    <w:rsid w:val="69CA71D9"/>
    <w:rsid w:val="6A0054F9"/>
    <w:rsid w:val="6A11476E"/>
    <w:rsid w:val="6A5A2159"/>
    <w:rsid w:val="6A6E1E11"/>
    <w:rsid w:val="6AFE6E42"/>
    <w:rsid w:val="6B207225"/>
    <w:rsid w:val="6B27111B"/>
    <w:rsid w:val="6B343B0A"/>
    <w:rsid w:val="6B8A06AA"/>
    <w:rsid w:val="6C326603"/>
    <w:rsid w:val="6C52355D"/>
    <w:rsid w:val="6C835F42"/>
    <w:rsid w:val="6D1725A3"/>
    <w:rsid w:val="6D752653"/>
    <w:rsid w:val="6DAC73FA"/>
    <w:rsid w:val="6DC739E2"/>
    <w:rsid w:val="6DD41C06"/>
    <w:rsid w:val="6DF62B3B"/>
    <w:rsid w:val="6E047BB3"/>
    <w:rsid w:val="6EBC4BA8"/>
    <w:rsid w:val="6EC8035F"/>
    <w:rsid w:val="6F253580"/>
    <w:rsid w:val="6F8619DB"/>
    <w:rsid w:val="6F927D77"/>
    <w:rsid w:val="6F9C3904"/>
    <w:rsid w:val="6F9C597A"/>
    <w:rsid w:val="6F9C6086"/>
    <w:rsid w:val="6FA355AB"/>
    <w:rsid w:val="6FAF51DE"/>
    <w:rsid w:val="6FDC539F"/>
    <w:rsid w:val="6FDC6F92"/>
    <w:rsid w:val="70581F8C"/>
    <w:rsid w:val="70A418C2"/>
    <w:rsid w:val="70B95775"/>
    <w:rsid w:val="712023B9"/>
    <w:rsid w:val="71405114"/>
    <w:rsid w:val="715F7371"/>
    <w:rsid w:val="717F2FE7"/>
    <w:rsid w:val="7181324D"/>
    <w:rsid w:val="71E26790"/>
    <w:rsid w:val="71E96D1D"/>
    <w:rsid w:val="71ED56C6"/>
    <w:rsid w:val="726C72C2"/>
    <w:rsid w:val="72786A81"/>
    <w:rsid w:val="727C6EAE"/>
    <w:rsid w:val="72D37F56"/>
    <w:rsid w:val="72E233BB"/>
    <w:rsid w:val="72E42D59"/>
    <w:rsid w:val="72EA5144"/>
    <w:rsid w:val="72FB4248"/>
    <w:rsid w:val="7349392E"/>
    <w:rsid w:val="73511B1D"/>
    <w:rsid w:val="739B247B"/>
    <w:rsid w:val="73AB3B7E"/>
    <w:rsid w:val="73DC4A88"/>
    <w:rsid w:val="73FE7830"/>
    <w:rsid w:val="74101CAA"/>
    <w:rsid w:val="7411469F"/>
    <w:rsid w:val="75546DC2"/>
    <w:rsid w:val="75C21BF3"/>
    <w:rsid w:val="76060698"/>
    <w:rsid w:val="762540A3"/>
    <w:rsid w:val="76304EAB"/>
    <w:rsid w:val="764762B7"/>
    <w:rsid w:val="769B61C3"/>
    <w:rsid w:val="76D43096"/>
    <w:rsid w:val="76D55F0E"/>
    <w:rsid w:val="76FE5960"/>
    <w:rsid w:val="772433B1"/>
    <w:rsid w:val="77402617"/>
    <w:rsid w:val="77753126"/>
    <w:rsid w:val="77B11B57"/>
    <w:rsid w:val="785D0EF9"/>
    <w:rsid w:val="788845F3"/>
    <w:rsid w:val="78E45550"/>
    <w:rsid w:val="78F7366D"/>
    <w:rsid w:val="790232AE"/>
    <w:rsid w:val="79394450"/>
    <w:rsid w:val="794E275C"/>
    <w:rsid w:val="7AA916BC"/>
    <w:rsid w:val="7AAF2C37"/>
    <w:rsid w:val="7AD33935"/>
    <w:rsid w:val="7B1B06A3"/>
    <w:rsid w:val="7B822508"/>
    <w:rsid w:val="7BA05F8E"/>
    <w:rsid w:val="7C33380D"/>
    <w:rsid w:val="7CEE78BB"/>
    <w:rsid w:val="7D263189"/>
    <w:rsid w:val="7D32326B"/>
    <w:rsid w:val="7D3977CC"/>
    <w:rsid w:val="7D3C7D8D"/>
    <w:rsid w:val="7D471736"/>
    <w:rsid w:val="7E0062F5"/>
    <w:rsid w:val="7E3D1271"/>
    <w:rsid w:val="7E3D21C2"/>
    <w:rsid w:val="7E5303E3"/>
    <w:rsid w:val="7E896006"/>
    <w:rsid w:val="7F62101B"/>
    <w:rsid w:val="7F8817E8"/>
    <w:rsid w:val="7FA7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overflowPunct w:val="0"/>
      <w:topLinePunct/>
      <w:spacing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ajorBidi"/>
      <w:b w:val="0"/>
      <w:color w:val="000000" w:themeColor="text1"/>
      <w:spacing w:val="6"/>
      <w:kern w:val="28"/>
      <w:sz w:val="44"/>
      <w:szCs w:val="28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0"/>
      <w:jc w:val="center"/>
      <w:outlineLvl w:val="1"/>
    </w:pPr>
    <w:rPr>
      <w:rFonts w:eastAsia="仿宋" w:asciiTheme="majorAscii" w:hAnsiTheme="majorAscii" w:cstheme="majorBidi"/>
      <w:b/>
      <w:bCs/>
      <w:color w:val="000000"/>
      <w:sz w:val="32"/>
      <w:szCs w:val="26"/>
      <w:lang w:eastAsia="en-US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ind w:firstLine="0" w:firstLineChars="0"/>
      <w:jc w:val="center"/>
      <w:outlineLvl w:val="0"/>
    </w:pPr>
    <w:rPr>
      <w:rFonts w:ascii="Arial" w:hAnsi="Arial"/>
      <w:b/>
    </w:rPr>
  </w:style>
  <w:style w:type="paragraph" w:styleId="5">
    <w:name w:val="Body Text"/>
    <w:basedOn w:val="1"/>
    <w:qFormat/>
    <w:uiPriority w:val="0"/>
    <w:pPr>
      <w:spacing w:after="120" w:afterLines="0" w:afterAutospacing="0" w:line="440" w:lineRule="exact"/>
      <w:ind w:firstLine="904" w:firstLineChars="200"/>
    </w:pPr>
    <w:rPr>
      <w:rFonts w:ascii="仿宋" w:hAnsi="仿宋" w:eastAsia="仿宋" w:cstheme="minorBidi"/>
      <w:kern w:val="2"/>
      <w:sz w:val="28"/>
      <w:lang w:eastAsia="zh-CN"/>
    </w:rPr>
  </w:style>
  <w:style w:type="character" w:customStyle="1" w:styleId="8">
    <w:name w:val="标题 1 Char"/>
    <w:link w:val="2"/>
    <w:qFormat/>
    <w:uiPriority w:val="0"/>
    <w:rPr>
      <w:rFonts w:hint="eastAsia" w:ascii="方正小标宋简体" w:hAnsi="方正小标宋简体" w:eastAsia="方正小标宋简体" w:cstheme="majorBidi"/>
      <w:color w:val="000000" w:themeColor="text1"/>
      <w:spacing w:val="6"/>
      <w:kern w:val="28"/>
      <w:sz w:val="44"/>
      <w:szCs w:val="48"/>
      <w:lang w:eastAsia="en-US" w:bidi="ar"/>
      <w14:textFill>
        <w14:solidFill>
          <w14:schemeClr w14:val="tx1"/>
        </w14:solidFill>
      </w14:textFill>
    </w:rPr>
  </w:style>
  <w:style w:type="character" w:customStyle="1" w:styleId="9">
    <w:name w:val="Heading 2 Char"/>
    <w:basedOn w:val="7"/>
    <w:link w:val="4"/>
    <w:qFormat/>
    <w:uiPriority w:val="9"/>
    <w:rPr>
      <w:rFonts w:eastAsia="仿宋" w:asciiTheme="majorAscii" w:hAnsiTheme="majorAscii" w:cstheme="majorBidi"/>
      <w:b/>
      <w:bCs/>
      <w:color w:val="5B9BD5" w:themeColor="accent1"/>
      <w:sz w:val="32"/>
      <w:szCs w:val="26"/>
      <w:lang w:eastAsia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惠城区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2023-08-28T05:19:00Z</dcterms:created>
  <dc:creator>邹宓</dc:creator>
  <cp:lastModifiedBy>邹宓</cp:lastModifiedBy>
  <dcterms:modified xsi:type="dcterms:W3CDTF">2023-08-28T06:27:58Z</dcterms:modified>
  <dc:title>2022年度惠州市卫生监督所“三公”经费支出决算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C1041583693E46469123F8ABDF4E3050</vt:lpwstr>
  </property>
</Properties>
</file>