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sz w:val="32"/>
          <w:szCs w:val="32"/>
          <w:shd w:val="clear" w:color="auto" w:fill="auto"/>
          <w:lang w:val="en-US" w:eastAsia="zh-CN"/>
        </w:rPr>
      </w:pPr>
      <w:r>
        <w:rPr>
          <w:rFonts w:hint="eastAsia" w:ascii="黑体" w:hAnsi="黑体" w:eastAsia="黑体" w:cs="黑体"/>
          <w:color w:val="000000"/>
          <w:sz w:val="32"/>
          <w:szCs w:val="32"/>
          <w:shd w:val="clear" w:color="auto" w:fill="auto"/>
          <w:lang w:val="en-US" w:eastAsia="zh-CN"/>
        </w:rPr>
        <w:t>附件1</w:t>
      </w:r>
    </w:p>
    <w:p>
      <w:pPr>
        <w:numPr>
          <w:ilvl w:val="0"/>
          <w:numId w:val="0"/>
        </w:numPr>
        <w:ind w:left="420" w:leftChars="0"/>
        <w:jc w:val="center"/>
        <w:rPr>
          <w:rFonts w:hint="eastAsia" w:ascii="楷体" w:hAnsi="楷体" w:eastAsia="楷体" w:cs="楷体"/>
          <w:color w:val="000000"/>
          <w:sz w:val="32"/>
          <w:szCs w:val="32"/>
          <w:shd w:val="clear" w:color="auto" w:fill="auto"/>
          <w:lang w:val="en-US" w:eastAsia="zh-CN"/>
        </w:rPr>
      </w:pPr>
      <w:r>
        <w:rPr>
          <w:rFonts w:hint="eastAsia" w:ascii="楷体" w:hAnsi="楷体" w:eastAsia="楷体" w:cs="楷体"/>
          <w:color w:val="000000"/>
          <w:sz w:val="32"/>
          <w:szCs w:val="32"/>
          <w:shd w:val="clear" w:color="auto" w:fill="auto"/>
          <w:lang w:val="en-US" w:eastAsia="zh-CN"/>
        </w:rPr>
        <w:t>惠州市劳务派遣单位星级评定指标评分表</w:t>
      </w:r>
    </w:p>
    <w:tbl>
      <w:tblPr>
        <w:tblStyle w:val="6"/>
        <w:tblW w:w="15133"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910"/>
        <w:gridCol w:w="651"/>
        <w:gridCol w:w="8349"/>
        <w:gridCol w:w="220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93" w:type="dxa"/>
            <w:noWrap w:val="0"/>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项目</w:t>
            </w:r>
          </w:p>
        </w:tc>
        <w:tc>
          <w:tcPr>
            <w:tcW w:w="1910" w:type="dxa"/>
            <w:noWrap w:val="0"/>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评分标准</w:t>
            </w:r>
          </w:p>
        </w:tc>
        <w:tc>
          <w:tcPr>
            <w:tcW w:w="651" w:type="dxa"/>
            <w:noWrap w:val="0"/>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分值</w:t>
            </w:r>
          </w:p>
        </w:tc>
        <w:tc>
          <w:tcPr>
            <w:tcW w:w="8349" w:type="dxa"/>
            <w:noWrap w:val="0"/>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评分细则</w:t>
            </w:r>
          </w:p>
        </w:tc>
        <w:tc>
          <w:tcPr>
            <w:tcW w:w="2208" w:type="dxa"/>
            <w:noWrap w:val="0"/>
            <w:vAlign w:val="center"/>
          </w:tcPr>
          <w:p>
            <w:pPr>
              <w:jc w:val="center"/>
              <w:rPr>
                <w:rFonts w:hint="eastAsia" w:ascii="黑体" w:hAnsi="黑体" w:eastAsia="黑体" w:cs="黑体"/>
                <w:sz w:val="21"/>
                <w:szCs w:val="21"/>
                <w:vertAlign w:val="baseline"/>
                <w:lang w:val="en" w:eastAsia="zh-CN"/>
              </w:rPr>
            </w:pPr>
            <w:r>
              <w:rPr>
                <w:rFonts w:hint="eastAsia" w:ascii="黑体" w:hAnsi="黑体" w:eastAsia="黑体" w:cs="黑体"/>
                <w:sz w:val="21"/>
                <w:szCs w:val="21"/>
                <w:vertAlign w:val="baseline"/>
                <w:lang w:eastAsia="zh-CN"/>
              </w:rPr>
              <w:t>评分方式</w:t>
            </w:r>
            <w:r>
              <w:rPr>
                <w:rFonts w:hint="eastAsia" w:ascii="黑体" w:hAnsi="黑体" w:eastAsia="黑体" w:cs="黑体"/>
                <w:sz w:val="21"/>
                <w:szCs w:val="21"/>
                <w:vertAlign w:val="baseline"/>
                <w:lang w:val="en" w:eastAsia="zh-CN"/>
              </w:rPr>
              <w:t>/依据</w:t>
            </w:r>
          </w:p>
        </w:tc>
        <w:tc>
          <w:tcPr>
            <w:tcW w:w="722" w:type="dxa"/>
            <w:noWrap w:val="0"/>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93" w:type="dxa"/>
            <w:vMerge w:val="restart"/>
            <w:noWrap w:val="0"/>
            <w:vAlign w:val="center"/>
          </w:tcPr>
          <w:p>
            <w:pPr>
              <w:pStyle w:val="2"/>
              <w:adjustRightInd w:val="0"/>
              <w:snapToGrid w:val="0"/>
              <w:spacing w:line="280" w:lineRule="exact"/>
              <w:jc w:val="both"/>
              <w:rPr>
                <w:rFonts w:hint="eastAsia" w:ascii="仿宋_GB2312" w:hAnsi="仿宋_GB2312" w:eastAsia="仿宋_GB2312" w:cs="仿宋_GB2312"/>
                <w:color w:val="000000"/>
                <w:spacing w:val="-12"/>
                <w:sz w:val="21"/>
                <w:szCs w:val="21"/>
                <w:shd w:val="clear" w:color="auto" w:fill="auto"/>
                <w:lang w:eastAsia="zh-CN"/>
              </w:rPr>
            </w:pPr>
            <w:r>
              <w:rPr>
                <w:rFonts w:hint="eastAsia" w:ascii="仿宋_GB2312" w:hAnsi="仿宋_GB2312" w:eastAsia="仿宋_GB2312" w:cs="仿宋_GB2312"/>
                <w:color w:val="000000"/>
                <w:spacing w:val="-12"/>
                <w:sz w:val="21"/>
                <w:szCs w:val="21"/>
                <w:shd w:val="clear" w:color="auto" w:fill="auto"/>
                <w:lang w:eastAsia="zh-CN"/>
              </w:rPr>
              <w:t>一、经营场所</w:t>
            </w:r>
            <w:r>
              <w:rPr>
                <w:rFonts w:hint="eastAsia" w:ascii="仿宋_GB2312" w:hAnsi="仿宋_GB2312" w:cs="仿宋_GB2312"/>
                <w:color w:val="000000"/>
                <w:spacing w:val="-12"/>
                <w:sz w:val="21"/>
                <w:szCs w:val="21"/>
                <w:shd w:val="clear" w:color="auto" w:fill="auto"/>
                <w:lang w:eastAsia="zh-CN"/>
              </w:rPr>
              <w:t>和</w:t>
            </w:r>
            <w:r>
              <w:rPr>
                <w:rFonts w:hint="eastAsia" w:ascii="仿宋_GB2312" w:hAnsi="仿宋_GB2312" w:eastAsia="仿宋_GB2312" w:cs="仿宋_GB2312"/>
                <w:color w:val="000000"/>
                <w:spacing w:val="-12"/>
                <w:sz w:val="21"/>
                <w:szCs w:val="21"/>
                <w:shd w:val="clear" w:color="auto" w:fill="auto"/>
                <w:lang w:eastAsia="zh-CN"/>
              </w:rPr>
              <w:t>设施（</w:t>
            </w:r>
            <w:r>
              <w:rPr>
                <w:rFonts w:hint="eastAsia" w:ascii="仿宋_GB2312" w:hAnsi="仿宋_GB2312" w:eastAsia="仿宋_GB2312" w:cs="仿宋_GB2312"/>
                <w:color w:val="000000"/>
                <w:spacing w:val="-12"/>
                <w:sz w:val="21"/>
                <w:szCs w:val="21"/>
                <w:shd w:val="clear" w:color="auto" w:fill="auto"/>
                <w:lang w:val="en-US" w:eastAsia="zh-CN"/>
              </w:rPr>
              <w:t>15分</w:t>
            </w:r>
            <w:r>
              <w:rPr>
                <w:rFonts w:hint="eastAsia" w:ascii="仿宋_GB2312" w:hAnsi="仿宋_GB2312" w:eastAsia="仿宋_GB2312" w:cs="仿宋_GB2312"/>
                <w:color w:val="000000"/>
                <w:spacing w:val="-12"/>
                <w:sz w:val="21"/>
                <w:szCs w:val="21"/>
                <w:shd w:val="clear" w:color="auto" w:fill="auto"/>
                <w:lang w:eastAsia="zh-CN"/>
              </w:rPr>
              <w:t>）</w:t>
            </w:r>
          </w:p>
        </w:tc>
        <w:tc>
          <w:tcPr>
            <w:tcW w:w="1910"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1.办公区域规划</w:t>
            </w:r>
          </w:p>
        </w:tc>
        <w:tc>
          <w:tcPr>
            <w:tcW w:w="651" w:type="dxa"/>
            <w:noWrap w:val="0"/>
            <w:vAlign w:val="center"/>
          </w:tcPr>
          <w:p>
            <w:pPr>
              <w:pStyle w:val="2"/>
              <w:adjustRightInd w:val="0"/>
              <w:snapToGrid w:val="0"/>
              <w:spacing w:line="280" w:lineRule="exact"/>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5</w:t>
            </w:r>
          </w:p>
        </w:tc>
        <w:tc>
          <w:tcPr>
            <w:tcW w:w="8349"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办公建筑面积不少于100㎡的得1分，每增加100㎡加1分，满分4分；办公区域功能场所区分清晰的，得1分。</w:t>
            </w:r>
          </w:p>
        </w:tc>
        <w:tc>
          <w:tcPr>
            <w:tcW w:w="2208"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房产证或租赁合同、场景图片或现场查验</w:t>
            </w:r>
          </w:p>
        </w:tc>
        <w:tc>
          <w:tcPr>
            <w:tcW w:w="722"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93" w:type="dxa"/>
            <w:vMerge w:val="continue"/>
            <w:noWrap w:val="0"/>
            <w:vAlign w:val="center"/>
          </w:tcPr>
          <w:p>
            <w:pPr>
              <w:pStyle w:val="2"/>
              <w:adjustRightInd w:val="0"/>
              <w:snapToGrid w:val="0"/>
              <w:spacing w:line="280" w:lineRule="exact"/>
              <w:jc w:val="both"/>
              <w:rPr>
                <w:rFonts w:hint="eastAsia" w:ascii="仿宋_GB2312" w:hAnsi="仿宋_GB2312" w:eastAsia="仿宋_GB2312" w:cs="仿宋_GB2312"/>
                <w:color w:val="000000"/>
                <w:spacing w:val="-12"/>
                <w:sz w:val="21"/>
                <w:szCs w:val="21"/>
                <w:shd w:val="clear" w:color="auto" w:fill="auto"/>
                <w:lang w:eastAsia="zh-CN"/>
              </w:rPr>
            </w:pPr>
          </w:p>
        </w:tc>
        <w:tc>
          <w:tcPr>
            <w:tcW w:w="1910"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2.办公设施</w:t>
            </w:r>
          </w:p>
        </w:tc>
        <w:tc>
          <w:tcPr>
            <w:tcW w:w="651" w:type="dxa"/>
            <w:noWrap w:val="0"/>
            <w:vAlign w:val="center"/>
          </w:tcPr>
          <w:p>
            <w:pPr>
              <w:pStyle w:val="2"/>
              <w:adjustRightInd w:val="0"/>
              <w:snapToGrid w:val="0"/>
              <w:spacing w:line="280" w:lineRule="exact"/>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3</w:t>
            </w:r>
          </w:p>
        </w:tc>
        <w:tc>
          <w:tcPr>
            <w:tcW w:w="8349" w:type="dxa"/>
            <w:noWrap w:val="0"/>
            <w:vAlign w:val="center"/>
          </w:tcPr>
          <w:p>
            <w:pPr>
              <w:pStyle w:val="2"/>
              <w:adjustRightInd w:val="0"/>
              <w:snapToGrid w:val="0"/>
              <w:spacing w:line="280" w:lineRule="exact"/>
              <w:jc w:val="both"/>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办公桌、电脑、打印机、扫描仪等必要办公</w:t>
            </w:r>
            <w:r>
              <w:rPr>
                <w:rFonts w:hint="eastAsia" w:ascii="仿宋_GB2312" w:hAnsi="仿宋_GB2312" w:cs="仿宋_GB2312"/>
                <w:kern w:val="2"/>
                <w:sz w:val="21"/>
                <w:szCs w:val="21"/>
                <w:vertAlign w:val="baseline"/>
                <w:lang w:val="en-US" w:eastAsia="zh-CN" w:bidi="ar-SA"/>
              </w:rPr>
              <w:t>设施完备的得3分，少配备一项扣1分，扣完为止。</w:t>
            </w:r>
          </w:p>
        </w:tc>
        <w:tc>
          <w:tcPr>
            <w:tcW w:w="2208"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场景图片或现场查验</w:t>
            </w:r>
          </w:p>
        </w:tc>
        <w:tc>
          <w:tcPr>
            <w:tcW w:w="722"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93" w:type="dxa"/>
            <w:vMerge w:val="continue"/>
            <w:noWrap w:val="0"/>
            <w:vAlign w:val="center"/>
          </w:tcPr>
          <w:p>
            <w:pPr>
              <w:pStyle w:val="2"/>
              <w:adjustRightInd w:val="0"/>
              <w:snapToGrid w:val="0"/>
              <w:spacing w:line="280" w:lineRule="exact"/>
              <w:jc w:val="both"/>
              <w:rPr>
                <w:rFonts w:hint="eastAsia" w:ascii="仿宋_GB2312" w:hAnsi="仿宋_GB2312" w:eastAsia="仿宋_GB2312" w:cs="仿宋_GB2312"/>
                <w:color w:val="000000"/>
                <w:spacing w:val="-12"/>
                <w:sz w:val="21"/>
                <w:szCs w:val="21"/>
                <w:shd w:val="clear" w:color="auto" w:fill="auto"/>
                <w:lang w:eastAsia="zh-CN"/>
              </w:rPr>
            </w:pPr>
          </w:p>
        </w:tc>
        <w:tc>
          <w:tcPr>
            <w:tcW w:w="1910"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3.消防安全设施</w:t>
            </w:r>
          </w:p>
        </w:tc>
        <w:tc>
          <w:tcPr>
            <w:tcW w:w="651" w:type="dxa"/>
            <w:noWrap w:val="0"/>
            <w:vAlign w:val="center"/>
          </w:tcPr>
          <w:p>
            <w:pPr>
              <w:pStyle w:val="2"/>
              <w:adjustRightInd w:val="0"/>
              <w:snapToGrid w:val="0"/>
              <w:spacing w:line="280" w:lineRule="exact"/>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4</w:t>
            </w:r>
          </w:p>
        </w:tc>
        <w:tc>
          <w:tcPr>
            <w:tcW w:w="8349"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按安全生产标准配备灭火器、应急灯、安全标识、自动报警系统等消防设施。少配备一项扣1分，扣完为止。</w:t>
            </w:r>
          </w:p>
        </w:tc>
        <w:tc>
          <w:tcPr>
            <w:tcW w:w="2208"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场景图片或现场查验</w:t>
            </w:r>
          </w:p>
        </w:tc>
        <w:tc>
          <w:tcPr>
            <w:tcW w:w="722"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noWrap w:val="0"/>
            <w:vAlign w:val="center"/>
          </w:tcPr>
          <w:p>
            <w:pPr>
              <w:pStyle w:val="2"/>
              <w:adjustRightInd w:val="0"/>
              <w:snapToGrid w:val="0"/>
              <w:spacing w:line="280" w:lineRule="exact"/>
              <w:jc w:val="both"/>
              <w:rPr>
                <w:rFonts w:hint="eastAsia" w:ascii="仿宋_GB2312" w:hAnsi="仿宋_GB2312" w:eastAsia="仿宋_GB2312" w:cs="仿宋_GB2312"/>
                <w:color w:val="000000"/>
                <w:spacing w:val="-12"/>
                <w:sz w:val="21"/>
                <w:szCs w:val="21"/>
                <w:shd w:val="clear" w:color="auto" w:fill="auto"/>
                <w:lang w:eastAsia="zh-CN"/>
              </w:rPr>
            </w:pPr>
          </w:p>
        </w:tc>
        <w:tc>
          <w:tcPr>
            <w:tcW w:w="1910"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4.证照等信息展示</w:t>
            </w:r>
          </w:p>
        </w:tc>
        <w:tc>
          <w:tcPr>
            <w:tcW w:w="651" w:type="dxa"/>
            <w:noWrap w:val="0"/>
            <w:vAlign w:val="center"/>
          </w:tcPr>
          <w:p>
            <w:pPr>
              <w:pStyle w:val="2"/>
              <w:adjustRightInd w:val="0"/>
              <w:snapToGrid w:val="0"/>
              <w:spacing w:line="280" w:lineRule="exact"/>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3</w:t>
            </w:r>
          </w:p>
        </w:tc>
        <w:tc>
          <w:tcPr>
            <w:tcW w:w="8349"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悬挂营业执照、劳务派遣经营许可证</w:t>
            </w:r>
            <w:r>
              <w:rPr>
                <w:rFonts w:hint="eastAsia" w:ascii="仿宋_GB2312" w:hAnsi="仿宋_GB2312" w:cs="仿宋_GB2312"/>
                <w:kern w:val="2"/>
                <w:sz w:val="21"/>
                <w:szCs w:val="21"/>
                <w:vertAlign w:val="baseline"/>
                <w:lang w:val="en-US" w:eastAsia="zh-CN" w:bidi="ar-SA"/>
              </w:rPr>
              <w:t>的</w:t>
            </w:r>
            <w:r>
              <w:rPr>
                <w:rFonts w:hint="eastAsia" w:ascii="仿宋_GB2312" w:hAnsi="仿宋_GB2312" w:eastAsia="仿宋_GB2312" w:cs="仿宋_GB2312"/>
                <w:kern w:val="2"/>
                <w:sz w:val="21"/>
                <w:szCs w:val="21"/>
                <w:vertAlign w:val="baseline"/>
                <w:lang w:val="en-US" w:eastAsia="zh-CN" w:bidi="ar-SA"/>
              </w:rPr>
              <w:t>，得</w:t>
            </w:r>
            <w:r>
              <w:rPr>
                <w:rFonts w:hint="eastAsia" w:ascii="仿宋_GB2312" w:hAnsi="仿宋_GB2312" w:cs="仿宋_GB2312"/>
                <w:kern w:val="2"/>
                <w:sz w:val="21"/>
                <w:szCs w:val="21"/>
                <w:vertAlign w:val="baseline"/>
                <w:lang w:val="en-US" w:eastAsia="zh-CN" w:bidi="ar-SA"/>
              </w:rPr>
              <w:t>2</w:t>
            </w:r>
            <w:r>
              <w:rPr>
                <w:rFonts w:hint="eastAsia" w:ascii="仿宋_GB2312" w:hAnsi="仿宋_GB2312" w:eastAsia="仿宋_GB2312" w:cs="仿宋_GB2312"/>
                <w:kern w:val="2"/>
                <w:sz w:val="21"/>
                <w:szCs w:val="21"/>
                <w:vertAlign w:val="baseline"/>
                <w:lang w:val="en-US" w:eastAsia="zh-CN" w:bidi="ar-SA"/>
              </w:rPr>
              <w:t>分；公示服务流程及收费标准</w:t>
            </w:r>
            <w:r>
              <w:rPr>
                <w:rFonts w:hint="eastAsia" w:ascii="仿宋_GB2312" w:hAnsi="仿宋_GB2312" w:cs="仿宋_GB2312"/>
                <w:kern w:val="2"/>
                <w:sz w:val="21"/>
                <w:szCs w:val="21"/>
                <w:vertAlign w:val="baseline"/>
                <w:lang w:val="en-US" w:eastAsia="zh-CN" w:bidi="ar-SA"/>
              </w:rPr>
              <w:t>的</w:t>
            </w:r>
            <w:r>
              <w:rPr>
                <w:rFonts w:hint="eastAsia" w:ascii="仿宋_GB2312" w:hAnsi="仿宋_GB2312" w:eastAsia="仿宋_GB2312" w:cs="仿宋_GB2312"/>
                <w:kern w:val="2"/>
                <w:sz w:val="21"/>
                <w:szCs w:val="21"/>
                <w:vertAlign w:val="baseline"/>
                <w:lang w:val="en-US" w:eastAsia="zh-CN" w:bidi="ar-SA"/>
              </w:rPr>
              <w:t>，</w:t>
            </w:r>
            <w:r>
              <w:rPr>
                <w:rFonts w:hint="eastAsia" w:ascii="仿宋_GB2312" w:hAnsi="仿宋_GB2312" w:cs="仿宋_GB2312"/>
                <w:kern w:val="2"/>
                <w:sz w:val="21"/>
                <w:szCs w:val="21"/>
                <w:vertAlign w:val="baseline"/>
                <w:lang w:val="en-US" w:eastAsia="zh-CN" w:bidi="ar-SA"/>
              </w:rPr>
              <w:t>得</w:t>
            </w:r>
            <w:r>
              <w:rPr>
                <w:rFonts w:hint="eastAsia" w:ascii="仿宋_GB2312" w:hAnsi="仿宋_GB2312" w:eastAsia="仿宋_GB2312" w:cs="仿宋_GB2312"/>
                <w:kern w:val="2"/>
                <w:sz w:val="21"/>
                <w:szCs w:val="21"/>
                <w:vertAlign w:val="baseline"/>
                <w:lang w:val="en-US" w:eastAsia="zh-CN" w:bidi="ar-SA"/>
              </w:rPr>
              <w:t>1分。</w:t>
            </w:r>
          </w:p>
        </w:tc>
        <w:tc>
          <w:tcPr>
            <w:tcW w:w="2208"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场景图片或现场查验</w:t>
            </w:r>
          </w:p>
        </w:tc>
        <w:tc>
          <w:tcPr>
            <w:tcW w:w="722" w:type="dxa"/>
            <w:noWrap w:val="0"/>
            <w:vAlign w:val="center"/>
          </w:tcPr>
          <w:p>
            <w:pPr>
              <w:pStyle w:val="2"/>
              <w:adjustRightInd w:val="0"/>
              <w:snapToGrid w:val="0"/>
              <w:spacing w:line="280" w:lineRule="exact"/>
              <w:jc w:val="both"/>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二、经营规模和效益（</w:t>
            </w:r>
            <w:r>
              <w:rPr>
                <w:rFonts w:hint="eastAsia" w:ascii="仿宋_GB2312" w:hAnsi="仿宋_GB2312" w:eastAsia="仿宋_GB2312" w:cs="仿宋_GB2312"/>
                <w:sz w:val="21"/>
                <w:szCs w:val="21"/>
                <w:vertAlign w:val="baseline"/>
                <w:lang w:val="en-US" w:eastAsia="zh-CN"/>
              </w:rPr>
              <w:t>15分</w:t>
            </w:r>
            <w:r>
              <w:rPr>
                <w:rFonts w:hint="eastAsia" w:ascii="仿宋_GB2312" w:hAnsi="仿宋_GB2312" w:eastAsia="仿宋_GB2312" w:cs="仿宋_GB2312"/>
                <w:sz w:val="21"/>
                <w:szCs w:val="21"/>
                <w:vertAlign w:val="baseline"/>
                <w:lang w:eastAsia="zh-CN"/>
              </w:rPr>
              <w:t>）</w:t>
            </w: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5.经营年限</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3-5年得1分，5年及5年以上得2分。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系统核查或年度报告</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6</w:t>
            </w:r>
            <w:r>
              <w:rPr>
                <w:rFonts w:hint="eastAsia" w:ascii="仿宋_GB2312" w:hAnsi="仿宋_GB2312" w:eastAsia="仿宋_GB2312" w:cs="仿宋_GB2312"/>
                <w:sz w:val="21"/>
                <w:szCs w:val="21"/>
                <w:vertAlign w:val="baseline"/>
                <w:lang w:val="en" w:eastAsia="zh-CN"/>
              </w:rPr>
              <w:t>.年营业收入</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200万元得1分；每增加200万元加1分，满分4分。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财务审计报告</w:t>
            </w:r>
          </w:p>
        </w:tc>
        <w:tc>
          <w:tcPr>
            <w:tcW w:w="722" w:type="dxa"/>
            <w:noWrap w:val="0"/>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7.年纳税额</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10万元得1分，每增加10万元加1分，满分3分。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纳税凭证</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8.从业人数</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3人1分，每增加3人加1分，满分3分。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工资发放凭证</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9.年度派遣人次</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500人次1分，每增加500人次加1分，满分3分。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劳派遣费结算表等</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三、组织和制度建设（</w:t>
            </w:r>
            <w:r>
              <w:rPr>
                <w:rFonts w:hint="eastAsia" w:ascii="仿宋_GB2312" w:hAnsi="仿宋_GB2312" w:eastAsia="仿宋_GB2312" w:cs="仿宋_GB2312"/>
                <w:sz w:val="21"/>
                <w:szCs w:val="21"/>
                <w:vertAlign w:val="baseline"/>
                <w:lang w:val="en-US" w:eastAsia="zh-CN"/>
              </w:rPr>
              <w:t>15分</w:t>
            </w:r>
            <w:r>
              <w:rPr>
                <w:rFonts w:hint="eastAsia" w:ascii="仿宋_GB2312" w:hAnsi="仿宋_GB2312" w:eastAsia="仿宋_GB2312" w:cs="仿宋_GB2312"/>
                <w:sz w:val="21"/>
                <w:szCs w:val="21"/>
                <w:vertAlign w:val="baseline"/>
                <w:lang w:eastAsia="zh-CN"/>
              </w:rPr>
              <w:t>）</w:t>
            </w: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10.党工建设</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依法设有党委、党支部等党组织的得1分；依法设有工会的得2分。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11.制度建设</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有章程、财务管理、档案管理、薪酬管理、劳务派遣用工等制度的，每项得1分，满分5分；已形成完整管理制度体系的加1分。合计满分6分。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相关文件或现场查验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12.内部系统管理</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内部管理系统能实现日常考勤、绩效、培训等全方位人力资源管理的，得3分。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场景图片或现场查验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13.劳务派遣系统</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正常并熟练使用广东省劳务派遣管理信息系统的得2分，在系统完成年审等事项的得1分。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场景图片或现场查验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四、用人用工管理（</w:t>
            </w:r>
            <w:r>
              <w:rPr>
                <w:rFonts w:hint="eastAsia" w:ascii="仿宋_GB2312" w:hAnsi="仿宋_GB2312" w:eastAsia="仿宋_GB2312" w:cs="仿宋_GB2312"/>
                <w:sz w:val="21"/>
                <w:szCs w:val="21"/>
                <w:vertAlign w:val="baseline"/>
                <w:lang w:val="en-US" w:eastAsia="zh-CN"/>
              </w:rPr>
              <w:t>10分</w:t>
            </w:r>
            <w:r>
              <w:rPr>
                <w:rFonts w:hint="eastAsia" w:ascii="仿宋_GB2312" w:hAnsi="仿宋_GB2312" w:eastAsia="仿宋_GB2312" w:cs="仿宋_GB2312"/>
                <w:sz w:val="21"/>
                <w:szCs w:val="21"/>
                <w:vertAlign w:val="baseline"/>
                <w:lang w:eastAsia="zh-CN"/>
              </w:rPr>
              <w:t>）</w:t>
            </w:r>
          </w:p>
        </w:tc>
        <w:tc>
          <w:tcPr>
            <w:tcW w:w="1910" w:type="dxa"/>
            <w:vMerge w:val="restart"/>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14.从业人员资质</w:t>
            </w:r>
          </w:p>
        </w:tc>
        <w:tc>
          <w:tcPr>
            <w:tcW w:w="651"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大专以上学历人数高于80%，得1分。</w:t>
            </w:r>
          </w:p>
        </w:tc>
        <w:tc>
          <w:tcPr>
            <w:tcW w:w="2208" w:type="dxa"/>
            <w:noWrap w:val="0"/>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员工名册和学历证书</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vMerge w:val="continue"/>
            <w:noWrap w:val="0"/>
            <w:vAlign w:val="center"/>
          </w:tcPr>
          <w:p>
            <w:pPr>
              <w:jc w:val="both"/>
              <w:rPr>
                <w:rFonts w:hint="eastAsia" w:ascii="仿宋_GB2312" w:hAnsi="仿宋_GB2312" w:eastAsia="仿宋_GB2312" w:cs="仿宋_GB2312"/>
                <w:sz w:val="21"/>
                <w:szCs w:val="21"/>
                <w:vertAlign w:val="baseline"/>
                <w:lang w:val="en-US" w:eastAsia="zh-CN"/>
              </w:rPr>
            </w:pPr>
          </w:p>
        </w:tc>
        <w:tc>
          <w:tcPr>
            <w:tcW w:w="651" w:type="dxa"/>
            <w:vMerge w:val="continue"/>
            <w:noWrap w:val="0"/>
            <w:vAlign w:val="center"/>
          </w:tcPr>
          <w:p>
            <w:pPr>
              <w:jc w:val="center"/>
              <w:rPr>
                <w:rFonts w:hint="default" w:ascii="仿宋_GB2312" w:hAnsi="仿宋_GB2312" w:eastAsia="仿宋_GB2312" w:cs="仿宋_GB2312"/>
                <w:sz w:val="21"/>
                <w:szCs w:val="21"/>
                <w:vertAlign w:val="baseline"/>
                <w:lang w:val="en-US" w:eastAsia="zh-CN"/>
              </w:rPr>
            </w:pP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持人力资源管理师、劳动关系协调员等人力资源管理资格证书人数超60%的，得1分。</w:t>
            </w:r>
          </w:p>
        </w:tc>
        <w:tc>
          <w:tcPr>
            <w:tcW w:w="2208" w:type="dxa"/>
            <w:noWrap w:val="0"/>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员工名册和相关证书</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15.员工管理台账</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员工（含派遣员工）名册合法规范的得2分，入职登记合法规范的得2分，工时台账合法规范的得1分，工资台账合法规范的得1分。</w:t>
            </w:r>
          </w:p>
        </w:tc>
        <w:tc>
          <w:tcPr>
            <w:tcW w:w="2208" w:type="dxa"/>
            <w:noWrap w:val="0"/>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员工名册、入职登记表，工时、工资台账</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16.入职培训</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有员工（含派遣员工）入职培训的得2分。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相关文件和电话查验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五、诚信服务和社会活动（</w:t>
            </w:r>
            <w:r>
              <w:rPr>
                <w:rFonts w:hint="eastAsia" w:ascii="仿宋_GB2312" w:hAnsi="仿宋_GB2312" w:eastAsia="仿宋_GB2312" w:cs="仿宋_GB2312"/>
                <w:sz w:val="21"/>
                <w:szCs w:val="21"/>
                <w:vertAlign w:val="baseline"/>
                <w:lang w:val="en-US" w:eastAsia="zh-CN"/>
              </w:rPr>
              <w:t>20分</w:t>
            </w:r>
            <w:r>
              <w:rPr>
                <w:rFonts w:hint="eastAsia" w:ascii="仿宋_GB2312" w:hAnsi="仿宋_GB2312" w:eastAsia="仿宋_GB2312" w:cs="仿宋_GB2312"/>
                <w:sz w:val="21"/>
                <w:szCs w:val="21"/>
                <w:vertAlign w:val="baseline"/>
                <w:lang w:eastAsia="zh-CN"/>
              </w:rPr>
              <w:t>）</w:t>
            </w: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17.资质认定</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获得诚信经营的表彰、证书、奖牌等1项得1分，满分6分。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相关证书</w:t>
            </w:r>
          </w:p>
        </w:tc>
        <w:tc>
          <w:tcPr>
            <w:tcW w:w="722" w:type="dxa"/>
            <w:noWrap w:val="0"/>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18.劳务派遣协议</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劳务派遣协议签订、变更和终止内容均合法规范的得2分，其他情况不得分。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相关文件和协议范本</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19.驻点管理</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在用工单位安排专人驻点管理的得2分。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相关文件或电话查验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20.同行有效投诉</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一年内：0次2分，1次1分，2次及以上不得分。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政府部门记录</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21.行业协会</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参加我市行业协会的得1分，在其中发挥积极作用的加1分，满分2分。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22.参加社会、组织活动</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年度参加公益组织活动（含捐赠行为）2次及以上的得2分，参加我市政府部门法律法规宣传及技能培训活动2次及以上的加2分，满分4分。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相关文件和财务凭证</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23.就业帮扶</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年度有“政府特困人员”或残疾人就业不低于1人次且就业时间超过1年的得2分。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相关证明</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六、劳动者权益保障（</w:t>
            </w:r>
            <w:r>
              <w:rPr>
                <w:rFonts w:hint="eastAsia" w:ascii="仿宋_GB2312" w:hAnsi="仿宋_GB2312" w:eastAsia="仿宋_GB2312" w:cs="仿宋_GB2312"/>
                <w:sz w:val="21"/>
                <w:szCs w:val="21"/>
                <w:vertAlign w:val="baseline"/>
                <w:lang w:val="en-US" w:eastAsia="zh-CN"/>
              </w:rPr>
              <w:t>20分</w:t>
            </w:r>
            <w:r>
              <w:rPr>
                <w:rFonts w:hint="eastAsia" w:ascii="仿宋_GB2312" w:hAnsi="仿宋_GB2312" w:eastAsia="仿宋_GB2312" w:cs="仿宋_GB2312"/>
                <w:sz w:val="21"/>
                <w:szCs w:val="21"/>
                <w:vertAlign w:val="baseline"/>
                <w:lang w:eastAsia="zh-CN"/>
              </w:rPr>
              <w:t>）</w:t>
            </w: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24.工资应急机制</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在用工单位拖欠服务费、工资等情况下，能启动应急机制优先发放派遣员工工资。</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25.工资支付</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工资支付时间、标准合法规范。</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相关文件</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26.劳动合同签订</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员工（含派遣员工）劳动合同签订率100%的得8分，低于100%的不得分。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10份以上派遣《劳动合同》加现场查验</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27.社会保险</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员工（含派遣员工）社会保险缴交率100%的得6分，低于100%的不得分。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当年度社保流水</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28.住房公积金</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8349" w:type="dxa"/>
            <w:noWrap w:val="0"/>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员工（含派遣员工）住房公积金缴存率100%的得1分，低于100%的不得分。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当年度公积金流水</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29.工伤发生次数</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8349"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一年内：0宗2分，1宗1分，2宗及以上不得分。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政府部门记录</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910" w:type="dxa"/>
            <w:noWrap w:val="0"/>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30.职工退出机制</w:t>
            </w:r>
          </w:p>
        </w:tc>
        <w:tc>
          <w:tcPr>
            <w:tcW w:w="651" w:type="dxa"/>
            <w:noWrap w:val="0"/>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8349" w:type="dxa"/>
            <w:noWrap w:val="0"/>
            <w:vAlign w:val="center"/>
          </w:tcPr>
          <w:p>
            <w:pPr>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依法办理解除或终止劳动合同手续且依法为劳动者办理档案和社保转移手续的得1分</w:t>
            </w:r>
          </w:p>
        </w:tc>
        <w:tc>
          <w:tcPr>
            <w:tcW w:w="2208" w:type="dxa"/>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离职和关系转移证明</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七、安全生产主体责任（</w:t>
            </w:r>
            <w:r>
              <w:rPr>
                <w:rFonts w:hint="eastAsia" w:ascii="仿宋_GB2312" w:hAnsi="仿宋_GB2312" w:eastAsia="仿宋_GB2312" w:cs="仿宋_GB2312"/>
                <w:sz w:val="21"/>
                <w:szCs w:val="21"/>
                <w:vertAlign w:val="baseline"/>
                <w:lang w:val="en-US" w:eastAsia="zh-CN"/>
              </w:rPr>
              <w:t>5分</w:t>
            </w:r>
            <w:r>
              <w:rPr>
                <w:rFonts w:hint="eastAsia" w:ascii="仿宋_GB2312" w:hAnsi="仿宋_GB2312" w:eastAsia="仿宋_GB2312" w:cs="仿宋_GB2312"/>
                <w:sz w:val="21"/>
                <w:szCs w:val="21"/>
                <w:vertAlign w:val="baseline"/>
                <w:lang w:eastAsia="zh-CN"/>
              </w:rPr>
              <w:t>）</w:t>
            </w:r>
          </w:p>
        </w:tc>
        <w:tc>
          <w:tcPr>
            <w:tcW w:w="10910" w:type="dxa"/>
            <w:gridSpan w:val="3"/>
            <w:noWrap w:val="0"/>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31.建立、公开和实施合法合规的安全生产管理制度（1分）</w:t>
            </w:r>
          </w:p>
        </w:tc>
        <w:tc>
          <w:tcPr>
            <w:tcW w:w="2208" w:type="dxa"/>
            <w:vMerge w:val="restart"/>
            <w:noWrap w:val="0"/>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安全生产台账</w:t>
            </w: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0910" w:type="dxa"/>
            <w:gridSpan w:val="3"/>
            <w:noWrap w:val="0"/>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32.按安全生产标准配备专门的安全管理人员（1分）</w:t>
            </w:r>
          </w:p>
        </w:tc>
        <w:tc>
          <w:tcPr>
            <w:tcW w:w="2208"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0910" w:type="dxa"/>
            <w:gridSpan w:val="3"/>
            <w:noWrap w:val="0"/>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33.组织安全生产教育和培训并建立台账（1分）</w:t>
            </w:r>
          </w:p>
        </w:tc>
        <w:tc>
          <w:tcPr>
            <w:tcW w:w="2208"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0910" w:type="dxa"/>
            <w:gridSpan w:val="3"/>
            <w:noWrap w:val="0"/>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34.定期开展安全生产隐患排查，并及时消解事故隐患（1分）</w:t>
            </w:r>
          </w:p>
        </w:tc>
        <w:tc>
          <w:tcPr>
            <w:tcW w:w="2208"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3"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10910" w:type="dxa"/>
            <w:gridSpan w:val="3"/>
            <w:noWrap w:val="0"/>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35.定期向辖区监管部门报告安全生产主体责任制落实情况（1分）</w:t>
            </w:r>
          </w:p>
        </w:tc>
        <w:tc>
          <w:tcPr>
            <w:tcW w:w="2208" w:type="dxa"/>
            <w:vMerge w:val="continue"/>
            <w:noWrap w:val="0"/>
            <w:vAlign w:val="center"/>
          </w:tcPr>
          <w:p>
            <w:pPr>
              <w:jc w:val="both"/>
              <w:rPr>
                <w:rFonts w:hint="eastAsia" w:ascii="仿宋_GB2312" w:hAnsi="仿宋_GB2312" w:eastAsia="仿宋_GB2312" w:cs="仿宋_GB2312"/>
                <w:sz w:val="21"/>
                <w:szCs w:val="21"/>
                <w:vertAlign w:val="baseline"/>
                <w:lang w:eastAsia="zh-CN"/>
              </w:rPr>
            </w:pPr>
          </w:p>
        </w:tc>
        <w:tc>
          <w:tcPr>
            <w:tcW w:w="722" w:type="dxa"/>
            <w:noWrap w:val="0"/>
            <w:vAlign w:val="center"/>
          </w:tcPr>
          <w:p>
            <w:pPr>
              <w:jc w:val="both"/>
              <w:rPr>
                <w:rFonts w:hint="eastAsia" w:ascii="仿宋_GB2312" w:hAnsi="仿宋_GB2312" w:eastAsia="仿宋_GB2312" w:cs="仿宋_GB2312"/>
                <w:sz w:val="21"/>
                <w:szCs w:val="21"/>
                <w:vertAlign w:val="baseline"/>
                <w:lang w:eastAsia="zh-CN"/>
              </w:rPr>
            </w:pPr>
          </w:p>
        </w:tc>
      </w:tr>
    </w:tbl>
    <w:p>
      <w:pPr>
        <w:rPr>
          <w:rFonts w:hint="eastAsia" w:ascii="仿宋_GB2312" w:hAnsi="仿宋_GB2312" w:eastAsia="仿宋_GB2312" w:cs="仿宋_GB2312"/>
          <w:sz w:val="21"/>
          <w:szCs w:val="21"/>
          <w:lang w:eastAsia="zh-CN"/>
        </w:rPr>
      </w:pPr>
    </w:p>
    <w:p/>
    <w:sectPr>
      <w:headerReference r:id="rId3" w:type="default"/>
      <w:footerReference r:id="rId4" w:type="default"/>
      <w:pgSz w:w="16838" w:h="11906" w:orient="landscape"/>
      <w:pgMar w:top="397" w:right="1440" w:bottom="1134"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A585C"/>
    <w:rsid w:val="487A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keepNext w:val="0"/>
      <w:keepLines w:val="0"/>
      <w:widowControl w:val="0"/>
      <w:suppressLineNumbers w:val="0"/>
      <w:spacing w:before="0" w:beforeAutospacing="0" w:after="120" w:afterAutospacing="0"/>
      <w:ind w:left="0" w:right="0"/>
      <w:jc w:val="both"/>
    </w:pPr>
    <w:rPr>
      <w:rFonts w:hint="default" w:ascii="Times New Roman" w:hAnsi="Times New Roman" w:eastAsia="仿宋_GB2312" w:cs="Times New Roman"/>
      <w:kern w:val="2"/>
      <w:sz w:val="32"/>
      <w:szCs w:val="20"/>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2023-07-11T06:47:00Z</dcterms:created>
  <dc:creator>张清瑜</dc:creator>
  <cp:lastModifiedBy>张清瑜</cp:lastModifiedBy>
  <dcterms:modified xsi:type="dcterms:W3CDTF">2023-07-11T06:47:54Z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C53EA7BC2925455E98FC0530AF060F6E</vt:lpwstr>
  </property>
</Properties>
</file>