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590" w:lineRule="exact"/>
        <w:jc w:val="left"/>
        <w:rPr>
          <w:rFonts w:hint="default"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eastAsia="zh-CN"/>
        </w:rPr>
        <w:t>附件</w:t>
      </w:r>
      <w:r>
        <w:rPr>
          <w:rFonts w:hint="eastAsia" w:ascii="黑体" w:hAnsi="黑体" w:eastAsia="黑体" w:cs="黑体"/>
          <w:b w:val="0"/>
          <w:bCs w:val="0"/>
          <w:sz w:val="32"/>
          <w:szCs w:val="32"/>
          <w:highlight w:val="none"/>
          <w:lang w:val="en-US" w:eastAsia="zh-CN"/>
        </w:rPr>
        <w:t>4</w:t>
      </w:r>
    </w:p>
    <w:p>
      <w:pPr>
        <w:widowControl/>
        <w:shd w:val="clear" w:color="auto" w:fill="FFFFFF"/>
        <w:snapToGrid w:val="0"/>
        <w:spacing w:line="590" w:lineRule="exact"/>
        <w:jc w:val="center"/>
        <w:rPr>
          <w:rFonts w:hint="eastAsia" w:ascii="方正小标宋简体" w:hAnsi="仿宋" w:eastAsia="方正小标宋简体" w:cs="仿宋"/>
          <w:b w:val="0"/>
          <w:bCs w:val="0"/>
          <w:sz w:val="44"/>
          <w:szCs w:val="44"/>
          <w:highlight w:val="none"/>
        </w:rPr>
      </w:pPr>
      <w:r>
        <w:rPr>
          <w:rFonts w:hint="eastAsia" w:ascii="方正小标宋简体" w:hAnsi="仿宋" w:eastAsia="方正小标宋简体" w:cs="仿宋"/>
          <w:b w:val="0"/>
          <w:bCs w:val="0"/>
          <w:sz w:val="44"/>
          <w:szCs w:val="44"/>
          <w:highlight w:val="none"/>
        </w:rPr>
        <w:t>关于部分</w:t>
      </w:r>
      <w:r>
        <w:rPr>
          <w:rFonts w:hint="eastAsia" w:ascii="方正小标宋简体" w:hAnsi="仿宋" w:eastAsia="方正小标宋简体" w:cs="仿宋"/>
          <w:b w:val="0"/>
          <w:bCs w:val="0"/>
          <w:sz w:val="44"/>
          <w:szCs w:val="44"/>
          <w:highlight w:val="none"/>
          <w:lang w:eastAsia="zh-CN"/>
        </w:rPr>
        <w:t>抽检项目</w:t>
      </w:r>
      <w:r>
        <w:rPr>
          <w:rFonts w:hint="eastAsia" w:ascii="方正小标宋简体" w:hAnsi="仿宋" w:eastAsia="方正小标宋简体" w:cs="仿宋"/>
          <w:b w:val="0"/>
          <w:bCs w:val="0"/>
          <w:sz w:val="44"/>
          <w:szCs w:val="44"/>
          <w:highlight w:val="none"/>
        </w:rPr>
        <w:t>的说明</w:t>
      </w:r>
    </w:p>
    <w:p>
      <w:pPr>
        <w:widowControl/>
        <w:shd w:val="clear" w:color="auto" w:fill="FFFFFF"/>
        <w:snapToGrid w:val="0"/>
        <w:spacing w:line="590" w:lineRule="exact"/>
        <w:rPr>
          <w:rFonts w:hint="eastAsia" w:ascii="Times New Roman" w:hAnsi="Times New Roman" w:eastAsia="仿宋_GB2312"/>
          <w:b w:val="0"/>
          <w:bCs w:val="0"/>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一、菌落总数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 xml:space="preserve">菌落总数（aerobic plate count, APC）是指在被检样品的单位质量（g）、容积（mL）或表面积（cm 2）内，所含能在严格规定的条件下（需氧情况培养基及其 pH、培养温度与时间、计数方法等）培养所生成的微生物菌落的数量，以菌落形成单位（CFU）表示。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菌落总数是指示性微生物指标，并</w:t>
      </w:r>
      <w:r>
        <w:rPr>
          <w:rFonts w:hint="default" w:ascii="Times New Roman" w:hAnsi="Times New Roman" w:eastAsia="仿宋_GB2312" w:cs="Times New Roman"/>
          <w:b w:val="0"/>
          <w:bCs w:val="0"/>
          <w:sz w:val="32"/>
          <w:szCs w:val="32"/>
          <w:lang w:val="en-US" w:eastAsia="zh-CN"/>
        </w:rPr>
        <w:t xml:space="preserve">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价值；还会加速食品的腐败变质，可能危害人体健康。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菌落总数超标说明生产经营企业可能未按要求严格控制生产加工过程的卫生条件，或者包装容器清洗消毒不到位；还有可能与产品包装密封不严，储运条件控制不当等有关。</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color w:val="000000"/>
          <w:kern w:val="0"/>
          <w:sz w:val="32"/>
          <w:szCs w:val="32"/>
          <w:lang w:val="en-US" w:eastAsia="zh-CN" w:bidi="ar"/>
        </w:rPr>
        <w:t>二氧化硫</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二氧化硫</w:t>
      </w:r>
      <w:r>
        <w:rPr>
          <w:rFonts w:hint="default" w:ascii="Times New Roman" w:hAnsi="Times New Roman" w:eastAsia="仿宋_GB2312" w:cs="Times New Roman"/>
          <w:b w:val="0"/>
          <w:bCs w:val="0"/>
          <w:color w:val="000000"/>
          <w:kern w:val="0"/>
          <w:sz w:val="32"/>
          <w:szCs w:val="32"/>
          <w:lang w:val="en-US" w:eastAsia="zh-CN" w:bidi="ar"/>
        </w:rPr>
        <w:t xml:space="preserve">（sulfur dioxide）是食品加工中常用的漂白剂和防腐剂，遇水以后形成亚硫酸。二氧化硫被氧化时可使食品的着色物质还原褪色，亚硫酸对食品的褐变有抑制作用，对细菌、真菌、酵母菌也有抑制作用，因此既是漂白剂又是防腐剂。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 xml:space="preserve">二氧化硫进入人体内后最终转化为硫酸盐并随尿液排出体外。少量二氧化硫进入人体不会对身体带来健康危害，但若过量食用会引起如恶心、呕吐等胃肠道反应。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 xml:space="preserve">联合国粮农组织（FAO）和世界卫生组织食品添加剂联合专家委员会（JECFA）建议其日容许摄入量（ADI）为 0~0.7mg/kg bw。二氧化硫不符合标准的原因可能有，个别生产经营企业使用劣质原料以降低成本，其后为了提高产品色泽超量使用二氧化硫；也有可能是使用时不计量或计量不准确；还有可能是由于使用硫磺熏蒸漂白这种传统工艺或直接使用亚硫酸盐浸泡保鲜所造成。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使用应遵循《食品安全国家标准 食品添加剂使用标准》（GB 2760-2014）的规定，我国允许二氧化硫在各类食品中的最大使用量为 0.01~0.4g/kg（以 SO2残留量计）；允许硫磺在各类食品中的最大使用量为 0.1~0.9g/kg（以 SO2残留量计）；根据《食品安全国家标准 食品添加剂 明胶》（GB 6783-2013）的规定，允许二氧化硫在食品添加剂明胶中的最大使用量为 0.03g/kg。根据《食品安全国家标准 食品添加剂使用标准》（GB 2760-2014）及《国家卫生计生委发布关于海藻酸钙等食品添加剂新品种的公告 2016 年第 8 号》、《关于抗坏血酸棕榈酸酯（酶法）等食品添加剂新品种的公告 2016 年第 9 号》、《关于食品用香料新品种 9-癸烯-2-酮、茶多酚等 7 种食品添加剂扩大使用范围 和食品营养强化剂钙扩大使用范围的公告 2016 年第 14 号》、《关于食品添加剂新品种碳酸铵、6-甲基庚醛等9种食品用香料新品种和焦亚硫酸钠等2种食品添加剂扩大使用范围的公告2017年第1号》《国家卫生健康委员会关于弯曲乳杆菌等 24 种“三新食品”的公告 2019 年第 2 号》中的规定。</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191919"/>
          <w:sz w:val="32"/>
          <w:szCs w:val="32"/>
          <w:shd w:val="clear" w:color="auto" w:fill="FFFFFF"/>
          <w:lang w:val="en-US" w:eastAsia="zh-CN"/>
        </w:rPr>
      </w:pPr>
      <w:r>
        <w:rPr>
          <w:rFonts w:hint="eastAsia" w:ascii="黑体" w:hAnsi="黑体" w:eastAsia="黑体" w:cs="黑体"/>
          <w:b w:val="0"/>
          <w:bCs w:val="0"/>
          <w:color w:val="191919"/>
          <w:sz w:val="32"/>
          <w:szCs w:val="32"/>
          <w:shd w:val="clear" w:color="auto" w:fill="FFFFFF"/>
          <w:lang w:val="en-US" w:eastAsia="zh-CN"/>
        </w:rPr>
        <w:t>三、噻虫胺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噻虫胺</w:t>
      </w:r>
      <w:r>
        <w:rPr>
          <w:rFonts w:hint="default" w:ascii="Times New Roman" w:hAnsi="Times New Roman" w:eastAsia="仿宋_GB2312" w:cs="Times New Roman"/>
          <w:b w:val="0"/>
          <w:bCs w:val="0"/>
          <w:color w:val="191919"/>
          <w:sz w:val="32"/>
          <w:szCs w:val="32"/>
          <w:shd w:val="clear" w:color="auto" w:fill="FFFFFF"/>
          <w:lang w:val="en-US" w:eastAsia="zh-CN"/>
        </w:rPr>
        <w:t xml:space="preserve">（clothianidin），烟碱类杀虫剂，具有触杀、胃毒作用，具有根内吸活性和层间传导性。土壤处理、叶面喷施和种子处理，防治水稻、玉米、油菜、果树和蔬菜、柑橘的刺吸式和咀嚼式害虫，如飞虱、椿象、蚜虫和烟粉虱。雌雄大鼠急性经口 LD50&gt; 5000mg/kg，急性毒性分级为微毒。急性中毒可出现恶心、呕吐、头痛、乏力、躁动、抽搐等。食用食品一般不会导致噻虫胺的急性中毒，但长期食用噻虫胺超标的食品，对人体健康也有一定影响。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color w:val="191919"/>
          <w:sz w:val="32"/>
          <w:szCs w:val="32"/>
          <w:shd w:val="clear" w:color="auto" w:fill="FFFFFF"/>
          <w:lang w:val="en-US" w:eastAsia="zh-CN"/>
        </w:rPr>
      </w:pPr>
      <w:r>
        <w:rPr>
          <w:rFonts w:hint="default" w:ascii="Times New Roman" w:hAnsi="Times New Roman" w:eastAsia="仿宋_GB2312" w:cs="Times New Roman"/>
          <w:b w:val="0"/>
          <w:bCs w:val="0"/>
          <w:color w:val="191919"/>
          <w:sz w:val="32"/>
          <w:szCs w:val="32"/>
          <w:shd w:val="clear" w:color="auto" w:fill="FFFFFF"/>
          <w:lang w:val="en-US" w:eastAsia="zh-CN"/>
        </w:rPr>
        <w:t>联合国粮农组织和世界卫生组织农药残留联席会议（JMPR）2010 年制定了其日容许摄入量（ADI）为 0.1mg/kg bw，我国《食品安全国家标准 食品中农药最大残留限量》GB2763-2021中 ADI 值亦为 0.1mg/kg bw。</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四、噻虫嗪</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噻虫嗪</w:t>
      </w:r>
      <w:r>
        <w:rPr>
          <w:rFonts w:hint="default" w:ascii="Times New Roman" w:hAnsi="Times New Roman" w:eastAsia="仿宋_GB2312" w:cs="Times New Roman"/>
          <w:b w:val="0"/>
          <w:bCs w:val="0"/>
          <w:sz w:val="32"/>
          <w:szCs w:val="32"/>
          <w:lang w:val="en-US" w:eastAsia="zh-CN"/>
        </w:rPr>
        <w:t xml:space="preserve">（thiamethoxam），具有触杀、胃毒和内吸作用的杀虫剂。能被迅速吸收到植物体内，并在木质部向顶传导。防治蚜虫、粉虱、蓟马、稻飞虱、稻褐蝽、粉蚧、蛴螬、科罗拉多马铃薯甲虫、跳甲、金针虫、步行虫、潜叶虫和一些鳞翅目害虫。可用于茎叶和土壤处理的主要农作物有芸薹属作物、叶菜类和果菜类、马铃薯、水稻、棉花、落叶果树、咖啡、柑橘、烟草和大豆；种子处理主要用于玉米、高粱、谷物、甜菜、油料油菜、棉花、豌豆、蚕豆、向日葵、水稻和马铃薯。也可用于动物和公共卫生，防治蝇类（如家蝇、厕蝇和果蝇）。大鼠急性经口 LD50 为 1563mg/kg，急性毒性分级为低毒级。烟碱类杀虫剂。中毒可出现恶心、呕吐、头痛、乏力、心跳过速等。食用食品一般不会导致噻虫嗪的急性中毒，但长期食用噻虫嗪超标的食品，对人体健康也有一定影响。 </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联合国粮农组织和世界卫生组织农药残留联席会议（JMPR）2010 年制定了其日容许摄入量（ADI）为 0.08mg/kg bw，我国《食品安全国家标准 食品中农药最大残留限量》（GB2763-2021）中 ADI 值亦为 0.08mg/kg bw。</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五、氯氟氰菊酯和高效氯氟氰菊酯</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氯氟氰菊酯和高效氯氟氰菊酯</w:t>
      </w:r>
      <w:r>
        <w:rPr>
          <w:rFonts w:hint="default" w:ascii="Times New Roman" w:hAnsi="Times New Roman" w:eastAsia="仿宋_GB2312" w:cs="Times New Roman"/>
          <w:b w:val="0"/>
          <w:bCs w:val="0"/>
          <w:color w:val="000000"/>
          <w:kern w:val="0"/>
          <w:sz w:val="32"/>
          <w:szCs w:val="32"/>
          <w:lang w:val="en-US" w:eastAsia="zh-CN" w:bidi="ar"/>
        </w:rPr>
        <w:t xml:space="preserve">（cyhalothrin andlambda-cyhalothrin），是一种广谱、高效拟除虫菊酯类杀虫剂，以触杀和胃毒作用为主，无内吸作用，被广泛用于农林业和卫生害虫的防治。但由于其不易降解，对鱼类、蜜蜂、蚕和蚯蚓都有剧毒，对生态环境有一定影响。经口急性毒性试验表明大鼠经口 LD50 为144mg/kg，急性毒性分级为中等毒性，中毒表现有头痛、头昏、恶心、呕吐、抽搐，重者可出现血压急剧下降、出现昏迷或多器官衰竭。相关研究未见遗传毒性、生殖发育毒性、致畸性和致癌性。少量的农药残留不会引起人体急性中毒，但长期食用氯氟氰菊酯超标的食品，对人体健康有一定影响。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联合国粮农组织和世界卫生组织农药残留联席会议（JMPR）建议其日容许摄入量（ADI）为 0.02mg/kg bw（2007）；急性参考剂量（ARfD）为 0.02mg/kg bw（2007）。</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color w:val="000000"/>
          <w:kern w:val="0"/>
          <w:sz w:val="32"/>
          <w:szCs w:val="32"/>
          <w:lang w:val="en-US" w:eastAsia="zh-CN" w:bidi="ar"/>
        </w:rPr>
        <w:t>六、脱氢乙酸及其钠盐</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脱氢乙酸及其钠盐</w:t>
      </w:r>
      <w:r>
        <w:rPr>
          <w:rFonts w:hint="default" w:ascii="Times New Roman" w:hAnsi="Times New Roman" w:eastAsia="仿宋_GB2312" w:cs="Times New Roman"/>
          <w:b w:val="0"/>
          <w:bCs w:val="0"/>
          <w:color w:val="000000"/>
          <w:kern w:val="0"/>
          <w:sz w:val="32"/>
          <w:szCs w:val="32"/>
          <w:lang w:val="en-US" w:eastAsia="zh-CN" w:bidi="ar"/>
        </w:rPr>
        <w:t xml:space="preserve">作为一种广谱食品防腐剂，对霉菌和酵母菌的抑制能力强，为苯甲酸钠的 2~10 倍，在高剂量使用时能抑制细菌。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脱氢乙酸毒性较低，按标准规</w:t>
      </w:r>
      <w:bookmarkStart w:id="0" w:name="_GoBack"/>
      <w:bookmarkEnd w:id="0"/>
      <w:r>
        <w:rPr>
          <w:rFonts w:hint="default" w:ascii="Times New Roman" w:hAnsi="Times New Roman" w:eastAsia="仿宋_GB2312" w:cs="Times New Roman"/>
          <w:b w:val="0"/>
          <w:bCs w:val="0"/>
          <w:color w:val="000000"/>
          <w:kern w:val="0"/>
          <w:sz w:val="32"/>
          <w:szCs w:val="32"/>
          <w:lang w:val="en-US" w:eastAsia="zh-CN" w:bidi="ar"/>
        </w:rPr>
        <w:t xml:space="preserve">定的范围和使用量使用是安全的。脱氢乙酸及其钠盐能被人体完全吸收，并能抑制人体内多种氧化酶，长期过量摄入脱氢乙酸及其钠盐会危害人体健康。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脱氢乙酸超标的原因可能是个别生产经营企业为防止食品腐败变质，超量使用了该添加剂，或者其使用的复配添加剂中该添加剂含量较高；也可能是在添加过程中未计量或计量不准。使用应遵循《食品安全国家标准 食品添加剂使用标准》（GB 2760-2014）的规定。</w:t>
      </w:r>
    </w:p>
    <w:p>
      <w:pPr>
        <w:pStyle w:val="2"/>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b w:val="0"/>
          <w:bCs w:val="0"/>
          <w:sz w:val="32"/>
          <w:szCs w:val="32"/>
          <w:lang w:val="en-US" w:eastAsia="zh-CN"/>
        </w:rPr>
      </w:pPr>
    </w:p>
    <w:sectPr>
      <w:pgSz w:w="11906" w:h="16838"/>
      <w:pgMar w:top="1984"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兰亭超细黑简体">
    <w:panose1 w:val="02000000000000000000"/>
    <w:charset w:val="86"/>
    <w:family w:val="auto"/>
    <w:pitch w:val="default"/>
    <w:sig w:usb0="00000001" w:usb1="0800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5MDJhNTYzM2RhMDNiY2FmOGRjNGM1NjczMTY3MDgifQ=="/>
  </w:docVars>
  <w:rsids>
    <w:rsidRoot w:val="646E6F0B"/>
    <w:rsid w:val="02476023"/>
    <w:rsid w:val="04EF50AA"/>
    <w:rsid w:val="4921579A"/>
    <w:rsid w:val="4C0360C1"/>
    <w:rsid w:val="60CA1D20"/>
    <w:rsid w:val="646E6F0B"/>
    <w:rsid w:val="6C370F21"/>
    <w:rsid w:val="6F77059D"/>
    <w:rsid w:val="7A3565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4013</Words>
  <Characters>4462</Characters>
  <Lines>0</Lines>
  <Paragraphs>0</Paragraphs>
  <TotalTime>4</TotalTime>
  <ScaleCrop>false</ScaleCrop>
  <LinksUpToDate>false</LinksUpToDate>
  <CharactersWithSpaces>4586</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2023-01-13T02:08:00Z</dcterms:created>
  <dc:creator>LEO1407491859</dc:creator>
  <cp:lastModifiedBy>苏童</cp:lastModifiedBy>
  <dcterms:modified xsi:type="dcterms:W3CDTF">2023-06-26T06:48:50Z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9600118E13814299B0299FCDDE0BDA2E</vt:lpwstr>
  </property>
</Properties>
</file>