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 xml:space="preserve">  关于《惠州市古树名木保护管理办法》</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（修订稿）公众反馈意见采纳情况的公告</w:t>
      </w:r>
    </w:p>
    <w:p>
      <w:pPr>
        <w:jc w:val="left"/>
        <w:rPr>
          <w:rFonts w:hint="eastAsia" w:ascii="仿宋" w:hAnsi="仿宋" w:eastAsia="仿宋" w:cs="仿宋"/>
          <w:sz w:val="32"/>
          <w:szCs w:val="32"/>
          <w:lang w:val="en-US" w:eastAsia="zh-CN"/>
        </w:rPr>
      </w:pP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5月18日至2023年6月17日，我局在惠州市人民政府门户网站公布了《关于&lt;惠州市古树名木保护管理办法&gt;修订稿征求意见的公示》，向社会公开征求意见，期间共收到4条意见建议。我局高度重视，对有关意见认真研究，现依法将公开征求意见的采纳情况公开，具体内容及采纳情况详见附件。</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特此公告。</w:t>
      </w:r>
    </w:p>
    <w:p>
      <w:pPr>
        <w:ind w:left="0" w:leftChars="0"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附件：公众反馈意见采纳情况汇总表</w:t>
      </w: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p>
    <w:p>
      <w:pPr>
        <w:jc w:val="left"/>
        <w:rPr>
          <w:rFonts w:hint="eastAsia" w:ascii="仿宋" w:hAnsi="仿宋" w:eastAsia="仿宋" w:cs="仿宋"/>
          <w:sz w:val="32"/>
          <w:szCs w:val="32"/>
          <w:lang w:val="en-US" w:eastAsia="zh-CN"/>
        </w:rPr>
      </w:pPr>
      <w:bookmarkStart w:id="0" w:name="_GoBack"/>
      <w:bookmarkEnd w:id="0"/>
    </w:p>
    <w:p>
      <w:pPr>
        <w:ind w:firstLine="5760" w:firstLineChars="18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惠州市林业局</w:t>
      </w:r>
    </w:p>
    <w:p>
      <w:pPr>
        <w:ind w:firstLine="5440" w:firstLineChars="17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2023年6月29日</w:t>
      </w:r>
    </w:p>
    <w:p>
      <w:pPr>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br w:type="page"/>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公众反馈意见采纳情况汇总表</w:t>
      </w:r>
    </w:p>
    <w:tbl>
      <w:tblPr>
        <w:tblStyle w:val="4"/>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9717"/>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12" w:type="dxa"/>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来信人</w:t>
            </w:r>
          </w:p>
        </w:tc>
        <w:tc>
          <w:tcPr>
            <w:tcW w:w="9717" w:type="dxa"/>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反馈意见</w:t>
            </w:r>
          </w:p>
        </w:tc>
        <w:tc>
          <w:tcPr>
            <w:tcW w:w="3033" w:type="dxa"/>
          </w:tcPr>
          <w:p>
            <w:p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邮件</w:t>
            </w:r>
          </w:p>
          <w:p>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发信人</w:t>
            </w:r>
          </w:p>
          <w:p>
            <w:pPr>
              <w:jc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李文佳</w:t>
            </w:r>
          </w:p>
        </w:tc>
        <w:tc>
          <w:tcPr>
            <w:tcW w:w="9717" w:type="dxa"/>
          </w:tcPr>
          <w:p>
            <w:pPr>
              <w:ind w:left="0" w:leftChars="0" w:firstLine="638" w:firstLineChars="228"/>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1、修改关于名树古木保护等级的认定标准的规定：</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惠州市古树名木保护管理办法（修订稿）》（以下简称《修订稿》）对古树名木保护等级的划分标准与《广东省森林保护管理条例》（以下简称《省条例》）以及建设部颁布的《城市古木名树保护管理办法》（以下简称建设部《管理办法》）的保护等级划分标准不同，而无论是《省条例》还是建设部《管理办法》，都规定树龄300年以上古树实行一级保护、其余古树实行二级保护，《省条例》还专门规定了对500年以上古树实行特别保护。</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名树古木保护等级的认定是进行保护管理的基础，会影响后续保护措施、责任划分等各种事项的具体要求，合理设置其认定标准有助于后续工作的开展、进行。因此我认为修改《修订稿》中的保护等级认定标准具有必要性。通过对比《修订稿》标准和《省条例》、建设部《管理办法》可以知道，实际上其划分标准相差其实不是很大，都以100年、300年、500年为分界线，《修订稿》大可以直接将三级保护改为二级、二级保护改为一级，一级保护则如《省条例》规定一样设定为特别保护。这种修改既能够使得《修订稿》内容与其他法律法规标准保持一致，以免在处理相关工作时由于标准不同发生冲突或出现歧义的情况，而修改的工作量也不会太大。</w:t>
            </w:r>
          </w:p>
          <w:p>
            <w:pPr>
              <w:ind w:left="0" w:leftChars="0" w:firstLine="638" w:firstLineChars="228"/>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2、整理优化《修订稿》关于古树名木管护责任单位、管护责任人的规定：</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首先，在《修订稿》第十四条中规定了十项关于确定古树名木管护责任单位或管护责任人的规则，但十项规定的范围有交叉或者是可以合并同类项的部分，以至于第十四条需要通过繁杂的文字列举来说明，使得条文失去简洁性。</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修订稿》第十四条中新增的第（九）项和第（十）项第一句的，实际上都可以归类为由所有权人管护的范围，可以合并为同一项；第（一）项和第（六）项都是根据古树名木位于单位或个人的院落内来确定管护责任者的，可以合并为同一项，即“生长在各单位用地范围内或个人宅院内的古树名木，由所在单位或个人管护”。通过合并同类项的方式，使得条文内容更加简明扼要，保持法律语言的简洁，方便学习与适用。</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次，在《修订稿》第十四条新增的第（九）、（十）两项规定中使用的是“养护”一词，而修订前的前八项使用的均为“管护”一词，一方面，没有保持同一条文内语言表述的一致，另一方面，“管护”一词意为“管理”和“养护”，责任范围是大于“养护”的，使用“养护”一词实际上是减轻了责任单位和责任人的负担。因此，在第十四条中应该统一使用“养护”一词。</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此外，《修订稿》第十四条第（八）项是对于农村古树名木责任人确定的规定，具有兜底性质，正因如此，我认为将第（八）项规定的位置移到最后更符合一般的阅读顺序和逻辑。</w:t>
            </w:r>
          </w:p>
          <w:p>
            <w:pPr>
              <w:ind w:left="0" w:leftChars="0" w:firstLine="638" w:firstLineChars="228"/>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3、明确对死亡古树名木的处置流程：</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在《修订稿》第十七条中，虽然规定了古树名木死亡时养护责任单位、责任人的报告义务和行政主管部门的核实义务，并要求单位和个人不得擅自处置，但对于该死亡古树名木的处置相关流程却并未作出规定。处置流程规定的缺失不利于行政管理部门和养护责任单位、责任人实施对古树名木的管护工作，因此在《修订稿》当中有必要加入相关规定，确认由谁处置、怎么处置。</w:t>
            </w:r>
          </w:p>
          <w:p>
            <w:pPr>
              <w:ind w:left="0" w:leftChars="0" w:firstLine="560" w:firstLineChars="200"/>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对于具体的处置流程，我认为可以在由县级人民政府古树名木主管部门进行确认的同时一并提出处置意见。此外，《省条例》第五十七条的规定还要求将处置意见上报省人民政府古树名木主管部门确认，并且对于具体处置方式的流程和应办理的手续都作出了相关规定，《修订稿》可以参照修改目前第十七条的规定，细化对处置程序和手续的要求，以便各部门和养护责任者更好地落实对死亡古树名木的处理。</w:t>
            </w:r>
          </w:p>
          <w:p>
            <w:pPr>
              <w:ind w:left="0" w:leftChars="0" w:firstLine="638" w:firstLineChars="228"/>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4、其他建议：</w:t>
            </w:r>
          </w:p>
          <w:p>
            <w:pPr>
              <w:ind w:left="0" w:leftChars="0" w:firstLine="560" w:firstLineChars="200"/>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目前的《修订稿》主要是在原惠府办〔2018〕15号文件上加以修改，与新修订的《省条例》和建设部《管理办法》等文件在具体问题上是有出入的。虽然地方政府规章与部门规章未必要保持完全一致，但在设置规定时统一标准有利于在落实具体工作时避免出现矛盾冲突，有助于更高效地达成古树名木保护管理的目的。例如，在《修订稿》第十八条第（四）项规定的禁止实施挖坑取土、排放污水等损害古树名木的行为的范围是“树冠边缘以外3米范围内”，而《省条例》等文件规定的保护范围则更大，为“树冠垂直投影及边缘外五米范围内”，从对古树名木的切实保护效果的角度来看，《省条例》的规定显然更有利于古树名木的保护，《修订稿》参照其修改保护范围也能防止管理时对相关损害问题的认定出现分歧。因此，参照地方性法规、部门规章等文件对于古树名木保护的规定，对于完善《修订稿》内容是重要的也是必要的。</w:t>
            </w:r>
          </w:p>
        </w:tc>
        <w:tc>
          <w:tcPr>
            <w:tcW w:w="3033" w:type="dxa"/>
          </w:tcPr>
          <w:p>
            <w:pPr>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未采纳。根据2023年5月31日省第十四届人民代表大会常务委员会第三次会议修订通过的《广东省森林保护管理条例》，该条例将于2023年7月1日起施行，修订后的《广东省森林保护管理条例》第八章已涵盖了古树名木保护管理的相关内容。为避免在古树名木保护管理工作中由于执行标准不同导致出现歧义，我局正在向相关部门建议终止《惠州市古树名木保护管理办法》的修订，目前正在走相关程序。</w:t>
            </w:r>
          </w:p>
        </w:tc>
      </w:tr>
    </w:tbl>
    <w:p>
      <w:pPr>
        <w:jc w:val="left"/>
        <w:rPr>
          <w:rFonts w:hint="default"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NjgwMmZlYTEzYTgyOWYyNDY0YmM4YTM4ZDgxOWUifQ=="/>
  </w:docVars>
  <w:rsids>
    <w:rsidRoot w:val="24BE23B1"/>
    <w:rsid w:val="01441010"/>
    <w:rsid w:val="02B23886"/>
    <w:rsid w:val="0894391F"/>
    <w:rsid w:val="24BE23B1"/>
    <w:rsid w:val="37FB5D0C"/>
    <w:rsid w:val="3EC7548D"/>
    <w:rsid w:val="42587A64"/>
    <w:rsid w:val="43572577"/>
    <w:rsid w:val="473D0F59"/>
    <w:rsid w:val="521B3D28"/>
    <w:rsid w:val="5743292A"/>
    <w:rsid w:val="6DB6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2217</Words>
  <Characters>2250</Characters>
  <Lines>0</Lines>
  <Paragraphs>0</Paragraphs>
  <TotalTime>6</TotalTime>
  <ScaleCrop>false</ScaleCrop>
  <LinksUpToDate>false</LinksUpToDate>
  <CharactersWithSpaces>2250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2023-06-29T01:38:00Z</dcterms:created>
  <dc:creator>G24</dc:creator>
  <cp:lastModifiedBy>Administrator</cp:lastModifiedBy>
  <dcterms:modified xsi:type="dcterms:W3CDTF">2023-06-30T01:00:01Z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627A1C73D8C947C5A6B11BB145AE4F42_11</vt:lpwstr>
  </property>
</Properties>
</file>