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kinsoku/>
        <w:wordWrap w:val="0"/>
        <w:overflowPunct/>
        <w:topLinePunct w:val="0"/>
        <w:bidi w:val="0"/>
        <w:adjustRightInd w:val="0"/>
        <w:snapToGrid w:val="0"/>
        <w:spacing w:line="580" w:lineRule="exact"/>
        <w:ind w:right="0" w:rightChars="0"/>
        <w:jc w:val="center"/>
        <w:textAlignment w:val="auto"/>
        <w:rPr>
          <w:rFonts w:hint="eastAsia" w:ascii="方正小标宋简体" w:hAnsi="方正小标宋简体" w:eastAsia="方正小标宋简体" w:cs="方正小标宋简体"/>
          <w:spacing w:val="-6"/>
          <w:kern w:val="2"/>
          <w:sz w:val="44"/>
          <w:szCs w:val="44"/>
          <w:lang w:val="en-US" w:eastAsia="zh-CN" w:bidi="ar-SA"/>
        </w:rPr>
      </w:pPr>
      <w:r>
        <w:rPr>
          <w:rFonts w:hint="eastAsia" w:ascii="方正小标宋简体" w:hAnsi="方正小标宋简体" w:eastAsia="方正小标宋简体" w:cs="方正小标宋简体"/>
          <w:color w:val="auto"/>
          <w:sz w:val="44"/>
          <w:szCs w:val="44"/>
          <w:lang w:val="en-US" w:eastAsia="zh-CN"/>
        </w:rPr>
        <w:t>专利转化促进</w:t>
      </w:r>
      <w:r>
        <w:rPr>
          <w:rFonts w:hint="eastAsia" w:ascii="方正小标宋简体" w:hAnsi="方正小标宋简体" w:eastAsia="方正小标宋简体" w:cs="方正小标宋简体"/>
          <w:spacing w:val="-6"/>
          <w:kern w:val="2"/>
          <w:sz w:val="44"/>
          <w:szCs w:val="44"/>
          <w:lang w:val="en-US" w:eastAsia="zh-CN" w:bidi="ar-SA"/>
        </w:rPr>
        <w:t>项目申报指南</w:t>
      </w:r>
    </w:p>
    <w:p>
      <w:pPr>
        <w:pStyle w:val="3"/>
        <w:keepNext w:val="0"/>
        <w:keepLines w:val="0"/>
        <w:pageBreakBefore w:val="0"/>
        <w:widowControl w:val="0"/>
        <w:kinsoku/>
        <w:wordWrap w:val="0"/>
        <w:overflowPunct/>
        <w:topLinePunct w:val="0"/>
        <w:bidi w:val="0"/>
        <w:adjustRightInd w:val="0"/>
        <w:snapToGrid w:val="0"/>
        <w:spacing w:line="580" w:lineRule="exact"/>
        <w:ind w:right="0" w:rightChars="0"/>
        <w:jc w:val="center"/>
        <w:textAlignment w:val="auto"/>
        <w:rPr>
          <w:rFonts w:hint="eastAsia" w:ascii="方正小标宋简体" w:hAnsi="方正小标宋简体" w:eastAsia="方正小标宋简体" w:cs="方正小标宋简体"/>
          <w:spacing w:val="-6"/>
          <w:kern w:val="2"/>
          <w:sz w:val="44"/>
          <w:szCs w:val="44"/>
          <w:lang w:val="en-US" w:eastAsia="zh-CN" w:bidi="ar-SA"/>
        </w:rPr>
      </w:pPr>
    </w:p>
    <w:p>
      <w:pPr>
        <w:spacing w:line="580" w:lineRule="exact"/>
        <w:ind w:firstLine="640" w:firstLineChars="200"/>
        <w:rPr>
          <w:rFonts w:hint="default" w:ascii="Times New Roman" w:hAnsi="Times New Roman" w:eastAsia="楷体_GB2312" w:cs="Times New Roman"/>
          <w:color w:val="auto"/>
          <w:sz w:val="32"/>
          <w:szCs w:val="32"/>
          <w:lang w:val="en-US" w:eastAsia="zh-CN"/>
        </w:rPr>
      </w:pPr>
      <w:r>
        <w:rPr>
          <w:rFonts w:hint="eastAsia" w:ascii="Times New Roman" w:hAnsi="Times New Roman" w:eastAsia="楷体_GB2312" w:cs="Times New Roman"/>
          <w:color w:val="auto"/>
          <w:sz w:val="32"/>
          <w:szCs w:val="32"/>
          <w:lang w:eastAsia="zh-CN"/>
        </w:rPr>
        <w:t>（</w:t>
      </w:r>
      <w:r>
        <w:rPr>
          <w:rFonts w:hint="eastAsia" w:ascii="Times New Roman" w:hAnsi="Times New Roman" w:eastAsia="楷体_GB2312" w:cs="Times New Roman"/>
          <w:color w:val="auto"/>
          <w:sz w:val="32"/>
          <w:szCs w:val="32"/>
          <w:lang w:val="en-US" w:eastAsia="zh-CN"/>
        </w:rPr>
        <w:t>一</w:t>
      </w:r>
      <w:r>
        <w:rPr>
          <w:rFonts w:hint="eastAsia" w:ascii="Times New Roman" w:hAnsi="Times New Roman" w:eastAsia="楷体_GB2312" w:cs="Times New Roman"/>
          <w:color w:val="auto"/>
          <w:sz w:val="32"/>
          <w:szCs w:val="32"/>
          <w:lang w:eastAsia="zh-CN"/>
        </w:rPr>
        <w:t>）</w:t>
      </w:r>
      <w:r>
        <w:rPr>
          <w:rFonts w:hint="eastAsia" w:ascii="Times New Roman" w:hAnsi="Times New Roman" w:eastAsia="楷体_GB2312" w:cs="Times New Roman"/>
          <w:color w:val="auto"/>
          <w:sz w:val="32"/>
          <w:szCs w:val="32"/>
          <w:lang w:val="en-US" w:eastAsia="zh-CN"/>
        </w:rPr>
        <w:t>工作目标</w:t>
      </w:r>
    </w:p>
    <w:p>
      <w:pPr>
        <w:keepNext w:val="0"/>
        <w:keepLines w:val="0"/>
        <w:pageBreakBefore w:val="0"/>
        <w:widowControl w:val="0"/>
        <w:kinsoku/>
        <w:overflowPunct/>
        <w:topLinePunct w:val="0"/>
        <w:bidi w:val="0"/>
        <w:adjustRightInd w:val="0"/>
        <w:snapToGrid w:val="0"/>
        <w:spacing w:line="580" w:lineRule="exact"/>
        <w:ind w:left="0" w:leftChars="0" w:right="0" w:rightChars="0" w:firstLine="616" w:firstLineChars="200"/>
        <w:jc w:val="both"/>
        <w:textAlignment w:val="auto"/>
        <w:rPr>
          <w:rFonts w:hint="default" w:ascii="仿宋_GB2312" w:hAnsi="仿宋_GB2312" w:eastAsia="仿宋_GB2312" w:cs="仿宋_GB2312"/>
          <w:spacing w:val="-6"/>
          <w:kern w:val="2"/>
          <w:sz w:val="32"/>
          <w:szCs w:val="32"/>
          <w:lang w:val="en-US" w:eastAsia="zh-CN" w:bidi="ar-SA"/>
        </w:rPr>
      </w:pPr>
      <w:r>
        <w:rPr>
          <w:rFonts w:hint="default" w:ascii="仿宋_GB2312" w:hAnsi="仿宋_GB2312" w:eastAsia="仿宋_GB2312" w:cs="仿宋_GB2312"/>
          <w:spacing w:val="-6"/>
          <w:kern w:val="2"/>
          <w:sz w:val="32"/>
          <w:szCs w:val="32"/>
          <w:lang w:val="en-US" w:eastAsia="zh-CN" w:bidi="ar-SA"/>
        </w:rPr>
        <w:t>推动专利转化工作，促进全国高校院所、国有企业与我省中小微企业对接，建设“高校院所+产业”专利供需平台，组织对接活动，开展专利开放许可促进工作，实现专利转化专项计划中5个绩效目标按期达标</w:t>
      </w:r>
      <w:r>
        <w:rPr>
          <w:rFonts w:hint="eastAsia" w:ascii="仿宋_GB2312" w:hAnsi="仿宋_GB2312" w:eastAsia="仿宋_GB2312" w:cs="仿宋_GB2312"/>
          <w:spacing w:val="-6"/>
          <w:kern w:val="2"/>
          <w:sz w:val="32"/>
          <w:szCs w:val="32"/>
          <w:lang w:val="en-US" w:eastAsia="zh-CN" w:bidi="ar-SA"/>
        </w:rPr>
        <w:t>。</w:t>
      </w:r>
    </w:p>
    <w:p>
      <w:pPr>
        <w:spacing w:line="580" w:lineRule="exact"/>
        <w:ind w:firstLine="640" w:firstLineChars="200"/>
        <w:rPr>
          <w:rFonts w:hint="eastAsia" w:ascii="仿宋_GB2312" w:hAnsi="仿宋_GB2312" w:eastAsia="仿宋_GB2312" w:cs="仿宋_GB2312"/>
          <w:spacing w:val="-6"/>
          <w:kern w:val="2"/>
          <w:sz w:val="32"/>
          <w:szCs w:val="32"/>
          <w:lang w:val="en-US" w:eastAsia="zh-CN" w:bidi="ar-SA"/>
        </w:rPr>
      </w:pPr>
      <w:r>
        <w:rPr>
          <w:rFonts w:hint="default" w:ascii="Times New Roman" w:hAnsi="Times New Roman" w:eastAsia="楷体_GB2312" w:cs="Times New Roman"/>
          <w:color w:val="auto"/>
          <w:sz w:val="32"/>
          <w:szCs w:val="32"/>
          <w:lang w:eastAsia="zh-CN"/>
        </w:rPr>
        <w:t>（</w:t>
      </w:r>
      <w:r>
        <w:rPr>
          <w:rFonts w:hint="eastAsia" w:ascii="Times New Roman" w:hAnsi="Times New Roman" w:eastAsia="楷体_GB2312" w:cs="Times New Roman"/>
          <w:color w:val="auto"/>
          <w:sz w:val="32"/>
          <w:szCs w:val="32"/>
          <w:lang w:val="en-US" w:eastAsia="zh-CN"/>
        </w:rPr>
        <w:t>一</w:t>
      </w:r>
      <w:r>
        <w:rPr>
          <w:rFonts w:hint="default" w:ascii="Times New Roman" w:hAnsi="Times New Roman" w:eastAsia="楷体_GB2312" w:cs="Times New Roman"/>
          <w:color w:val="auto"/>
          <w:sz w:val="32"/>
          <w:szCs w:val="32"/>
          <w:lang w:eastAsia="zh-CN"/>
        </w:rPr>
        <w:t>）项目任务</w:t>
      </w:r>
    </w:p>
    <w:p>
      <w:pPr>
        <w:keepNext w:val="0"/>
        <w:keepLines w:val="0"/>
        <w:pageBreakBefore w:val="0"/>
        <w:widowControl w:val="0"/>
        <w:kinsoku/>
        <w:overflowPunct/>
        <w:topLinePunct w:val="0"/>
        <w:bidi w:val="0"/>
        <w:adjustRightInd w:val="0"/>
        <w:snapToGrid w:val="0"/>
        <w:spacing w:line="580" w:lineRule="exact"/>
        <w:ind w:left="0" w:leftChars="0" w:right="0" w:rightChars="0" w:firstLine="616" w:firstLineChars="200"/>
        <w:jc w:val="both"/>
        <w:textAlignment w:val="auto"/>
        <w:rPr>
          <w:rFonts w:hint="eastAsia" w:ascii="仿宋_GB2312" w:hAnsi="仿宋_GB2312" w:eastAsia="仿宋_GB2312" w:cs="仿宋_GB2312"/>
          <w:spacing w:val="-6"/>
          <w:kern w:val="2"/>
          <w:sz w:val="32"/>
          <w:szCs w:val="32"/>
          <w:lang w:val="en-US" w:eastAsia="zh-CN" w:bidi="ar-SA"/>
        </w:rPr>
      </w:pPr>
      <w:r>
        <w:rPr>
          <w:rFonts w:hint="eastAsia" w:ascii="仿宋_GB2312" w:hAnsi="仿宋_GB2312" w:eastAsia="仿宋_GB2312" w:cs="仿宋_GB2312"/>
          <w:spacing w:val="-6"/>
          <w:kern w:val="2"/>
          <w:sz w:val="32"/>
          <w:szCs w:val="32"/>
          <w:lang w:val="en-US" w:eastAsia="zh-CN" w:bidi="ar-SA"/>
        </w:rPr>
        <w:t>1.扩大专利开放许可信息发布范围和受众面。项目申报主体在自有平台或我市知识产权运营服务平台发布专利开放许可信息，并定期向省级专利开放许可发布平台推荐开放许可专利信息，向省级专利开放许可试点信息发布平台推荐不少于10项开放许可专利信息。项目申报主体在自有平台或我市知识产权运营服务平台发布的信息除在省级主平台发布的基础信息数据内容外，还应包括发布专利相关研发团队及专利转化运用背景、前景等外延信息，扩大信息受众面，提升成交率。</w:t>
      </w:r>
    </w:p>
    <w:p>
      <w:pPr>
        <w:keepNext w:val="0"/>
        <w:keepLines w:val="0"/>
        <w:pageBreakBefore w:val="0"/>
        <w:widowControl w:val="0"/>
        <w:kinsoku/>
        <w:overflowPunct/>
        <w:topLinePunct w:val="0"/>
        <w:bidi w:val="0"/>
        <w:adjustRightInd w:val="0"/>
        <w:snapToGrid w:val="0"/>
        <w:spacing w:line="580" w:lineRule="exact"/>
        <w:ind w:left="0" w:leftChars="0" w:right="0" w:rightChars="0" w:firstLine="616" w:firstLineChars="200"/>
        <w:jc w:val="both"/>
        <w:textAlignment w:val="auto"/>
        <w:rPr>
          <w:rFonts w:hint="eastAsia" w:ascii="仿宋_GB2312" w:hAnsi="仿宋_GB2312" w:eastAsia="仿宋_GB2312" w:cs="仿宋_GB2312"/>
          <w:spacing w:val="-6"/>
          <w:kern w:val="2"/>
          <w:sz w:val="32"/>
          <w:szCs w:val="32"/>
          <w:lang w:val="en-US" w:eastAsia="zh-CN" w:bidi="ar-SA"/>
        </w:rPr>
      </w:pPr>
      <w:r>
        <w:rPr>
          <w:rFonts w:hint="eastAsia" w:ascii="仿宋_GB2312" w:hAnsi="仿宋_GB2312" w:eastAsia="仿宋_GB2312" w:cs="仿宋_GB2312"/>
          <w:spacing w:val="-6"/>
          <w:kern w:val="2"/>
          <w:sz w:val="32"/>
          <w:szCs w:val="32"/>
          <w:lang w:val="en-US" w:eastAsia="zh-CN" w:bidi="ar-SA"/>
        </w:rPr>
        <w:t>2.推动专利转化工作，促进全国高校院所、国有企业与当地中小微企业对接，建设“高校院所+产业”专利供需平台，分区域、分产业组织2场以上中小微企业专利转化对接活动，达成专利转化30项以上。</w:t>
      </w:r>
    </w:p>
    <w:p>
      <w:pPr>
        <w:keepNext w:val="0"/>
        <w:keepLines w:val="0"/>
        <w:pageBreakBefore w:val="0"/>
        <w:widowControl w:val="0"/>
        <w:kinsoku/>
        <w:overflowPunct/>
        <w:topLinePunct w:val="0"/>
        <w:bidi w:val="0"/>
        <w:adjustRightInd w:val="0"/>
        <w:snapToGrid w:val="0"/>
        <w:spacing w:line="580" w:lineRule="exact"/>
        <w:ind w:left="0" w:leftChars="0" w:right="0" w:rightChars="0" w:firstLine="616" w:firstLineChars="200"/>
        <w:jc w:val="both"/>
        <w:textAlignment w:val="auto"/>
        <w:rPr>
          <w:rFonts w:hint="eastAsia" w:ascii="仿宋_GB2312" w:hAnsi="仿宋_GB2312" w:eastAsia="仿宋_GB2312" w:cs="仿宋_GB2312"/>
          <w:spacing w:val="-6"/>
          <w:kern w:val="2"/>
          <w:sz w:val="32"/>
          <w:szCs w:val="32"/>
          <w:lang w:val="en-US" w:eastAsia="zh-CN" w:bidi="ar-SA"/>
        </w:rPr>
      </w:pPr>
      <w:r>
        <w:rPr>
          <w:rFonts w:hint="eastAsia" w:ascii="仿宋_GB2312" w:hAnsi="仿宋_GB2312" w:eastAsia="仿宋_GB2312" w:cs="仿宋_GB2312"/>
          <w:spacing w:val="-6"/>
          <w:kern w:val="2"/>
          <w:sz w:val="32"/>
          <w:szCs w:val="32"/>
          <w:lang w:val="en-US" w:eastAsia="zh-CN" w:bidi="ar-SA"/>
        </w:rPr>
        <w:t>3.开展专利开放许可促进工作，收集企业开放许可专利需求，促进专利开放许可供需精准对接。协助高校院所、国有企业和其他创新主体筛选具有市场化前景、应用广泛、实用性强、适于实施的专利技术参与开放许可，促进供给方与需求方积极对接并精准匹配，拓展专利开放许可渠道。项目期内，发动超过10家高等院校、科研组织、国有企业等创新主体参与专利开放许可试点，达成专利许可20项以上。</w:t>
      </w:r>
    </w:p>
    <w:p>
      <w:pPr>
        <w:keepNext w:val="0"/>
        <w:keepLines w:val="0"/>
        <w:pageBreakBefore w:val="0"/>
        <w:widowControl w:val="0"/>
        <w:kinsoku/>
        <w:overflowPunct/>
        <w:topLinePunct w:val="0"/>
        <w:bidi w:val="0"/>
        <w:adjustRightInd w:val="0"/>
        <w:snapToGrid w:val="0"/>
        <w:spacing w:line="580" w:lineRule="exact"/>
        <w:ind w:left="0" w:leftChars="0" w:right="0" w:rightChars="0" w:firstLine="616" w:firstLineChars="200"/>
        <w:jc w:val="both"/>
        <w:textAlignment w:val="auto"/>
        <w:rPr>
          <w:rFonts w:hint="eastAsia" w:ascii="仿宋_GB2312" w:hAnsi="仿宋_GB2312" w:eastAsia="仿宋_GB2312" w:cs="仿宋_GB2312"/>
          <w:spacing w:val="-6"/>
          <w:kern w:val="2"/>
          <w:sz w:val="32"/>
          <w:szCs w:val="32"/>
          <w:lang w:val="en-US" w:eastAsia="zh-CN" w:bidi="ar-SA"/>
        </w:rPr>
      </w:pPr>
      <w:r>
        <w:rPr>
          <w:rFonts w:hint="eastAsia" w:ascii="仿宋_GB2312" w:hAnsi="仿宋_GB2312" w:eastAsia="仿宋_GB2312" w:cs="仿宋_GB2312"/>
          <w:spacing w:val="-6"/>
          <w:kern w:val="2"/>
          <w:sz w:val="32"/>
          <w:szCs w:val="32"/>
          <w:lang w:val="en-US" w:eastAsia="zh-CN" w:bidi="ar-SA"/>
        </w:rPr>
        <w:t>4.促成我市2023年达到</w:t>
      </w:r>
      <w:r>
        <w:rPr>
          <w:rFonts w:hint="default" w:ascii="仿宋_GB2312" w:hAnsi="仿宋_GB2312" w:eastAsia="仿宋_GB2312" w:cs="仿宋_GB2312"/>
          <w:spacing w:val="-6"/>
          <w:kern w:val="2"/>
          <w:sz w:val="32"/>
          <w:szCs w:val="32"/>
          <w:lang w:val="en-US" w:eastAsia="zh-CN" w:bidi="ar-SA"/>
        </w:rPr>
        <w:t>专利转化专项计划中中小微企业受让和被许可高校院所及国企专利次数、受让和被许可高校院所及国企专利中小微企业数量、高校院所出让和许可专利次数按期达</w:t>
      </w:r>
      <w:r>
        <w:rPr>
          <w:rFonts w:hint="eastAsia" w:ascii="仿宋_GB2312" w:hAnsi="仿宋_GB2312" w:eastAsia="仿宋_GB2312" w:cs="仿宋_GB2312"/>
          <w:spacing w:val="-6"/>
          <w:kern w:val="2"/>
          <w:sz w:val="32"/>
          <w:szCs w:val="32"/>
          <w:lang w:val="en-US" w:eastAsia="zh-CN" w:bidi="ar-SA"/>
        </w:rPr>
        <w:t>到</w:t>
      </w:r>
      <w:r>
        <w:rPr>
          <w:rFonts w:hint="default" w:ascii="仿宋_GB2312" w:hAnsi="仿宋_GB2312" w:eastAsia="仿宋_GB2312" w:cs="仿宋_GB2312"/>
          <w:spacing w:val="-6"/>
          <w:kern w:val="2"/>
          <w:sz w:val="32"/>
          <w:szCs w:val="32"/>
          <w:lang w:val="en-US" w:eastAsia="zh-CN" w:bidi="ar-SA"/>
        </w:rPr>
        <w:t>年均增长</w:t>
      </w:r>
      <w:r>
        <w:rPr>
          <w:rFonts w:hint="eastAsia" w:ascii="仿宋_GB2312" w:hAnsi="仿宋_GB2312" w:eastAsia="仿宋_GB2312" w:cs="仿宋_GB2312"/>
          <w:spacing w:val="-6"/>
          <w:kern w:val="2"/>
          <w:sz w:val="32"/>
          <w:szCs w:val="32"/>
          <w:lang w:val="en-US" w:eastAsia="zh-CN" w:bidi="ar-SA"/>
        </w:rPr>
        <w:t>3</w:t>
      </w:r>
      <w:r>
        <w:rPr>
          <w:rFonts w:hint="default" w:ascii="仿宋_GB2312" w:hAnsi="仿宋_GB2312" w:eastAsia="仿宋_GB2312" w:cs="仿宋_GB2312"/>
          <w:spacing w:val="-6"/>
          <w:kern w:val="2"/>
          <w:sz w:val="32"/>
          <w:szCs w:val="32"/>
          <w:lang w:val="en-US" w:eastAsia="zh-CN" w:bidi="ar-SA"/>
        </w:rPr>
        <w:t>0%以上</w:t>
      </w:r>
      <w:r>
        <w:rPr>
          <w:rFonts w:hint="eastAsia" w:ascii="仿宋_GB2312" w:hAnsi="仿宋_GB2312" w:eastAsia="仿宋_GB2312" w:cs="仿宋_GB2312"/>
          <w:spacing w:val="-6"/>
          <w:kern w:val="2"/>
          <w:sz w:val="32"/>
          <w:szCs w:val="32"/>
          <w:lang w:val="en-US" w:eastAsia="zh-CN" w:bidi="ar-SA"/>
        </w:rPr>
        <w:t>的目</w:t>
      </w:r>
      <w:r>
        <w:rPr>
          <w:rFonts w:hint="default" w:ascii="仿宋_GB2312" w:hAnsi="仿宋_GB2312" w:eastAsia="仿宋_GB2312" w:cs="仿宋_GB2312"/>
          <w:spacing w:val="-6"/>
          <w:kern w:val="2"/>
          <w:sz w:val="32"/>
          <w:szCs w:val="32"/>
          <w:lang w:val="en-US" w:eastAsia="zh-CN" w:bidi="ar-SA"/>
        </w:rPr>
        <w:t>标</w:t>
      </w:r>
      <w:r>
        <w:rPr>
          <w:rFonts w:hint="eastAsia" w:ascii="仿宋_GB2312" w:hAnsi="仿宋_GB2312" w:eastAsia="仿宋_GB2312" w:cs="仿宋_GB2312"/>
          <w:spacing w:val="-6"/>
          <w:kern w:val="2"/>
          <w:sz w:val="32"/>
          <w:szCs w:val="32"/>
          <w:lang w:val="en-US" w:eastAsia="zh-CN" w:bidi="ar-SA"/>
        </w:rPr>
        <w:t>。</w:t>
      </w:r>
    </w:p>
    <w:p>
      <w:pPr>
        <w:keepNext w:val="0"/>
        <w:keepLines w:val="0"/>
        <w:pageBreakBefore w:val="0"/>
        <w:widowControl w:val="0"/>
        <w:kinsoku/>
        <w:overflowPunct/>
        <w:topLinePunct w:val="0"/>
        <w:bidi w:val="0"/>
        <w:adjustRightInd w:val="0"/>
        <w:snapToGrid w:val="0"/>
        <w:spacing w:line="580" w:lineRule="exact"/>
        <w:ind w:left="0" w:leftChars="0" w:right="0" w:rightChars="0" w:firstLine="616" w:firstLineChars="200"/>
        <w:jc w:val="both"/>
        <w:textAlignment w:val="auto"/>
        <w:rPr>
          <w:rFonts w:hint="eastAsia" w:ascii="仿宋_GB2312" w:hAnsi="仿宋_GB2312" w:eastAsia="仿宋_GB2312" w:cs="仿宋_GB2312"/>
          <w:spacing w:val="-6"/>
          <w:kern w:val="2"/>
          <w:sz w:val="32"/>
          <w:szCs w:val="32"/>
          <w:lang w:val="en-US" w:eastAsia="zh-CN" w:bidi="ar-SA"/>
        </w:rPr>
      </w:pPr>
      <w:r>
        <w:rPr>
          <w:rFonts w:hint="eastAsia" w:ascii="仿宋_GB2312" w:hAnsi="仿宋_GB2312" w:eastAsia="仿宋_GB2312" w:cs="仿宋_GB2312"/>
          <w:spacing w:val="-6"/>
          <w:kern w:val="2"/>
          <w:sz w:val="32"/>
          <w:szCs w:val="32"/>
          <w:lang w:val="en-US" w:eastAsia="zh-CN" w:bidi="ar-SA"/>
        </w:rPr>
        <w:t>5.围绕专利转化等重点工作，制作并在省级媒体上发布2个宣传视频（1个针对宣传专利开放许可等知识产权工作成效宣传，1个引导企业开展专利转化或是引导企业开展许可促进工作）。形成1篇成效性总结宣传报道，在省级媒体上发布。形成不少于1个案例总结，在省级媒体宣传不少于2次。</w:t>
      </w:r>
    </w:p>
    <w:p>
      <w:pPr>
        <w:spacing w:line="580" w:lineRule="exact"/>
        <w:ind w:firstLine="640" w:firstLineChars="200"/>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lang w:eastAsia="zh-CN"/>
        </w:rPr>
        <w:t>（</w:t>
      </w:r>
      <w:r>
        <w:rPr>
          <w:rFonts w:hint="default" w:ascii="Times New Roman" w:hAnsi="Times New Roman" w:eastAsia="楷体_GB2312" w:cs="Times New Roman"/>
          <w:color w:val="auto"/>
          <w:sz w:val="32"/>
          <w:szCs w:val="32"/>
          <w:lang w:val="en-US" w:eastAsia="zh-CN"/>
        </w:rPr>
        <w:t>三</w:t>
      </w:r>
      <w:r>
        <w:rPr>
          <w:rFonts w:hint="default" w:ascii="Times New Roman" w:hAnsi="Times New Roman" w:eastAsia="楷体_GB2312" w:cs="Times New Roman"/>
          <w:color w:val="auto"/>
          <w:sz w:val="32"/>
          <w:szCs w:val="32"/>
          <w:lang w:eastAsia="zh-CN"/>
        </w:rPr>
        <w:t>）</w:t>
      </w:r>
      <w:r>
        <w:rPr>
          <w:rFonts w:hint="default" w:ascii="Times New Roman" w:hAnsi="Times New Roman" w:eastAsia="楷体_GB2312" w:cs="Times New Roman"/>
          <w:color w:val="auto"/>
          <w:sz w:val="32"/>
          <w:szCs w:val="32"/>
        </w:rPr>
        <w:t>申报条件</w:t>
      </w:r>
    </w:p>
    <w:p>
      <w:pPr>
        <w:pStyle w:val="6"/>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申报主体为广东省内登记注册的知识产权服务机构</w:t>
      </w:r>
      <w:r>
        <w:rPr>
          <w:rFonts w:hint="eastAsia" w:ascii="仿宋_GB2312" w:hAnsi="仿宋_GB2312" w:eastAsia="仿宋_GB2312" w:cs="仿宋_GB2312"/>
          <w:color w:val="auto"/>
          <w:sz w:val="32"/>
          <w:szCs w:val="32"/>
          <w:lang w:val="en-US" w:eastAsia="zh-CN"/>
        </w:rPr>
        <w:t>或社会团体</w:t>
      </w:r>
      <w:r>
        <w:rPr>
          <w:rFonts w:hint="eastAsia" w:ascii="仿宋_GB2312" w:hAnsi="仿宋_GB2312" w:eastAsia="仿宋_GB2312" w:cs="仿宋_GB2312"/>
          <w:sz w:val="32"/>
          <w:szCs w:val="32"/>
          <w:lang w:val="en-US" w:eastAsia="zh-CN"/>
        </w:rPr>
        <w:t>，可联合其他机构合作申报。</w:t>
      </w:r>
    </w:p>
    <w:p>
      <w:pPr>
        <w:pStyle w:val="6"/>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申报主体必须拥有知识产权运营、交易等方面实践经验，具有30个以上知识产权运营交易成功案例；对广东省专利转化与专利开放许可有深入研究，具有省级知识产权相关项目承接经验；具备推动专利技术适配区域产业发展转化实施的相关经验和条件。</w:t>
      </w:r>
    </w:p>
    <w:p>
      <w:pPr>
        <w:pStyle w:val="6"/>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2.申报主体具有与全省高校院所、国有企业丰富的合作对接经验，具备知识产权、经济、法律等多学科人才，能够全周期、全方位、全流程地服务专利开放许可的参与主体。</w:t>
      </w:r>
    </w:p>
    <w:p>
      <w:pPr>
        <w:spacing w:line="580" w:lineRule="exact"/>
        <w:ind w:firstLine="640" w:firstLineChars="200"/>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lang w:eastAsia="zh-CN"/>
        </w:rPr>
        <w:t>（</w:t>
      </w:r>
      <w:r>
        <w:rPr>
          <w:rFonts w:hint="default" w:ascii="Times New Roman" w:hAnsi="Times New Roman" w:eastAsia="楷体_GB2312" w:cs="Times New Roman"/>
          <w:color w:val="auto"/>
          <w:sz w:val="32"/>
          <w:szCs w:val="32"/>
          <w:lang w:val="en-US" w:eastAsia="zh-CN"/>
        </w:rPr>
        <w:t>四</w:t>
      </w:r>
      <w:r>
        <w:rPr>
          <w:rFonts w:hint="default" w:ascii="Times New Roman" w:hAnsi="Times New Roman" w:eastAsia="楷体_GB2312" w:cs="Times New Roman"/>
          <w:color w:val="auto"/>
          <w:sz w:val="32"/>
          <w:szCs w:val="32"/>
          <w:lang w:eastAsia="zh-CN"/>
        </w:rPr>
        <w:t>）</w:t>
      </w:r>
      <w:r>
        <w:rPr>
          <w:rFonts w:hint="default" w:ascii="Times New Roman" w:hAnsi="Times New Roman" w:eastAsia="楷体_GB2312" w:cs="Times New Roman"/>
          <w:color w:val="auto"/>
          <w:sz w:val="32"/>
          <w:szCs w:val="32"/>
        </w:rPr>
        <w:t>申报材料</w:t>
      </w:r>
    </w:p>
    <w:p>
      <w:pPr>
        <w:pStyle w:val="6"/>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项目申报书。</w:t>
      </w:r>
    </w:p>
    <w:p>
      <w:pPr>
        <w:pStyle w:val="6"/>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color w:val="auto"/>
          <w:spacing w:val="-6"/>
          <w:sz w:val="32"/>
          <w:szCs w:val="32"/>
        </w:rPr>
        <w:t>法人资格证书</w:t>
      </w:r>
      <w:r>
        <w:rPr>
          <w:rFonts w:hint="eastAsia" w:ascii="仿宋_GB2312" w:hAnsi="仿宋_GB2312" w:eastAsia="仿宋_GB2312" w:cs="仿宋_GB2312"/>
          <w:color w:val="auto"/>
          <w:spacing w:val="-6"/>
          <w:sz w:val="32"/>
          <w:szCs w:val="32"/>
          <w:lang w:eastAsia="zh-CN"/>
        </w:rPr>
        <w:t>或营业执照复印件（</w:t>
      </w:r>
      <w:r>
        <w:rPr>
          <w:rFonts w:hint="eastAsia" w:ascii="仿宋_GB2312" w:hAnsi="仿宋_GB2312" w:eastAsia="仿宋_GB2312" w:cs="仿宋_GB2312"/>
          <w:color w:val="auto"/>
          <w:sz w:val="32"/>
          <w:szCs w:val="32"/>
        </w:rPr>
        <w:t>加盖公章</w:t>
      </w:r>
      <w:r>
        <w:rPr>
          <w:rFonts w:hint="eastAsia" w:ascii="仿宋_GB2312" w:hAnsi="仿宋_GB2312" w:eastAsia="仿宋_GB2312" w:cs="仿宋_GB2312"/>
          <w:color w:val="auto"/>
          <w:sz w:val="32"/>
          <w:szCs w:val="32"/>
          <w:lang w:eastAsia="zh-CN"/>
        </w:rPr>
        <w:t>）</w:t>
      </w:r>
      <w:r>
        <w:rPr>
          <w:rFonts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3.申报单</w:t>
      </w:r>
      <w:bookmarkStart w:id="0" w:name="_GoBack"/>
      <w:bookmarkEnd w:id="0"/>
      <w:r>
        <w:rPr>
          <w:rFonts w:hint="eastAsia" w:ascii="仿宋_GB2312" w:hAnsi="仿宋_GB2312" w:eastAsia="仿宋_GB2312" w:cs="仿宋_GB2312"/>
          <w:sz w:val="32"/>
          <w:szCs w:val="32"/>
        </w:rPr>
        <w:t>位承担项目能力和工作方案可行性的证明材料。</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该项目实施期限为立项之日起1年内完成，拟立1项，经费不超过</w:t>
      </w:r>
      <w:r>
        <w:rPr>
          <w:rFonts w:hint="eastAsia" w:ascii="Times New Roman" w:hAnsi="Times New Roman" w:cs="Times New Roman"/>
          <w:color w:val="auto"/>
          <w:sz w:val="32"/>
          <w:szCs w:val="32"/>
          <w:highlight w:val="none"/>
          <w:lang w:val="en-US" w:eastAsia="zh-CN"/>
        </w:rPr>
        <w:t>40</w:t>
      </w:r>
      <w:r>
        <w:rPr>
          <w:rFonts w:hint="eastAsia" w:ascii="Times New Roman" w:hAnsi="Times New Roman" w:eastAsia="仿宋_GB2312" w:cs="Times New Roman"/>
          <w:color w:val="auto"/>
          <w:sz w:val="32"/>
          <w:szCs w:val="32"/>
          <w:highlight w:val="none"/>
          <w:lang w:val="en-US" w:eastAsia="zh-CN"/>
        </w:rPr>
        <w:t>万元。</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outlineLvl w:val="9"/>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项目</w:t>
      </w:r>
      <w:r>
        <w:rPr>
          <w:rFonts w:hint="default" w:ascii="Times New Roman" w:hAnsi="Times New Roman" w:eastAsia="仿宋_GB2312" w:cs="Times New Roman"/>
          <w:color w:val="auto"/>
          <w:sz w:val="32"/>
          <w:szCs w:val="32"/>
          <w:highlight w:val="none"/>
          <w:lang w:val="en-US" w:eastAsia="zh-CN"/>
        </w:rPr>
        <w:t>联系人：</w:t>
      </w:r>
      <w:r>
        <w:rPr>
          <w:rFonts w:hint="eastAsia" w:ascii="Times New Roman" w:hAnsi="Times New Roman" w:eastAsia="仿宋_GB2312" w:cs="Times New Roman"/>
          <w:color w:val="auto"/>
          <w:sz w:val="32"/>
          <w:szCs w:val="32"/>
          <w:highlight w:val="none"/>
          <w:lang w:val="en-US" w:eastAsia="zh-CN"/>
        </w:rPr>
        <w:t>李越荣</w:t>
      </w:r>
      <w:r>
        <w:rPr>
          <w:rFonts w:hint="default" w:ascii="仿宋" w:hAnsi="仿宋" w:eastAsia="仿宋" w:cs="仿宋_GB2312"/>
          <w:sz w:val="32"/>
          <w:szCs w:val="32"/>
          <w:lang w:val="en-US" w:eastAsia="zh-CN"/>
        </w:rPr>
        <w:t>，电话：</w:t>
      </w:r>
      <w:r>
        <w:rPr>
          <w:rFonts w:hint="eastAsia" w:ascii="仿宋" w:hAnsi="仿宋" w:eastAsia="仿宋" w:cs="仿宋_GB2312"/>
          <w:sz w:val="32"/>
          <w:szCs w:val="32"/>
          <w:lang w:val="en-US" w:eastAsia="zh-CN"/>
        </w:rPr>
        <w:t>0752-2831292</w:t>
      </w:r>
      <w:r>
        <w:rPr>
          <w:rFonts w:hint="default" w:ascii="仿宋" w:hAnsi="仿宋" w:eastAsia="仿宋" w:cs="仿宋_GB2312"/>
          <w:sz w:val="32"/>
          <w:szCs w:val="32"/>
          <w:lang w:val="en-US" w:eastAsia="zh-CN"/>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434B06"/>
    <w:multiLevelType w:val="multilevel"/>
    <w:tmpl w:val="7D434B06"/>
    <w:lvl w:ilvl="0" w:tentative="0">
      <w:start w:val="1"/>
      <w:numFmt w:val="ideographDigital"/>
      <w:pStyle w:val="2"/>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A01300"/>
    <w:rsid w:val="04E70067"/>
    <w:rsid w:val="080309A8"/>
    <w:rsid w:val="33A01300"/>
    <w:rsid w:val="35DD28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outlineLvl w:val="0"/>
    </w:pPr>
    <w:rPr>
      <w:rFonts w:ascii="Times New Roman" w:hAnsi="Times New Roman" w:eastAsia="黑体" w:cs="Times New Roman"/>
      <w:bCs/>
      <w:kern w:val="44"/>
      <w:sz w:val="30"/>
      <w:szCs w:val="4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3">
    <w:name w:val="Normal (Web)"/>
    <w:basedOn w:val="1"/>
    <w:unhideWhenUsed/>
    <w:qFormat/>
    <w:uiPriority w:val="99"/>
    <w:pPr>
      <w:jc w:val="left"/>
    </w:pPr>
    <w:rPr>
      <w:rFonts w:ascii="Times New Roman" w:hAnsi="Times New Roman" w:cs="Times New Roman"/>
      <w:kern w:val="0"/>
      <w:sz w:val="24"/>
    </w:rPr>
  </w:style>
  <w:style w:type="paragraph" w:customStyle="1" w:styleId="6">
    <w:name w:val="正文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市质量技术监督局</Company>
  <Pages>1</Pages>
  <Words>0</Words>
  <Characters>0</Characters>
  <Lines>0</Lines>
  <Paragraphs>0</Paragraphs>
  <TotalTime>4</TotalTime>
  <ScaleCrop>false</ScaleCrop>
  <LinksUpToDate>false</LinksUpToDate>
  <CharactersWithSpaces>0</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2022-11-08T03:34:00Z</dcterms:created>
  <dc:creator>刘玉媚</dc:creator>
  <cp:lastModifiedBy>刘玉媚</cp:lastModifiedBy>
  <cp:lastPrinted>2022-11-09T03:26:00Z</cp:lastPrinted>
  <dcterms:modified xsi:type="dcterms:W3CDTF">2022-11-09T13:02:58Z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