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6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  <w:t xml:space="preserve">附件：</w:t>
      </w:r>
    </w:p>
    <w:p>
      <w:pPr>
        <w:spacing w:before="0" w:after="0" w:line="60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4"/>
          <w:shd w:fill="auto" w:val="clear"/>
        </w:rPr>
        <w:t xml:space="preserve">公众反馈意见采纳情况汇总表</w:t>
      </w:r>
    </w:p>
    <w:tbl>
      <w:tblPr/>
      <w:tblGrid>
        <w:gridCol w:w="700"/>
        <w:gridCol w:w="900"/>
        <w:gridCol w:w="4350"/>
        <w:gridCol w:w="3970"/>
      </w:tblGrid>
      <w:tr>
        <w:trPr>
          <w:trHeight w:val="90" w:hRule="auto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序号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来信人</w:t>
            </w:r>
          </w:p>
        </w:tc>
        <w:tc>
          <w:tcPr>
            <w:tcW w:w="4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反馈意见</w:t>
            </w:r>
          </w:p>
        </w:tc>
        <w:tc>
          <w:tcPr>
            <w:tcW w:w="3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采纳情况</w:t>
            </w:r>
          </w:p>
        </w:tc>
      </w:tr>
      <w:tr>
        <w:trPr>
          <w:trHeight w:val="1252" w:hRule="auto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网友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A</w:t>
            </w:r>
          </w:p>
        </w:tc>
        <w:tc>
          <w:tcPr>
            <w:tcW w:w="4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人证合一上网也是质量重要一环。</w:t>
            </w:r>
          </w:p>
        </w:tc>
        <w:tc>
          <w:tcPr>
            <w:tcW w:w="3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不采纳。人证合一相关监管工作已纳入日常监管工作。</w:t>
            </w:r>
          </w:p>
        </w:tc>
      </w:tr>
      <w:tr>
        <w:trPr>
          <w:trHeight w:val="90" w:hRule="auto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网友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B</w:t>
            </w:r>
          </w:p>
        </w:tc>
        <w:tc>
          <w:tcPr>
            <w:tcW w:w="4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关于大力推进装配式建筑：建议强调要贯彻落实关于进一步贯彻落实《惠州市人民政府办公室关于大力发展装配式建筑的实施意见》的通知（试行）惠市住建函〔2021〕267号的有关要求，尤其是其中的“二、全面开展装配式建筑预评价工作”，以保障相关的工作顺利推进。</w:t>
            </w:r>
          </w:p>
        </w:tc>
        <w:tc>
          <w:tcPr>
            <w:tcW w:w="3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不采纳。装配式建筑预评价工作在《广东省装配式建筑评价标准》（DBJ/T15-163-2019）《关于进一步贯彻落实&lt;惠州市人民政府办公室关于大力发展装配式建筑的实施意见&gt;的通知（试行）》（惠市住建函〔2021〕267号）中已经明确，此文件中不再重复明确。</w:t>
            </w:r>
          </w:p>
        </w:tc>
      </w:tr>
      <w:tr>
        <w:trPr>
          <w:trHeight w:val="90" w:hRule="auto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网友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B</w:t>
            </w:r>
          </w:p>
        </w:tc>
        <w:tc>
          <w:tcPr>
            <w:tcW w:w="4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关于推进新型建筑工业化：目前的实际情况是预制构件和部品部件生产企业在进驻各区县时，在完全满足投资强度（4500元/平米），产值（9000元/平米）和税收（450元/平米）等招商指标有一定的困难。因此，建议在优先保障用地之后，增加“各地区有招商条件和招商指标方面有所倾斜”的文字表述。</w:t>
            </w:r>
          </w:p>
        </w:tc>
        <w:tc>
          <w:tcPr>
            <w:tcW w:w="3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both"/>
              <w:rPr>
                <w:rFonts w:ascii="仿宋" w:hAnsi="仿宋" w:cs="仿宋" w:eastAsia="仿宋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不采纳。关于新型建筑工业化发展的疑问，涉及到产业布局、招商、土地供应等内容，拟在下一步工作中进行研究，此次文件暂不考虑相关要求。</w:t>
            </w:r>
          </w:p>
          <w:p>
            <w:pPr>
              <w:widowControl w:val="false"/>
              <w:spacing w:before="0" w:after="0" w:line="60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