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ascii="Times New Roman" w:hAnsi="Times New Roman" w:eastAsia="黑体" w:cs="Times New Roman"/>
        </w:rPr>
      </w:pPr>
      <w:r>
        <w:rPr>
          <w:rFonts w:ascii="Times New Roman" w:hAnsi="Times New Roman" w:eastAsia="黑体" w:cs="Times New Roman"/>
        </w:rPr>
        <w:t>附件1</w:t>
      </w:r>
    </w:p>
    <w:p>
      <w:pPr>
        <w:shd w:val="clear" w:color="auto" w:fill="FFFFFF"/>
        <w:spacing w:line="660" w:lineRule="exact"/>
        <w:jc w:val="center"/>
        <w:rPr>
          <w:rFonts w:ascii="Times New Roman" w:hAnsi="Times New Roman" w:eastAsia="方正小标宋简体" w:cs="Times New Roman"/>
          <w:sz w:val="44"/>
          <w:szCs w:val="44"/>
        </w:rPr>
      </w:pPr>
      <w:bookmarkStart w:id="0" w:name="_GoBack"/>
      <w:bookmarkEnd w:id="0"/>
    </w:p>
    <w:p>
      <w:pPr>
        <w:shd w:val="clear" w:color="auto" w:fill="FFFFFF"/>
        <w:spacing w:line="660" w:lineRule="exact"/>
        <w:jc w:val="center"/>
        <w:rPr>
          <w:rFonts w:ascii="Times New Roman" w:hAnsi="Times New Roman" w:eastAsia="方正小标宋简体" w:cs="Times New Roman"/>
          <w:sz w:val="44"/>
          <w:szCs w:val="44"/>
        </w:rPr>
      </w:pPr>
      <w:r>
        <w:rPr>
          <w:rFonts w:ascii="Times New Roman" w:hAnsi="Times New Roman" w:eastAsia="方正小标宋简体" w:cs="Times New Roman"/>
          <w:sz w:val="44"/>
          <w:szCs w:val="44"/>
        </w:rPr>
        <w:t>本次抽检依据和检验项目</w:t>
      </w:r>
    </w:p>
    <w:p>
      <w:pPr>
        <w:pStyle w:val="6"/>
        <w:spacing w:line="560" w:lineRule="exact"/>
        <w:ind w:firstLine="480" w:firstLineChars="200"/>
        <w:jc w:val="both"/>
        <w:rPr>
          <w:rFonts w:hint="default" w:ascii="Times New Roman" w:hAnsi="Times New Roman" w:eastAsia="黑体" w:cs="Times New Roman"/>
          <w:szCs w:val="32"/>
        </w:rPr>
      </w:pPr>
    </w:p>
    <w:p>
      <w:pPr>
        <w:pStyle w:val="6"/>
        <w:spacing w:line="560" w:lineRule="exact"/>
        <w:ind w:firstLine="640" w:firstLineChars="200"/>
        <w:jc w:val="both"/>
        <w:rPr>
          <w:rFonts w:hint="default" w:ascii="黑体" w:hAnsi="黑体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一、</w:t>
      </w:r>
      <w:r>
        <w:rPr>
          <w:rFonts w:ascii="黑体" w:hAnsi="黑体" w:eastAsia="黑体" w:cs="Times New Roman"/>
          <w:sz w:val="32"/>
          <w:szCs w:val="32"/>
        </w:rPr>
        <w:t>糕点</w:t>
      </w:r>
      <w:r>
        <w:rPr>
          <w:rFonts w:hint="eastAsia" w:ascii="黑体" w:hAnsi="黑体" w:eastAsia="黑体" w:cs="Times New Roman"/>
          <w:sz w:val="32"/>
          <w:szCs w:val="32"/>
          <w:lang w:eastAsia="zh-CN"/>
        </w:rPr>
        <w:t>（</w:t>
      </w:r>
      <w:r>
        <w:rPr>
          <w:rFonts w:hint="eastAsia" w:ascii="黑体" w:hAnsi="黑体" w:eastAsia="黑体" w:cs="Times New Roman"/>
          <w:sz w:val="32"/>
          <w:szCs w:val="32"/>
          <w:lang w:val="en-US" w:eastAsia="zh-CN"/>
        </w:rPr>
        <w:t>月饼</w:t>
      </w:r>
      <w:r>
        <w:rPr>
          <w:rFonts w:hint="eastAsia" w:ascii="黑体" w:hAnsi="黑体" w:eastAsia="黑体" w:cs="Times New Roman"/>
          <w:sz w:val="32"/>
          <w:szCs w:val="32"/>
          <w:lang w:eastAsia="zh-CN"/>
        </w:rPr>
        <w:t>）</w:t>
      </w:r>
    </w:p>
    <w:p>
      <w:pPr>
        <w:pStyle w:val="6"/>
        <w:spacing w:line="560" w:lineRule="exact"/>
        <w:ind w:firstLine="640" w:firstLineChars="200"/>
        <w:jc w:val="both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</w:pPr>
      <w:r>
        <w:rPr>
          <w:rFonts w:hint="eastAsia" w:ascii="Times New Roman" w:hAnsi="Times New Roman" w:eastAsia="楷体_GB2312" w:cs="Times New Roman"/>
          <w:color w:val="000000"/>
          <w:sz w:val="32"/>
          <w:szCs w:val="32"/>
          <w:highlight w:val="none"/>
          <w:lang w:eastAsia="zh-CN"/>
        </w:rPr>
        <w:t>（一）抽检依据</w:t>
      </w:r>
    </w:p>
    <w:p>
      <w:pPr>
        <w:pStyle w:val="6"/>
        <w:spacing w:line="560" w:lineRule="exact"/>
        <w:ind w:firstLine="640" w:firstLineChars="200"/>
        <w:jc w:val="both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 xml:space="preserve"> 抽检依据是《食品安全国家标准 预包装食品营养标签通则》（GB 28050-2011），《食品安全国家标准 糕点、面包》（GB 7099-2015），《食品安全国家标准 食品添加剂使用标准》（GB 2760-2014），食品整治办[2009]5号《食品中可能违法添加的非食用物质名单(第二批)》，《食品安全国家标准 预包装食品中致病菌限量》（GB 29921-2021）。</w:t>
      </w:r>
    </w:p>
    <w:p>
      <w:pPr>
        <w:pStyle w:val="6"/>
        <w:spacing w:line="560" w:lineRule="exact"/>
        <w:ind w:firstLine="640" w:firstLineChars="200"/>
        <w:jc w:val="both"/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/>
        </w:rPr>
      </w:pPr>
      <w:r>
        <w:rPr>
          <w:rFonts w:hint="eastAsia" w:ascii="Times New Roman" w:hAnsi="Times New Roman" w:eastAsia="楷体_GB2312" w:cs="Times New Roman"/>
          <w:color w:val="000000"/>
          <w:sz w:val="32"/>
          <w:szCs w:val="32"/>
          <w:highlight w:val="none"/>
          <w:lang w:eastAsia="zh-CN"/>
        </w:rPr>
        <w:t>（二）检验项目</w:t>
      </w:r>
    </w:p>
    <w:p>
      <w:pPr>
        <w:pStyle w:val="6"/>
        <w:spacing w:line="560" w:lineRule="exact"/>
        <w:ind w:firstLine="640" w:firstLineChars="200"/>
        <w:jc w:val="both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月饼抽检项目包括酸价（以脂肪计）、过氧化值（以脂肪计）、苯甲酸及其钠盐（以苯甲酸计）、山梨酸及其钾盐（以山梨酸计）、铝的残留量（干样品，以Al计）、脱氢乙酸及其钠盐（以脱氢乙酸计）、糖精钠、丙酸及其钠盐、钙盐、营养标签-钠、纳他霉素、富马酸二甲酯、菌落总数、大肠菌群、霉菌、沙门氏菌、金黄色葡萄球菌。</w:t>
      </w:r>
    </w:p>
    <w:p>
      <w:pPr>
        <w:spacing w:line="600" w:lineRule="exact"/>
        <w:ind w:firstLine="640" w:firstLineChars="200"/>
        <w:rPr>
          <w:rFonts w:hint="eastAsia" w:ascii="黑体" w:hAnsi="黑体" w:eastAsia="黑体" w:cs="黑体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highlight w:val="none"/>
          <w:lang w:val="en-US" w:eastAsia="zh-CN"/>
        </w:rPr>
        <w:t>二</w:t>
      </w:r>
      <w:r>
        <w:rPr>
          <w:rFonts w:hint="eastAsia" w:ascii="黑体" w:hAnsi="黑体" w:eastAsia="黑体" w:cs="黑体"/>
          <w:color w:val="000000"/>
          <w:sz w:val="32"/>
          <w:szCs w:val="32"/>
          <w:highlight w:val="none"/>
          <w:lang w:eastAsia="zh-CN"/>
        </w:rPr>
        <w:t>、餐饮食品（月饼）</w:t>
      </w:r>
    </w:p>
    <w:p>
      <w:pPr>
        <w:pStyle w:val="6"/>
        <w:spacing w:line="560" w:lineRule="exact"/>
        <w:ind w:firstLine="640" w:firstLineChars="200"/>
        <w:jc w:val="both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</w:pPr>
      <w:r>
        <w:rPr>
          <w:rFonts w:hint="eastAsia" w:ascii="Times New Roman" w:hAnsi="Times New Roman" w:eastAsia="楷体_GB2312" w:cs="Times New Roman"/>
          <w:color w:val="000000"/>
          <w:sz w:val="32"/>
          <w:szCs w:val="32"/>
          <w:highlight w:val="none"/>
          <w:lang w:eastAsia="zh-CN"/>
        </w:rPr>
        <w:t>（一）抽检依据</w:t>
      </w:r>
    </w:p>
    <w:p>
      <w:pPr>
        <w:widowControl w:val="0"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抽检依据是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《食品安全国家标准糕点、面包》（GB 7099-2015）、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eastAsia="zh-CN"/>
        </w:rPr>
        <w:t>《食品安全国家标准 食品添加剂使用标准》（GB 276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eastAsia="zh-CN"/>
        </w:rPr>
        <w:t>-201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。</w:t>
      </w:r>
    </w:p>
    <w:p>
      <w:pPr>
        <w:pStyle w:val="6"/>
        <w:spacing w:line="560" w:lineRule="exact"/>
        <w:ind w:firstLine="640" w:firstLineChars="200"/>
        <w:jc w:val="both"/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/>
        </w:rPr>
      </w:pPr>
      <w:r>
        <w:rPr>
          <w:rFonts w:hint="eastAsia" w:ascii="Times New Roman" w:hAnsi="Times New Roman" w:eastAsia="楷体_GB2312" w:cs="Times New Roman"/>
          <w:color w:val="000000"/>
          <w:sz w:val="32"/>
          <w:szCs w:val="32"/>
          <w:highlight w:val="none"/>
          <w:lang w:eastAsia="zh-CN"/>
        </w:rPr>
        <w:t>（二）检验项目</w:t>
      </w:r>
    </w:p>
    <w:p>
      <w:pPr>
        <w:widowControl/>
        <w:ind w:firstLine="640" w:firstLineChars="200"/>
        <w:jc w:val="left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月饼(餐饮)抽检项目包括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酸价(以脂肪计)(KOH)、过氧化值(以脂肪计)、苯甲酸及其钠盐(以苯甲酸计)、脱氢乙酸及其钠盐(以脱氢乙酸计)、糖精钠(以糖精计)、山梨酸及其钾盐(以山梨酸计)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。</w:t>
      </w:r>
    </w:p>
    <w:p>
      <w:pPr>
        <w:pStyle w:val="6"/>
        <w:spacing w:line="560" w:lineRule="exact"/>
        <w:ind w:firstLine="640" w:firstLineChars="200"/>
        <w:jc w:val="both"/>
        <w:rPr>
          <w:rFonts w:hint="eastAsia" w:ascii="黑体" w:hAnsi="黑体" w:eastAsia="黑体" w:cs="黑体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  <w:t>三</w:t>
      </w:r>
      <w:r>
        <w:rPr>
          <w:rFonts w:hint="eastAsia" w:ascii="黑体" w:hAnsi="黑体" w:eastAsia="黑体" w:cs="黑体"/>
          <w:color w:val="auto"/>
          <w:sz w:val="32"/>
          <w:szCs w:val="32"/>
        </w:rPr>
        <w:t>、其他食品</w:t>
      </w:r>
    </w:p>
    <w:p>
      <w:pPr>
        <w:pStyle w:val="6"/>
        <w:spacing w:line="560" w:lineRule="exact"/>
        <w:ind w:firstLine="640" w:firstLineChars="200"/>
        <w:jc w:val="both"/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</w:pPr>
      <w:r>
        <w:rPr>
          <w:rFonts w:hint="eastAsia" w:ascii="Times New Roman" w:hAnsi="Times New Roman" w:eastAsia="楷体_GB2312" w:cs="Times New Roman"/>
          <w:b w:val="0"/>
          <w:bCs w:val="0"/>
          <w:sz w:val="32"/>
          <w:szCs w:val="32"/>
          <w:lang w:eastAsia="zh-CN"/>
        </w:rPr>
        <w:t>（一）抽检依据</w:t>
      </w:r>
    </w:p>
    <w:p>
      <w:pPr>
        <w:spacing w:line="576" w:lineRule="exact"/>
        <w:ind w:firstLine="707" w:firstLineChars="221"/>
        <w:rPr>
          <w:rFonts w:hint="default" w:ascii="Times New Roman" w:hAnsi="Times New Roman" w:eastAsia="仿宋_GB2312" w:cs="Times New Roman"/>
          <w:szCs w:val="32"/>
        </w:rPr>
      </w:pPr>
      <w:r>
        <w:rPr>
          <w:rFonts w:hint="default" w:ascii="Times New Roman" w:hAnsi="Times New Roman" w:eastAsia="仿宋_GB2312" w:cs="Times New Roman"/>
          <w:szCs w:val="32"/>
        </w:rPr>
        <w:t>抽检依据是GB《食品安全国家标准 预包装食品营养标签通则》（28050-2011），《食品安全国家标准 糕点、面包》（GB 7099-2015），《食品安全国家标准 食品添加剂使用标准》（GB 2760-2014），食品整治办[2009]5号《食品中可能违法添加的非食用物质名单(第二批)》，《食品安全国家标准 预包装食品中致病菌限量》（GB 29921-2021）。</w:t>
      </w:r>
    </w:p>
    <w:p>
      <w:pPr>
        <w:pStyle w:val="6"/>
        <w:spacing w:line="560" w:lineRule="exact"/>
        <w:ind w:firstLine="640" w:firstLineChars="200"/>
        <w:jc w:val="both"/>
        <w:rPr>
          <w:rFonts w:hint="eastAsia" w:ascii="Times New Roman" w:hAnsi="Times New Roman" w:eastAsia="仿宋_GB2312" w:cs="Times New Roman"/>
          <w:b w:val="0"/>
          <w:bCs w:val="0"/>
          <w:color w:val="auto"/>
          <w:szCs w:val="32"/>
          <w:lang w:eastAsia="zh-CN"/>
        </w:rPr>
      </w:pPr>
      <w:r>
        <w:rPr>
          <w:rFonts w:hint="eastAsia" w:ascii="Times New Roman" w:hAnsi="Times New Roman" w:eastAsia="楷体_GB2312" w:cs="Times New Roman"/>
          <w:b w:val="0"/>
          <w:bCs w:val="0"/>
          <w:sz w:val="32"/>
          <w:szCs w:val="32"/>
          <w:lang w:eastAsia="zh-CN"/>
        </w:rPr>
        <w:t>（二）检验项目</w:t>
      </w:r>
    </w:p>
    <w:p>
      <w:pPr>
        <w:pStyle w:val="6"/>
        <w:spacing w:line="576" w:lineRule="exact"/>
        <w:ind w:firstLine="800" w:firstLineChars="250"/>
        <w:jc w:val="both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</w:rPr>
        <w:t>食品馅料抽检项目包括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酸价（以脂肪计）、过氧化值（以脂肪计）、苯甲酸及其钠盐（以苯甲酸计）、山梨酸及其钾盐（以山梨酸计）、铝的残留量（干样品，以Al计）、脱氢乙酸及其钠盐（以脱氢乙酸计）、丙酸及其钠盐、钙盐、营养标签-钠、纳他霉素、富马酸二甲酯、菌落总数、大肠菌群、霉菌、沙门氏菌、金黄色葡萄球菌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</w:rPr>
        <w:t>。</w:t>
      </w:r>
    </w:p>
    <w:p>
      <w:pPr>
        <w:widowControl/>
        <w:ind w:firstLine="640" w:firstLineChars="200"/>
        <w:jc w:val="left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</w:pPr>
    </w:p>
    <w:p>
      <w:pPr>
        <w:pStyle w:val="6"/>
        <w:spacing w:line="576" w:lineRule="exact"/>
        <w:ind w:firstLine="800" w:firstLineChars="250"/>
        <w:jc w:val="both"/>
        <w:rPr>
          <w:rFonts w:hint="eastAsia" w:ascii="仿宋" w:hAnsi="仿宋" w:eastAsia="仿宋" w:cs="方正仿宋简体"/>
          <w:color w:val="auto"/>
          <w:kern w:val="2"/>
          <w:sz w:val="32"/>
          <w:szCs w:val="32"/>
          <w:lang w:val="en-US" w:eastAsia="zh-CN"/>
        </w:rPr>
      </w:pPr>
    </w:p>
    <w:sectPr>
      <w:pgSz w:w="11906" w:h="16838"/>
      <w:pgMar w:top="1984" w:right="1587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S Mincho">
    <w:panose1 w:val="02020609040205080304"/>
    <w:charset w:val="80"/>
    <w:family w:val="auto"/>
    <w:pitch w:val="default"/>
    <w:sig w:usb0="E00002FF" w:usb1="6AC7FDFB" w:usb2="00000012" w:usb3="00000000" w:csb0="4002009F" w:csb1="DFD7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docVars>
    <w:docVar w:name="commondata" w:val="eyJoZGlkIjoiNzVmZDhkMWE0MDE2MGUwNGY4YjZiMzcyNjhiZjJlZDQifQ=="/>
  </w:docVars>
  <w:rsids>
    <w:rsidRoot w:val="29682A2C"/>
    <w:rsid w:val="000030FF"/>
    <w:rsid w:val="0002090F"/>
    <w:rsid w:val="00043E35"/>
    <w:rsid w:val="00047A25"/>
    <w:rsid w:val="00051C80"/>
    <w:rsid w:val="00071F5E"/>
    <w:rsid w:val="000733BD"/>
    <w:rsid w:val="0007456E"/>
    <w:rsid w:val="000836C7"/>
    <w:rsid w:val="00085D5D"/>
    <w:rsid w:val="0009770E"/>
    <w:rsid w:val="000A780E"/>
    <w:rsid w:val="000B3B90"/>
    <w:rsid w:val="000B3CAA"/>
    <w:rsid w:val="000D3020"/>
    <w:rsid w:val="000D7C4A"/>
    <w:rsid w:val="000D7E76"/>
    <w:rsid w:val="000F1608"/>
    <w:rsid w:val="000F2F4D"/>
    <w:rsid w:val="000F47D1"/>
    <w:rsid w:val="000F6B8B"/>
    <w:rsid w:val="00102C1C"/>
    <w:rsid w:val="00143A6B"/>
    <w:rsid w:val="00144686"/>
    <w:rsid w:val="001464BC"/>
    <w:rsid w:val="00147EC8"/>
    <w:rsid w:val="001B5D4B"/>
    <w:rsid w:val="001C3499"/>
    <w:rsid w:val="001D039C"/>
    <w:rsid w:val="001E08FE"/>
    <w:rsid w:val="001E20B9"/>
    <w:rsid w:val="001E3C83"/>
    <w:rsid w:val="00227E9C"/>
    <w:rsid w:val="002466C6"/>
    <w:rsid w:val="0027722D"/>
    <w:rsid w:val="00282419"/>
    <w:rsid w:val="0028441D"/>
    <w:rsid w:val="002B2DBD"/>
    <w:rsid w:val="002B413D"/>
    <w:rsid w:val="002D31DB"/>
    <w:rsid w:val="002E2B1D"/>
    <w:rsid w:val="002E3438"/>
    <w:rsid w:val="002E6F85"/>
    <w:rsid w:val="002F024E"/>
    <w:rsid w:val="002F1CE3"/>
    <w:rsid w:val="00323C65"/>
    <w:rsid w:val="00325761"/>
    <w:rsid w:val="00332DDC"/>
    <w:rsid w:val="00335994"/>
    <w:rsid w:val="00340CCF"/>
    <w:rsid w:val="00347C24"/>
    <w:rsid w:val="0035417C"/>
    <w:rsid w:val="00355589"/>
    <w:rsid w:val="0039090D"/>
    <w:rsid w:val="00390F5E"/>
    <w:rsid w:val="003A6185"/>
    <w:rsid w:val="003B51C7"/>
    <w:rsid w:val="003B79D6"/>
    <w:rsid w:val="003D7628"/>
    <w:rsid w:val="003E1D06"/>
    <w:rsid w:val="003E299A"/>
    <w:rsid w:val="003F6E16"/>
    <w:rsid w:val="003F6F96"/>
    <w:rsid w:val="004002F3"/>
    <w:rsid w:val="004023A3"/>
    <w:rsid w:val="00417EE1"/>
    <w:rsid w:val="00441334"/>
    <w:rsid w:val="004556F0"/>
    <w:rsid w:val="004635FC"/>
    <w:rsid w:val="00473800"/>
    <w:rsid w:val="00473A89"/>
    <w:rsid w:val="00490B44"/>
    <w:rsid w:val="004C73B1"/>
    <w:rsid w:val="004D0741"/>
    <w:rsid w:val="004F560C"/>
    <w:rsid w:val="005011D2"/>
    <w:rsid w:val="00502BF0"/>
    <w:rsid w:val="00513547"/>
    <w:rsid w:val="00514A06"/>
    <w:rsid w:val="00520015"/>
    <w:rsid w:val="0052269E"/>
    <w:rsid w:val="00534EF2"/>
    <w:rsid w:val="00536A49"/>
    <w:rsid w:val="005375D2"/>
    <w:rsid w:val="00560B97"/>
    <w:rsid w:val="005762DE"/>
    <w:rsid w:val="005C1110"/>
    <w:rsid w:val="005D1A39"/>
    <w:rsid w:val="005D25EE"/>
    <w:rsid w:val="005D6D7F"/>
    <w:rsid w:val="00604D42"/>
    <w:rsid w:val="006270D8"/>
    <w:rsid w:val="00631D35"/>
    <w:rsid w:val="0063343A"/>
    <w:rsid w:val="00642DD2"/>
    <w:rsid w:val="00673FB5"/>
    <w:rsid w:val="006747BF"/>
    <w:rsid w:val="00674DC3"/>
    <w:rsid w:val="00682E3C"/>
    <w:rsid w:val="006A097D"/>
    <w:rsid w:val="006A4BA5"/>
    <w:rsid w:val="006C0992"/>
    <w:rsid w:val="006C6494"/>
    <w:rsid w:val="006D0854"/>
    <w:rsid w:val="006F020D"/>
    <w:rsid w:val="007106E0"/>
    <w:rsid w:val="007111A7"/>
    <w:rsid w:val="00711F7D"/>
    <w:rsid w:val="00712556"/>
    <w:rsid w:val="00717A1E"/>
    <w:rsid w:val="00724796"/>
    <w:rsid w:val="00734B46"/>
    <w:rsid w:val="00744F97"/>
    <w:rsid w:val="00751CB7"/>
    <w:rsid w:val="00764758"/>
    <w:rsid w:val="007839B6"/>
    <w:rsid w:val="007950AF"/>
    <w:rsid w:val="007A3E92"/>
    <w:rsid w:val="007D28B9"/>
    <w:rsid w:val="00802210"/>
    <w:rsid w:val="00803ED6"/>
    <w:rsid w:val="0080569C"/>
    <w:rsid w:val="00815560"/>
    <w:rsid w:val="0081630A"/>
    <w:rsid w:val="0081688C"/>
    <w:rsid w:val="008233ED"/>
    <w:rsid w:val="00824609"/>
    <w:rsid w:val="00826DBA"/>
    <w:rsid w:val="00834B6D"/>
    <w:rsid w:val="00835607"/>
    <w:rsid w:val="008411E6"/>
    <w:rsid w:val="0085624A"/>
    <w:rsid w:val="008621C7"/>
    <w:rsid w:val="00866DA1"/>
    <w:rsid w:val="008773E4"/>
    <w:rsid w:val="0089661C"/>
    <w:rsid w:val="008B0CDB"/>
    <w:rsid w:val="008B5745"/>
    <w:rsid w:val="008C0C6A"/>
    <w:rsid w:val="008E5A6F"/>
    <w:rsid w:val="00913315"/>
    <w:rsid w:val="00934E6A"/>
    <w:rsid w:val="009443BC"/>
    <w:rsid w:val="00951077"/>
    <w:rsid w:val="00953B83"/>
    <w:rsid w:val="00955CBE"/>
    <w:rsid w:val="009770AB"/>
    <w:rsid w:val="00981F0C"/>
    <w:rsid w:val="00986F6B"/>
    <w:rsid w:val="00991828"/>
    <w:rsid w:val="00997D04"/>
    <w:rsid w:val="009A6A0E"/>
    <w:rsid w:val="009B579C"/>
    <w:rsid w:val="009E5331"/>
    <w:rsid w:val="009E589D"/>
    <w:rsid w:val="009F30FE"/>
    <w:rsid w:val="00A00312"/>
    <w:rsid w:val="00A1013D"/>
    <w:rsid w:val="00A24B45"/>
    <w:rsid w:val="00A258C3"/>
    <w:rsid w:val="00A43B18"/>
    <w:rsid w:val="00A72F02"/>
    <w:rsid w:val="00A94780"/>
    <w:rsid w:val="00A979DF"/>
    <w:rsid w:val="00AB1746"/>
    <w:rsid w:val="00AE20F4"/>
    <w:rsid w:val="00AE5FF2"/>
    <w:rsid w:val="00B03CF5"/>
    <w:rsid w:val="00B143FC"/>
    <w:rsid w:val="00B2520B"/>
    <w:rsid w:val="00B36DF0"/>
    <w:rsid w:val="00B3779E"/>
    <w:rsid w:val="00B45879"/>
    <w:rsid w:val="00B5415F"/>
    <w:rsid w:val="00B70CBF"/>
    <w:rsid w:val="00B77421"/>
    <w:rsid w:val="00B817B9"/>
    <w:rsid w:val="00B83746"/>
    <w:rsid w:val="00BA7199"/>
    <w:rsid w:val="00BD33D7"/>
    <w:rsid w:val="00BD4E0F"/>
    <w:rsid w:val="00BD6A4C"/>
    <w:rsid w:val="00BE407D"/>
    <w:rsid w:val="00BF1664"/>
    <w:rsid w:val="00BF27F2"/>
    <w:rsid w:val="00C0496A"/>
    <w:rsid w:val="00C17724"/>
    <w:rsid w:val="00C43F36"/>
    <w:rsid w:val="00C520E5"/>
    <w:rsid w:val="00C67CFF"/>
    <w:rsid w:val="00C922A7"/>
    <w:rsid w:val="00C92C58"/>
    <w:rsid w:val="00C97BAB"/>
    <w:rsid w:val="00CB6114"/>
    <w:rsid w:val="00CC19F8"/>
    <w:rsid w:val="00CD20DC"/>
    <w:rsid w:val="00CE2C6C"/>
    <w:rsid w:val="00CE618E"/>
    <w:rsid w:val="00CE6276"/>
    <w:rsid w:val="00D057B5"/>
    <w:rsid w:val="00D05F97"/>
    <w:rsid w:val="00D10F14"/>
    <w:rsid w:val="00D201C7"/>
    <w:rsid w:val="00D21A12"/>
    <w:rsid w:val="00D27789"/>
    <w:rsid w:val="00D3012B"/>
    <w:rsid w:val="00D3549C"/>
    <w:rsid w:val="00D51450"/>
    <w:rsid w:val="00D716D7"/>
    <w:rsid w:val="00D779BF"/>
    <w:rsid w:val="00D822ED"/>
    <w:rsid w:val="00D824D7"/>
    <w:rsid w:val="00D85F2E"/>
    <w:rsid w:val="00DB6E1C"/>
    <w:rsid w:val="00E11422"/>
    <w:rsid w:val="00E549F6"/>
    <w:rsid w:val="00E6021E"/>
    <w:rsid w:val="00E6559A"/>
    <w:rsid w:val="00E66C9B"/>
    <w:rsid w:val="00E81684"/>
    <w:rsid w:val="00E81FF0"/>
    <w:rsid w:val="00E85BFD"/>
    <w:rsid w:val="00E87E42"/>
    <w:rsid w:val="00E93D97"/>
    <w:rsid w:val="00E96853"/>
    <w:rsid w:val="00EA02F5"/>
    <w:rsid w:val="00EE4680"/>
    <w:rsid w:val="00EE6D4E"/>
    <w:rsid w:val="00EF43DF"/>
    <w:rsid w:val="00F06E09"/>
    <w:rsid w:val="00F07B73"/>
    <w:rsid w:val="00F119BC"/>
    <w:rsid w:val="00F16F95"/>
    <w:rsid w:val="00F3303A"/>
    <w:rsid w:val="00F35BBA"/>
    <w:rsid w:val="00F5136C"/>
    <w:rsid w:val="00F52173"/>
    <w:rsid w:val="00F77B94"/>
    <w:rsid w:val="00F91638"/>
    <w:rsid w:val="00F9348F"/>
    <w:rsid w:val="00FB0F80"/>
    <w:rsid w:val="00FB30AC"/>
    <w:rsid w:val="00FB515E"/>
    <w:rsid w:val="00FC61E9"/>
    <w:rsid w:val="00FC630D"/>
    <w:rsid w:val="00FD2767"/>
    <w:rsid w:val="00FD6C8E"/>
    <w:rsid w:val="00FF0FA3"/>
    <w:rsid w:val="021F3AD4"/>
    <w:rsid w:val="024663C0"/>
    <w:rsid w:val="02FF6661"/>
    <w:rsid w:val="069566A3"/>
    <w:rsid w:val="08542CE9"/>
    <w:rsid w:val="0B8D1C6D"/>
    <w:rsid w:val="0C044693"/>
    <w:rsid w:val="0E487FF8"/>
    <w:rsid w:val="114B2234"/>
    <w:rsid w:val="12780F08"/>
    <w:rsid w:val="14847635"/>
    <w:rsid w:val="14F62385"/>
    <w:rsid w:val="178E4361"/>
    <w:rsid w:val="1D346588"/>
    <w:rsid w:val="21DD1FD9"/>
    <w:rsid w:val="247206C0"/>
    <w:rsid w:val="24951350"/>
    <w:rsid w:val="25C05945"/>
    <w:rsid w:val="280B2EC0"/>
    <w:rsid w:val="293B57BB"/>
    <w:rsid w:val="29682A2C"/>
    <w:rsid w:val="2C503C74"/>
    <w:rsid w:val="2FF32F60"/>
    <w:rsid w:val="33320E25"/>
    <w:rsid w:val="3F775E13"/>
    <w:rsid w:val="408F46DB"/>
    <w:rsid w:val="43437568"/>
    <w:rsid w:val="49C849C7"/>
    <w:rsid w:val="4D314C75"/>
    <w:rsid w:val="544B5052"/>
    <w:rsid w:val="58063245"/>
    <w:rsid w:val="58354685"/>
    <w:rsid w:val="5B1914CC"/>
    <w:rsid w:val="5BDF7D47"/>
    <w:rsid w:val="60DE3554"/>
    <w:rsid w:val="648F4E17"/>
    <w:rsid w:val="64C9100F"/>
    <w:rsid w:val="6B7E1120"/>
    <w:rsid w:val="6F446A3B"/>
    <w:rsid w:val="731B48D0"/>
    <w:rsid w:val="774A6739"/>
    <w:rsid w:val="79E2221E"/>
    <w:rsid w:val="7E037C7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semiHidden="0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semiHidden="0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仿宋" w:cs="黑体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6">
    <w:name w:val="Default"/>
    <w:qFormat/>
    <w:uiPriority w:val="0"/>
    <w:pPr>
      <w:widowControl w:val="0"/>
      <w:autoSpaceDE w:val="0"/>
      <w:autoSpaceDN w:val="0"/>
      <w:adjustRightInd w:val="0"/>
    </w:pPr>
    <w:rPr>
      <w:rFonts w:hint="eastAsia" w:ascii="MS Mincho" w:hAnsi="MS Mincho" w:eastAsia="MS Mincho" w:cs="黑体"/>
      <w:color w:val="000000"/>
      <w:sz w:val="24"/>
      <w:szCs w:val="22"/>
      <w:lang w:val="en-US" w:eastAsia="zh-CN" w:bidi="ar-SA"/>
    </w:rPr>
  </w:style>
  <w:style w:type="character" w:customStyle="1" w:styleId="7">
    <w:name w:val="fontstyle01"/>
    <w:basedOn w:val="5"/>
    <w:qFormat/>
    <w:uiPriority w:val="0"/>
    <w:rPr>
      <w:rFonts w:hint="eastAsia" w:ascii="宋体" w:hAnsi="宋体" w:eastAsia="宋体"/>
      <w:color w:val="000000"/>
      <w:sz w:val="22"/>
      <w:szCs w:val="22"/>
    </w:rPr>
  </w:style>
  <w:style w:type="character" w:customStyle="1" w:styleId="8">
    <w:name w:val="页眉 字符"/>
    <w:basedOn w:val="5"/>
    <w:link w:val="3"/>
    <w:qFormat/>
    <w:uiPriority w:val="0"/>
    <w:rPr>
      <w:rFonts w:ascii="Calibri" w:hAnsi="Calibri" w:eastAsia="仿宋" w:cs="黑体"/>
      <w:kern w:val="2"/>
      <w:sz w:val="18"/>
      <w:szCs w:val="18"/>
    </w:rPr>
  </w:style>
  <w:style w:type="character" w:customStyle="1" w:styleId="9">
    <w:name w:val="页脚 字符"/>
    <w:basedOn w:val="5"/>
    <w:link w:val="2"/>
    <w:qFormat/>
    <w:uiPriority w:val="0"/>
    <w:rPr>
      <w:rFonts w:ascii="Calibri" w:hAnsi="Calibri" w:eastAsia="仿宋" w:cs="黑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2</Pages>
  <Words>109</Words>
  <Characters>625</Characters>
  <Lines>5</Lines>
  <Paragraphs>1</Paragraphs>
  <TotalTime>4</TotalTime>
  <ScaleCrop>false</ScaleCrop>
  <LinksUpToDate>false</LinksUpToDate>
  <CharactersWithSpaces>0</CharactersWithSpaces>
  <Application>WPS Office_11.8.6.10973_F1E327BC-269C-435d-A152-05C5408002CA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2022-08-30T05:02:00Z</dcterms:created>
  <dc:creator>LEO1407491859</dc:creator>
  <cp:lastModifiedBy>苏童</cp:lastModifiedBy>
  <dcterms:modified xsi:type="dcterms:W3CDTF">2022-09-05T00:52:48Z</dcterms:modified>
  <dc:title>附件1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2052-11.8.6.10973</vt:lpwstr>
  </property>
  <property fmtid="{D5CDD505-2E9C-101B-9397-08002B2CF9AE}" pid="3" name="ICV">
    <vt:lpwstr>4BA04BCE88934FE489640FDC9E3D4F34</vt:lpwstr>
  </property>
</Properties>
</file>