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准 饼干》（GB 7100-2015）、《食品安全国家标准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其它炒货食品及坚果制品抽检项目包括酸价（以脂肪计）、过氧化值（以脂肪计）、铅（以Pb计）、黄曲霉毒素B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、糖精钠（以糖精计）、甜蜜素（以环己基氨基磺酸计）、大肠菌群、霉菌、苯甲酸及其钠盐（以苯甲酸计）、山梨酸及其钾盐（以山梨酸计）、脱氢乙酸及其钠盐（以脱氢乙酸计）。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1.再制蛋抽检项目包括铅（以Pb计）、苯甲酸及其钠盐（以苯甲酸计）、山梨酸及其钾盐（以山梨酸计）。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2.冰蛋类抽检项目包括苯甲酸及其钠盐（以苯甲酸计）、山梨酸及其钾盐（以山梨酸计）。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3.其他类抽检项目包括铅（以Pb计）。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1.粉丝粉条抽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检项目包括铅（以Pb计）、铝的残留量（干样品，以Al计）、二氧化硫残留量、苯甲酸及其钠盐（以苯甲酸计）、山梨酸及其钾盐（以山梨酸计）。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其他淀粉制品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检项目包括苯甲酸及其钠盐 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1.腐竹、油皮及其再制品抽检项目包括铅（以Pb计）、苯甲酸及其钠盐（以苯甲酸计）、山梨酸及其钾盐（以山梨酸计）、脱氢乙酸及其钠盐（以脱氢乙酸计）、铝的残留量（干样品，以Al计）。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2.大豆蛋白类制品等抽检项目包括苯甲酸及其钠盐（以苯甲酸计）、山梨酸及其钾盐（以山梨酸计）、脱氢乙酸及其钠盐（以脱氢乙酸计）。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抽检依据是《啤酒》（GB/T 4927-2008）、《食品安全国家标准 发酵酒及其配制酒》（GB 2758-2012）、《露酒》（GB/T 27588-2011）、《食品安全国家标准 蒸馏酒及其配制酒》（GB 2757-2012）、《食品安全国家标准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1.啤酒抽检项目包括酒精度、原麦汁浓度、甲醛。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2.以蒸馏酒及食用酒精为酒基的配制酒抽检项目包括酒精度、甲醇、甜蜜素（以环己基氨基磺酸计）、氰化物(以 HCN) 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冷冻饮品和制作料》（GB 2759-2015）、《食品安全国家标准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冰淇淋、雪糕、雪泥、冰棍、食用冰、甜味冰、其他类抽检项目包括蛋白质、甜蜜素(以环己基氨基磺酸计)、糖精钠(以糖精计)、阿斯巴甜、菌落总数、大肠菌群、沙门氏菌、单核细胞增生李斯特氏菌。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糕点、面包》（GB 7099-2015）、《食品安全国家标准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1.大米抽检项目包括铅（以Pb计）、镉（以Cd计）、黄曲霉毒素B1。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2.发酵面制品抽检项目包括苯甲酸及其钠盐（以苯甲酸计）、山梨酸及其钾盐（以山梨酸计）、脱氢乙酸及其钠盐（以脱氢乙酸计）、糖精钠（以糖精计）、菌落总数、大肠菌群。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3.其他谷物粉类制成品抽检项目包括苯甲酸及其钠盐（以苯甲酸计）、山梨酸及其钾盐（以山梨酸计）、脱氢乙酸及其钠盐（以脱氢乙酸计）。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4.其他谷物碾磨加工品抽检项目包括铅（以Pb计）、铬（以Cr计）。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号《食品中可能违法添加的非食用物质和易滥用的食品添加剂品种名单（第一批）》、《食品安全国家标准 熟肉制品》（GB 2726-2016）、《食品安全国家标准 散装即食食品中致病菌限量》（GB 31607-2021）、《食品安全国家标准 腌腊肉制品》（GB 2730-2015）。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氯霉素、酸性橙II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2.腌腊肉制品抽检项目包括过氧化值（以脂肪计）、总砷（以As计）、亚硝酸盐(以亚硝酸钠计)、苯甲酸及其钠盐(以苯甲酸计)、山梨酸及其钾盐(以山梨酸计)、胭脂红、氯霉素。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发酵乳》（GB 19302-2010），卫生部、工业和信息化部、农业部、工商总局、质检总局公告 2011年第10 号《关于三聚氰胺在食品中的限量值的公告》，《食品安全国家标准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发酵乳抽检项目包括蛋白质、酸度、脂肪、乳酸菌数、山梨酸及其钾盐（以山梨酸计）、三聚氰胺、金黄色葡萄球菌、沙门氏菌、大肠菌群、酵母、霉菌。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十二 、食品添加剂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复配食品添加剂通则》（GB 26687-2011）、《食品安全国家标准 食品用香精》（GB 30616-2020）。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1.复配食品添加剂抽检项目包括铅( Pb)、砷（以As计）。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2.食品用香精抽检项目包括砷（以As计）。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十三、食用油、油脂及其制品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抽检依据是《花生油》（GB/T 1534-2017）、《大豆油》（GB/T 1535-2017）、《食品安全国家标准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2716-2018）、《食品安全国家标准 食用油脂制品》（GB 15196-2015）。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1.食用油脂制品抽检项目包括酸价（以脂肪计）、过氧化值（以脂肪计）。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2.菜籽油抽检项目包括酸价（KOH）、过氧化值、铅（以Pb计）、苯并[a]芘、溶剂残留量、特丁基对苯二酚（TBHQ）、乙基麦芽酚。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3.大豆油抽检项目包括酸价、过氧化值、苯并[a]芘、溶剂残留量、特丁基对苯二酚（TBHQ）。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4.花生油抽检项目包括酸价、过氧化值、黄曲霉毒素B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5.食用植物调和油抽检项目包括酸价、过氧化值、苯并[a]芘、溶剂残留量、特丁基对苯二酚（TBHQ）、乙基麦芽酚。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十四、蔬菜制品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食品添加剂使用标准》（GB 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酱腌菜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抽检项目包括铅（以Pb计）、亚硝酸盐、苯甲酸及其钠盐（以苯甲酸计）、山梨酸及其钾盐（以山梨酸计）、脱氢乙酸及其钠盐（以脱氢乙酸计）、糖精钠（以糖精计）、甜蜜素（以环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基氨基磺酸计）、阿斯巴甜。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十五、薯类和膨化食品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十六、水果制品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2762-2017）、《荔枝干》（NY/T 209-2002）。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水果干制品(含干枸杞) 抽检项目包括铅（以Pb计）、山梨酸及其钾盐（以山梨酸计）、糖精钠（以糖精计）、菌落总数、大肠菌群、霉菌。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十七、速冻食品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速冻面米与调制食品》（GB 19295-2021）、《食品安全国家标准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1.速冻面米生制品食品抽检项目包括铅（以Pb计）、过氧化值（以脂肪计）、糖精钠（以糖精计）。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2.速冻面米熟制品食品抽检项目包括过氧化值（以脂肪计）、糖精钠（以糖精计）。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3.速冻调理肉制品食品抽检项目包括过氧化值（以脂肪计）、铅（以Pb计）、铬（以Cr计）、氯霉素、胭脂红。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十八、糖果制品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糖果抽检项目包括铅（以Pb计）、糖精钠（以糖精计）、合成着色剂、菌落总数、大肠菌群。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十九、调味品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其他固体调味料抽检项目包括铅（以Pb计）、总砷（以As计）、苏丹红I-IV、苯甲酸及其钠盐（以苯甲酸计）、山梨酸及其钾盐（以山梨酸计）、脱氢乙酸及其钠盐（以脱氢乙酸计）、糖精钠（以糖精计）、甜蜜素（以环己基氨基磺酸计）、阿斯巴甜、罂粟碱、吗啡、可待因、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半固体调味料抽检项目包括罗丹明B、苯甲酸及其钠盐（以苯甲酸计）、山梨酸及其钾盐（以山梨酸计）、脱氢乙酸及其钠盐（以脱氢乙酸计）、甜蜜素（以环己基氨基磺酸计）、罂粟碱、吗啡、可待因、那可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二十、饮料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包装饮用水》（GB 19298-2014）、《食品安全国家标准 饮用天然矿泉水》（GB 8537-2018）、《食品安全国家标准 饮料》（GB 7101-2015）、《茶饮料》（GB/T 21733-2008）、《含乳饮料》（GB/T 21732-2008）、《食品安全国家标准 食品添加剂使用标准》（GB 2760-2014）、《食品安全国家标准 预包装食品中致病菌限量》（GB 29921-2021）、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卫生部、工业和信息化部、农业部、工商总局、质检总局公告 2011年第10 号《关于三聚氰胺在食品中的限量值的公告》。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1.饮用纯净水抽检项目包括余氯(游离氯)、阴离子合成洗涤剂、溴酸盐、三氯甲烷、耗氧量、大肠菌群、亚硝酸盐(以NO₂⁻计)、铜绿假单胞菌。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2.饮用天然矿泉水抽检项目包括界限指标-偏硅酸、镍、锑、溴酸盐、亚硝酸盐(以NO₂⁻计)、硝酸盐(以NO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⁻计)、大肠菌群、铜绿假单胞菌。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3.其他类饮用水抽检项目包括余氯(游离氯)、溴酸盐、三氯甲烷、耗氧量、大肠菌群、亚硝酸盐(以NO₂⁻计)、铜绿假单胞菌、阴离子合成洗涤剂。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4.茶饮料抽检项目包括脱氢乙酸及其钠盐（以脱氢乙酸计）、茶多酚、咖啡因、菌落总数。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5.蛋白饮料抽检项目包括蛋白质、脱氢乙酸及其钠盐（以脱氢乙酸计）、三聚氰胺、菌落总数、大肠菌群、沙门氏菌。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6.果蔬汁类及其饮料抽检项目包括铅（以Pb计）、苯甲酸及其钠盐（以苯甲酸计）、山梨酸及其钾盐（以山梨酸计）、脱氢乙酸及其钠盐（以脱氢乙酸计）、糖精钠（以糖精计）、安赛蜜、甜蜜素（以环已基氨基磺酸计）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7.固体饮料抽检项目包括铅（以Pb计）、苯甲酸及其钠盐（以苯甲酸计）、山梨酸及其钾盐（以山梨酸计）、糖精钠（以糖精计）、合成着色剂（苋菜红、胭脂红、柠檬黄、日落黄、亮蓝）、菌落总数、大肠菌群、霉菌。</w:t>
      </w:r>
    </w:p>
    <w:p>
      <w:pPr>
        <w:pStyle w:val="6"/>
        <w:spacing w:line="560" w:lineRule="exact"/>
        <w:ind w:firstLine="800" w:firstLineChars="25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1C80"/>
    <w:rsid w:val="00071F5E"/>
    <w:rsid w:val="000733BD"/>
    <w:rsid w:val="0007456E"/>
    <w:rsid w:val="000836C7"/>
    <w:rsid w:val="00085D5D"/>
    <w:rsid w:val="0009770E"/>
    <w:rsid w:val="000A780E"/>
    <w:rsid w:val="000B3B90"/>
    <w:rsid w:val="000B3CAA"/>
    <w:rsid w:val="000D3020"/>
    <w:rsid w:val="000D7C4A"/>
    <w:rsid w:val="000D7E76"/>
    <w:rsid w:val="000F1608"/>
    <w:rsid w:val="000F2F4D"/>
    <w:rsid w:val="000F47D1"/>
    <w:rsid w:val="000F6B8B"/>
    <w:rsid w:val="00102C1C"/>
    <w:rsid w:val="00143A6B"/>
    <w:rsid w:val="00144686"/>
    <w:rsid w:val="001464BC"/>
    <w:rsid w:val="00147EC8"/>
    <w:rsid w:val="001B5D4B"/>
    <w:rsid w:val="001C3499"/>
    <w:rsid w:val="001D039C"/>
    <w:rsid w:val="001E08FE"/>
    <w:rsid w:val="001E20B9"/>
    <w:rsid w:val="001E3C83"/>
    <w:rsid w:val="00227E9C"/>
    <w:rsid w:val="002466C6"/>
    <w:rsid w:val="0027722D"/>
    <w:rsid w:val="00282419"/>
    <w:rsid w:val="0028441D"/>
    <w:rsid w:val="002B2DBD"/>
    <w:rsid w:val="002B413D"/>
    <w:rsid w:val="002D31DB"/>
    <w:rsid w:val="002E2B1D"/>
    <w:rsid w:val="002E3438"/>
    <w:rsid w:val="002E6F85"/>
    <w:rsid w:val="002F024E"/>
    <w:rsid w:val="002F1CE3"/>
    <w:rsid w:val="00323C65"/>
    <w:rsid w:val="00325761"/>
    <w:rsid w:val="00332DDC"/>
    <w:rsid w:val="00335994"/>
    <w:rsid w:val="00340CCF"/>
    <w:rsid w:val="0035417C"/>
    <w:rsid w:val="00355589"/>
    <w:rsid w:val="00390F5E"/>
    <w:rsid w:val="003A6185"/>
    <w:rsid w:val="003B51C7"/>
    <w:rsid w:val="003B79D6"/>
    <w:rsid w:val="003D7628"/>
    <w:rsid w:val="003E1D06"/>
    <w:rsid w:val="003E299A"/>
    <w:rsid w:val="003F6E16"/>
    <w:rsid w:val="003F6F96"/>
    <w:rsid w:val="004002F3"/>
    <w:rsid w:val="004023A3"/>
    <w:rsid w:val="00417EE1"/>
    <w:rsid w:val="00441334"/>
    <w:rsid w:val="004556F0"/>
    <w:rsid w:val="004635FC"/>
    <w:rsid w:val="00473800"/>
    <w:rsid w:val="00473A89"/>
    <w:rsid w:val="00490B44"/>
    <w:rsid w:val="004C73B1"/>
    <w:rsid w:val="004D0741"/>
    <w:rsid w:val="004F560C"/>
    <w:rsid w:val="005011D2"/>
    <w:rsid w:val="00502BF0"/>
    <w:rsid w:val="00513547"/>
    <w:rsid w:val="00514A06"/>
    <w:rsid w:val="00520015"/>
    <w:rsid w:val="0052269E"/>
    <w:rsid w:val="00534EF2"/>
    <w:rsid w:val="00536A49"/>
    <w:rsid w:val="005375D2"/>
    <w:rsid w:val="00560B97"/>
    <w:rsid w:val="005762DE"/>
    <w:rsid w:val="005C1110"/>
    <w:rsid w:val="005D1A39"/>
    <w:rsid w:val="005D25EE"/>
    <w:rsid w:val="005D6D7F"/>
    <w:rsid w:val="00604D42"/>
    <w:rsid w:val="006270D8"/>
    <w:rsid w:val="0063343A"/>
    <w:rsid w:val="00642DD2"/>
    <w:rsid w:val="00673FB5"/>
    <w:rsid w:val="006747BF"/>
    <w:rsid w:val="00674DC3"/>
    <w:rsid w:val="00682E3C"/>
    <w:rsid w:val="006A097D"/>
    <w:rsid w:val="006A4BA5"/>
    <w:rsid w:val="006C0992"/>
    <w:rsid w:val="006C6494"/>
    <w:rsid w:val="006D0854"/>
    <w:rsid w:val="006F020D"/>
    <w:rsid w:val="007106E0"/>
    <w:rsid w:val="007111A7"/>
    <w:rsid w:val="00711F7D"/>
    <w:rsid w:val="00712556"/>
    <w:rsid w:val="00717A1E"/>
    <w:rsid w:val="00724796"/>
    <w:rsid w:val="00734B46"/>
    <w:rsid w:val="00744F97"/>
    <w:rsid w:val="00751CB7"/>
    <w:rsid w:val="00764758"/>
    <w:rsid w:val="007950AF"/>
    <w:rsid w:val="007A3E92"/>
    <w:rsid w:val="00802210"/>
    <w:rsid w:val="00803ED6"/>
    <w:rsid w:val="0080569C"/>
    <w:rsid w:val="00815560"/>
    <w:rsid w:val="0081630A"/>
    <w:rsid w:val="0081688C"/>
    <w:rsid w:val="008233ED"/>
    <w:rsid w:val="00824609"/>
    <w:rsid w:val="00826DBA"/>
    <w:rsid w:val="00834B6D"/>
    <w:rsid w:val="00835607"/>
    <w:rsid w:val="008411E6"/>
    <w:rsid w:val="0085624A"/>
    <w:rsid w:val="008621C7"/>
    <w:rsid w:val="00866DA1"/>
    <w:rsid w:val="008773E4"/>
    <w:rsid w:val="0089661C"/>
    <w:rsid w:val="008B0CDB"/>
    <w:rsid w:val="008B5745"/>
    <w:rsid w:val="008C0C6A"/>
    <w:rsid w:val="008E5A6F"/>
    <w:rsid w:val="00913315"/>
    <w:rsid w:val="00934E6A"/>
    <w:rsid w:val="009443BC"/>
    <w:rsid w:val="00951077"/>
    <w:rsid w:val="00953B83"/>
    <w:rsid w:val="00955CBE"/>
    <w:rsid w:val="009770AB"/>
    <w:rsid w:val="00981F0C"/>
    <w:rsid w:val="00986F6B"/>
    <w:rsid w:val="00991828"/>
    <w:rsid w:val="00997D04"/>
    <w:rsid w:val="009A6A0E"/>
    <w:rsid w:val="009B579C"/>
    <w:rsid w:val="009E5331"/>
    <w:rsid w:val="009E589D"/>
    <w:rsid w:val="00A00312"/>
    <w:rsid w:val="00A1013D"/>
    <w:rsid w:val="00A24B45"/>
    <w:rsid w:val="00A258C3"/>
    <w:rsid w:val="00A43B18"/>
    <w:rsid w:val="00A72F02"/>
    <w:rsid w:val="00A94780"/>
    <w:rsid w:val="00A979DF"/>
    <w:rsid w:val="00AB1746"/>
    <w:rsid w:val="00AE20F4"/>
    <w:rsid w:val="00AE5FF2"/>
    <w:rsid w:val="00B03CF5"/>
    <w:rsid w:val="00B143FC"/>
    <w:rsid w:val="00B2520B"/>
    <w:rsid w:val="00B36DF0"/>
    <w:rsid w:val="00B3779E"/>
    <w:rsid w:val="00B5415F"/>
    <w:rsid w:val="00B70CBF"/>
    <w:rsid w:val="00B77421"/>
    <w:rsid w:val="00B817B9"/>
    <w:rsid w:val="00B83746"/>
    <w:rsid w:val="00BD33D7"/>
    <w:rsid w:val="00BD4E0F"/>
    <w:rsid w:val="00BD6A4C"/>
    <w:rsid w:val="00BE407D"/>
    <w:rsid w:val="00BF1664"/>
    <w:rsid w:val="00BF27F2"/>
    <w:rsid w:val="00C0496A"/>
    <w:rsid w:val="00C17724"/>
    <w:rsid w:val="00C43F36"/>
    <w:rsid w:val="00C67CFF"/>
    <w:rsid w:val="00C922A7"/>
    <w:rsid w:val="00C92C58"/>
    <w:rsid w:val="00C97BAB"/>
    <w:rsid w:val="00CB6114"/>
    <w:rsid w:val="00CC19F8"/>
    <w:rsid w:val="00CD20DC"/>
    <w:rsid w:val="00CE2C6C"/>
    <w:rsid w:val="00CE618E"/>
    <w:rsid w:val="00CE6276"/>
    <w:rsid w:val="00D057B5"/>
    <w:rsid w:val="00D05F97"/>
    <w:rsid w:val="00D10F14"/>
    <w:rsid w:val="00D201C7"/>
    <w:rsid w:val="00D21A12"/>
    <w:rsid w:val="00D27789"/>
    <w:rsid w:val="00D3012B"/>
    <w:rsid w:val="00D3549C"/>
    <w:rsid w:val="00D51450"/>
    <w:rsid w:val="00D716D7"/>
    <w:rsid w:val="00D779BF"/>
    <w:rsid w:val="00D822ED"/>
    <w:rsid w:val="00D824D7"/>
    <w:rsid w:val="00D85F2E"/>
    <w:rsid w:val="00E11422"/>
    <w:rsid w:val="00E549F6"/>
    <w:rsid w:val="00E6021E"/>
    <w:rsid w:val="00E6559A"/>
    <w:rsid w:val="00E66C9B"/>
    <w:rsid w:val="00E81684"/>
    <w:rsid w:val="00E81FF0"/>
    <w:rsid w:val="00E85BFD"/>
    <w:rsid w:val="00E87E42"/>
    <w:rsid w:val="00E93D97"/>
    <w:rsid w:val="00E96853"/>
    <w:rsid w:val="00EA02F5"/>
    <w:rsid w:val="00EE4680"/>
    <w:rsid w:val="00EE6D4E"/>
    <w:rsid w:val="00EF43DF"/>
    <w:rsid w:val="00F06E09"/>
    <w:rsid w:val="00F07B73"/>
    <w:rsid w:val="00F119BC"/>
    <w:rsid w:val="00F16F95"/>
    <w:rsid w:val="00F3303A"/>
    <w:rsid w:val="00F35BBA"/>
    <w:rsid w:val="00F5136C"/>
    <w:rsid w:val="00F52173"/>
    <w:rsid w:val="00F77B94"/>
    <w:rsid w:val="00F91638"/>
    <w:rsid w:val="00F9348F"/>
    <w:rsid w:val="00FB0F80"/>
    <w:rsid w:val="00FB30AC"/>
    <w:rsid w:val="00FB515E"/>
    <w:rsid w:val="00FC61E9"/>
    <w:rsid w:val="00FC630D"/>
    <w:rsid w:val="00FD6C8E"/>
    <w:rsid w:val="00FF0FA3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25C05945"/>
    <w:rsid w:val="279D4576"/>
    <w:rsid w:val="280B2EC0"/>
    <w:rsid w:val="293B57BB"/>
    <w:rsid w:val="29682A2C"/>
    <w:rsid w:val="2C503C74"/>
    <w:rsid w:val="2FF32F60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B7E1120"/>
    <w:rsid w:val="6F446A3B"/>
    <w:rsid w:val="760C7CA1"/>
    <w:rsid w:val="774A6739"/>
    <w:rsid w:val="79E2221E"/>
    <w:rsid w:val="7C992631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5D616A-0830-448C-851E-311A05173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923</Words>
  <Characters>5267</Characters>
  <Lines>43</Lines>
  <Paragraphs>12</Paragraphs>
  <TotalTime>233</TotalTime>
  <ScaleCrop>false</ScaleCrop>
  <LinksUpToDate>false</LinksUpToDate>
  <CharactersWithSpaces>6178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2022-05-17T03:41:00Z</dcterms:created>
  <dc:creator>LEO1407491859</dc:creator>
  <cp:lastModifiedBy>苏童</cp:lastModifiedBy>
  <dcterms:modified xsi:type="dcterms:W3CDTF">2022-08-24T09:48:02Z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