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49" w:rsidRDefault="00F60649" w:rsidP="00F60649">
      <w:pPr>
        <w:jc w:val="left"/>
        <w:rPr>
          <w:rFonts w:ascii="黑体" w:eastAsia="黑体" w:hAnsi="黑体" w:cs="黑体"/>
          <w:sz w:val="44"/>
          <w:szCs w:val="44"/>
        </w:rPr>
      </w:pPr>
      <w:r>
        <w:rPr>
          <w:rFonts w:ascii="黑体" w:eastAsia="黑体" w:hAnsi="黑体" w:cs="黑体" w:hint="eastAsia"/>
          <w:sz w:val="44"/>
          <w:szCs w:val="44"/>
        </w:rPr>
        <w:t>附件2</w:t>
      </w:r>
    </w:p>
    <w:p w:rsidR="00F60649" w:rsidRDefault="00F60649" w:rsidP="00F60649">
      <w:pPr>
        <w:jc w:val="center"/>
        <w:rPr>
          <w:rFonts w:ascii="黑体" w:eastAsia="黑体" w:hAnsi="黑体" w:cs="黑体" w:hint="eastAsia"/>
          <w:sz w:val="44"/>
          <w:szCs w:val="44"/>
        </w:rPr>
      </w:pPr>
      <w:r>
        <w:rPr>
          <w:rFonts w:ascii="黑体" w:eastAsia="黑体" w:hAnsi="黑体" w:cs="黑体" w:hint="eastAsia"/>
          <w:sz w:val="44"/>
          <w:szCs w:val="44"/>
        </w:rPr>
        <w:t>《惠州市市直机关事业单位编外人员管理办法》网上公示</w:t>
      </w:r>
    </w:p>
    <w:p w:rsidR="00F60649" w:rsidRDefault="00F60649" w:rsidP="00F60649">
      <w:pPr>
        <w:jc w:val="center"/>
        <w:rPr>
          <w:rFonts w:ascii="黑体" w:eastAsia="黑体" w:hAnsi="黑体" w:cs="黑体" w:hint="eastAsia"/>
          <w:sz w:val="44"/>
          <w:szCs w:val="44"/>
        </w:rPr>
      </w:pPr>
      <w:r>
        <w:rPr>
          <w:rFonts w:ascii="黑体" w:eastAsia="黑体" w:hAnsi="黑体" w:cs="黑体" w:hint="eastAsia"/>
          <w:sz w:val="44"/>
          <w:szCs w:val="44"/>
        </w:rPr>
        <w:t>意见征集及采纳情况统计表</w:t>
      </w:r>
    </w:p>
    <w:tbl>
      <w:tblPr>
        <w:tblStyle w:val="a4"/>
        <w:tblW w:w="4984" w:type="pct"/>
        <w:tblInd w:w="0" w:type="dxa"/>
        <w:tblLook w:val="0000"/>
      </w:tblPr>
      <w:tblGrid>
        <w:gridCol w:w="758"/>
        <w:gridCol w:w="2030"/>
        <w:gridCol w:w="5636"/>
        <w:gridCol w:w="1119"/>
        <w:gridCol w:w="3470"/>
        <w:gridCol w:w="1116"/>
      </w:tblGrid>
      <w:tr w:rsidR="00F60649" w:rsidTr="0061610D">
        <w:trPr>
          <w:trHeight w:val="1058"/>
        </w:trPr>
        <w:tc>
          <w:tcPr>
            <w:tcW w:w="268" w:type="pct"/>
            <w:vAlign w:val="center"/>
          </w:tcPr>
          <w:p w:rsidR="00F60649" w:rsidRDefault="00F60649"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序号</w:t>
            </w:r>
          </w:p>
        </w:tc>
        <w:tc>
          <w:tcPr>
            <w:tcW w:w="718" w:type="pct"/>
            <w:vAlign w:val="center"/>
          </w:tcPr>
          <w:p w:rsidR="00F60649" w:rsidRDefault="00F60649" w:rsidP="0061610D">
            <w:pPr>
              <w:spacing w:line="360" w:lineRule="exact"/>
              <w:jc w:val="center"/>
              <w:rPr>
                <w:rFonts w:ascii="黑体" w:eastAsia="黑体" w:hAnsi="黑体" w:cs="黑体"/>
                <w:sz w:val="28"/>
                <w:szCs w:val="28"/>
              </w:rPr>
            </w:pPr>
            <w:r>
              <w:rPr>
                <w:rFonts w:ascii="黑体" w:eastAsia="黑体" w:hAnsi="黑体" w:cs="黑体" w:hint="eastAsia"/>
                <w:sz w:val="28"/>
                <w:szCs w:val="28"/>
              </w:rPr>
              <w:t>网上用户名/IP地址</w:t>
            </w:r>
          </w:p>
        </w:tc>
        <w:tc>
          <w:tcPr>
            <w:tcW w:w="1993" w:type="pct"/>
            <w:vAlign w:val="center"/>
          </w:tcPr>
          <w:p w:rsidR="00F60649" w:rsidRDefault="00F60649"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意见内容</w:t>
            </w:r>
          </w:p>
        </w:tc>
        <w:tc>
          <w:tcPr>
            <w:tcW w:w="396" w:type="pct"/>
            <w:vAlign w:val="center"/>
          </w:tcPr>
          <w:p w:rsidR="00F60649" w:rsidRDefault="00F60649"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采纳</w:t>
            </w:r>
          </w:p>
          <w:p w:rsidR="00F60649" w:rsidRDefault="00F60649"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情况</w:t>
            </w:r>
          </w:p>
        </w:tc>
        <w:tc>
          <w:tcPr>
            <w:tcW w:w="1227" w:type="pct"/>
            <w:vAlign w:val="center"/>
          </w:tcPr>
          <w:p w:rsidR="00F60649" w:rsidRDefault="00F60649" w:rsidP="0061610D">
            <w:pPr>
              <w:spacing w:line="360" w:lineRule="exact"/>
              <w:rPr>
                <w:rFonts w:ascii="黑体" w:eastAsia="黑体" w:hAnsi="黑体" w:cs="黑体" w:hint="eastAsia"/>
                <w:sz w:val="28"/>
                <w:szCs w:val="28"/>
              </w:rPr>
            </w:pPr>
            <w:r>
              <w:rPr>
                <w:rFonts w:ascii="黑体" w:eastAsia="黑体" w:hAnsi="黑体" w:cs="黑体" w:hint="eastAsia"/>
                <w:sz w:val="28"/>
                <w:szCs w:val="28"/>
              </w:rPr>
              <w:t>采纳/未采纳理由</w:t>
            </w:r>
          </w:p>
        </w:tc>
        <w:tc>
          <w:tcPr>
            <w:tcW w:w="395" w:type="pct"/>
            <w:vAlign w:val="center"/>
          </w:tcPr>
          <w:p w:rsidR="00F60649" w:rsidRDefault="00F60649" w:rsidP="0061610D">
            <w:pPr>
              <w:spacing w:line="360" w:lineRule="exact"/>
              <w:jc w:val="center"/>
              <w:rPr>
                <w:rFonts w:ascii="黑体" w:eastAsia="黑体" w:hAnsi="黑体" w:cs="黑体" w:hint="eastAsia"/>
                <w:sz w:val="28"/>
                <w:szCs w:val="28"/>
              </w:rPr>
            </w:pPr>
            <w:r>
              <w:rPr>
                <w:rFonts w:ascii="黑体" w:eastAsia="黑体" w:hAnsi="黑体" w:cs="黑体" w:hint="eastAsia"/>
                <w:sz w:val="28"/>
                <w:szCs w:val="28"/>
              </w:rPr>
              <w:t>备注</w:t>
            </w:r>
          </w:p>
        </w:tc>
      </w:tr>
      <w:tr w:rsidR="00F60649" w:rsidTr="0061610D">
        <w:trPr>
          <w:trHeight w:val="3150"/>
        </w:trPr>
        <w:tc>
          <w:tcPr>
            <w:tcW w:w="268" w:type="pct"/>
            <w:vAlign w:val="center"/>
          </w:tcPr>
          <w:p w:rsidR="00F60649" w:rsidRDefault="00F60649"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t>1</w:t>
            </w:r>
          </w:p>
        </w:tc>
        <w:tc>
          <w:tcPr>
            <w:tcW w:w="718" w:type="pct"/>
            <w:vAlign w:val="center"/>
          </w:tcPr>
          <w:p w:rsidR="00F60649" w:rsidRDefault="00F60649" w:rsidP="00F60649">
            <w:pPr>
              <w:widowControl/>
              <w:jc w:val="left"/>
              <w:textAlignment w:val="center"/>
              <w:rPr>
                <w:rFonts w:ascii="仿宋" w:eastAsia="仿宋" w:hAnsi="仿宋" w:cs="仿宋" w:hint="eastAsia"/>
                <w:sz w:val="24"/>
              </w:rPr>
            </w:pPr>
            <w:r>
              <w:rPr>
                <w:rFonts w:ascii="仿宋" w:eastAsia="仿宋" w:hAnsi="仿宋" w:cs="仿宋" w:hint="eastAsia"/>
                <w:color w:val="000000"/>
                <w:sz w:val="24"/>
                <w:lang/>
              </w:rPr>
              <w:t>121.*.*.98</w:t>
            </w:r>
          </w:p>
        </w:tc>
        <w:tc>
          <w:tcPr>
            <w:tcW w:w="1993" w:type="pct"/>
            <w:vAlign w:val="center"/>
          </w:tcPr>
          <w:p w:rsidR="00F60649" w:rsidRDefault="00F60649" w:rsidP="0061610D">
            <w:pPr>
              <w:widowControl/>
              <w:jc w:val="left"/>
              <w:textAlignment w:val="center"/>
              <w:rPr>
                <w:rFonts w:ascii="仿宋" w:eastAsia="仿宋" w:hAnsi="仿宋" w:cs="仿宋" w:hint="eastAsia"/>
                <w:sz w:val="24"/>
              </w:rPr>
            </w:pPr>
            <w:r>
              <w:rPr>
                <w:rFonts w:ascii="仿宋" w:eastAsia="仿宋" w:hAnsi="仿宋" w:cs="仿宋" w:hint="eastAsia"/>
                <w:color w:val="000000"/>
                <w:sz w:val="24"/>
                <w:lang/>
              </w:rPr>
              <w:t>建议第二十五条参照机关事业单位工资增长机制“2年调一档，5年晋升一级”。这样才能起到激励作用、稳定队伍，要不，干到退休也套不到6挡。</w:t>
            </w:r>
          </w:p>
        </w:tc>
        <w:tc>
          <w:tcPr>
            <w:tcW w:w="396" w:type="pct"/>
            <w:vAlign w:val="center"/>
          </w:tcPr>
          <w:p w:rsidR="00F60649" w:rsidRDefault="00F60649" w:rsidP="0061610D">
            <w:pPr>
              <w:spacing w:line="360" w:lineRule="exact"/>
              <w:jc w:val="center"/>
              <w:rPr>
                <w:rFonts w:ascii="仿宋" w:eastAsia="仿宋" w:hAnsi="仿宋" w:cs="仿宋" w:hint="eastAsia"/>
                <w:sz w:val="24"/>
              </w:rPr>
            </w:pPr>
            <w:r>
              <w:rPr>
                <w:rFonts w:ascii="仿宋" w:eastAsia="仿宋" w:hAnsi="仿宋" w:cs="仿宋" w:hint="eastAsia"/>
                <w:sz w:val="24"/>
              </w:rPr>
              <w:t>不采纳</w:t>
            </w:r>
          </w:p>
        </w:tc>
        <w:tc>
          <w:tcPr>
            <w:tcW w:w="1227" w:type="pct"/>
            <w:vAlign w:val="center"/>
          </w:tcPr>
          <w:p w:rsidR="00F60649" w:rsidRDefault="00F60649" w:rsidP="0061610D">
            <w:pPr>
              <w:spacing w:line="360" w:lineRule="exact"/>
              <w:rPr>
                <w:rFonts w:ascii="仿宋" w:eastAsia="仿宋" w:hAnsi="仿宋" w:cs="仿宋" w:hint="eastAsia"/>
                <w:sz w:val="28"/>
                <w:szCs w:val="28"/>
              </w:rPr>
            </w:pPr>
            <w:r>
              <w:rPr>
                <w:rFonts w:ascii="仿宋" w:eastAsia="仿宋" w:hAnsi="仿宋" w:cs="仿宋" w:hint="eastAsia"/>
                <w:sz w:val="24"/>
              </w:rPr>
              <w:t>依据劳动者的学历、职称、工龄及业绩确定劳动报酬是当今用人单位用人、选人、及发放劳动报酬的主要形式，工资的评定不能唯工龄论，编外人员劳动报酬标准和晋升办法将参照我市各企业劳动合同用工同等学历、相似类型岗位人员的标准确定。</w:t>
            </w:r>
          </w:p>
        </w:tc>
        <w:tc>
          <w:tcPr>
            <w:tcW w:w="395" w:type="pct"/>
          </w:tcPr>
          <w:p w:rsidR="00F60649" w:rsidRDefault="00F60649" w:rsidP="0061610D">
            <w:pPr>
              <w:spacing w:line="360" w:lineRule="exact"/>
              <w:jc w:val="center"/>
              <w:rPr>
                <w:rFonts w:ascii="仿宋" w:eastAsia="仿宋" w:hAnsi="仿宋" w:cs="仿宋" w:hint="eastAsia"/>
                <w:sz w:val="28"/>
                <w:szCs w:val="28"/>
              </w:rPr>
            </w:pPr>
          </w:p>
        </w:tc>
      </w:tr>
      <w:tr w:rsidR="00F60649" w:rsidTr="0061610D">
        <w:trPr>
          <w:trHeight w:val="2177"/>
        </w:trPr>
        <w:tc>
          <w:tcPr>
            <w:tcW w:w="268" w:type="pct"/>
            <w:vAlign w:val="center"/>
          </w:tcPr>
          <w:p w:rsidR="00F60649" w:rsidRDefault="00F60649" w:rsidP="0061610D">
            <w:pPr>
              <w:widowControl/>
              <w:spacing w:line="360" w:lineRule="exact"/>
              <w:jc w:val="center"/>
              <w:textAlignment w:val="center"/>
              <w:rPr>
                <w:rFonts w:ascii="仿宋" w:eastAsia="仿宋" w:hAnsi="仿宋" w:cs="仿宋" w:hint="eastAsia"/>
                <w:sz w:val="28"/>
                <w:szCs w:val="28"/>
              </w:rPr>
            </w:pPr>
            <w:r>
              <w:rPr>
                <w:rFonts w:ascii="仿宋" w:eastAsia="仿宋" w:hAnsi="仿宋" w:cs="仿宋" w:hint="eastAsia"/>
                <w:color w:val="000000"/>
                <w:sz w:val="28"/>
                <w:szCs w:val="28"/>
                <w:lang/>
              </w:rPr>
              <w:lastRenderedPageBreak/>
              <w:t>2</w:t>
            </w:r>
          </w:p>
        </w:tc>
        <w:tc>
          <w:tcPr>
            <w:tcW w:w="718" w:type="pct"/>
            <w:vAlign w:val="center"/>
          </w:tcPr>
          <w:p w:rsidR="00F60649" w:rsidRDefault="00F60649" w:rsidP="00F60649">
            <w:pPr>
              <w:widowControl/>
              <w:jc w:val="left"/>
              <w:textAlignment w:val="center"/>
              <w:rPr>
                <w:rFonts w:ascii="仿宋" w:eastAsia="仿宋" w:hAnsi="仿宋" w:cs="仿宋" w:hint="eastAsia"/>
                <w:sz w:val="24"/>
              </w:rPr>
            </w:pPr>
            <w:r>
              <w:rPr>
                <w:rFonts w:ascii="仿宋" w:eastAsia="仿宋" w:hAnsi="仿宋" w:cs="仿宋" w:hint="eastAsia"/>
                <w:color w:val="000000"/>
                <w:sz w:val="24"/>
                <w:lang/>
              </w:rPr>
              <w:t>120.*.*.149</w:t>
            </w:r>
          </w:p>
        </w:tc>
        <w:tc>
          <w:tcPr>
            <w:tcW w:w="1993" w:type="pct"/>
            <w:vAlign w:val="center"/>
          </w:tcPr>
          <w:p w:rsidR="00F60649" w:rsidRDefault="00F60649" w:rsidP="0061610D">
            <w:pPr>
              <w:widowControl/>
              <w:jc w:val="left"/>
              <w:textAlignment w:val="center"/>
              <w:rPr>
                <w:rFonts w:ascii="仿宋" w:eastAsia="仿宋" w:hAnsi="仿宋" w:cs="仿宋" w:hint="eastAsia"/>
                <w:sz w:val="24"/>
              </w:rPr>
            </w:pPr>
            <w:r>
              <w:rPr>
                <w:rFonts w:ascii="仿宋" w:eastAsia="仿宋" w:hAnsi="仿宋" w:cs="仿宋" w:hint="eastAsia"/>
                <w:color w:val="000000"/>
                <w:sz w:val="24"/>
                <w:lang/>
              </w:rPr>
              <w:t>建议有关部门多考虑编外人员的平均薪酬水平，和公务员</w:t>
            </w:r>
            <w:proofErr w:type="gramStart"/>
            <w:r>
              <w:rPr>
                <w:rFonts w:ascii="仿宋" w:eastAsia="仿宋" w:hAnsi="仿宋" w:cs="仿宋" w:hint="eastAsia"/>
                <w:color w:val="000000"/>
                <w:sz w:val="24"/>
                <w:lang/>
              </w:rPr>
              <w:t>相比差区过大</w:t>
            </w:r>
            <w:proofErr w:type="gramEnd"/>
            <w:r>
              <w:rPr>
                <w:rFonts w:ascii="仿宋" w:eastAsia="仿宋" w:hAnsi="仿宋" w:cs="仿宋" w:hint="eastAsia"/>
                <w:color w:val="000000"/>
                <w:sz w:val="24"/>
                <w:lang/>
              </w:rPr>
              <w:t>，长此以往不利于更多优秀人才加入政府，不利于政府的整体素质提升，不利于政府部门工作人员的稳定（留不住人）。从大的视角来说不利于促进消费不利于国家的经济发展，不利于政府工作人员的服务水平的保证和提高，甚至有廉政风险（应该高薪养廉）。不过出台管理办法是正确发展的一步，值得肯定，是切合实际有效作为。</w:t>
            </w:r>
          </w:p>
        </w:tc>
        <w:tc>
          <w:tcPr>
            <w:tcW w:w="396" w:type="pct"/>
            <w:vAlign w:val="center"/>
          </w:tcPr>
          <w:p w:rsidR="00F60649" w:rsidRDefault="00F60649" w:rsidP="0061610D">
            <w:pPr>
              <w:spacing w:line="360" w:lineRule="exact"/>
              <w:jc w:val="center"/>
              <w:rPr>
                <w:rFonts w:ascii="仿宋" w:eastAsia="仿宋" w:hAnsi="仿宋" w:cs="仿宋" w:hint="eastAsia"/>
                <w:sz w:val="24"/>
              </w:rPr>
            </w:pPr>
            <w:r>
              <w:rPr>
                <w:rFonts w:ascii="仿宋" w:eastAsia="仿宋" w:hAnsi="仿宋" w:cs="仿宋" w:hint="eastAsia"/>
                <w:sz w:val="24"/>
              </w:rPr>
              <w:t>部分采纳</w:t>
            </w:r>
          </w:p>
        </w:tc>
        <w:tc>
          <w:tcPr>
            <w:tcW w:w="1227" w:type="pct"/>
            <w:vAlign w:val="center"/>
          </w:tcPr>
          <w:p w:rsidR="00F60649" w:rsidRDefault="00F60649" w:rsidP="0061610D">
            <w:pPr>
              <w:spacing w:line="360" w:lineRule="exact"/>
              <w:rPr>
                <w:rFonts w:ascii="仿宋" w:eastAsia="仿宋" w:hAnsi="仿宋" w:cs="仿宋" w:hint="eastAsia"/>
                <w:sz w:val="28"/>
                <w:szCs w:val="28"/>
              </w:rPr>
            </w:pPr>
            <w:r>
              <w:rPr>
                <w:rFonts w:ascii="仿宋" w:eastAsia="仿宋" w:hAnsi="仿宋" w:cs="仿宋" w:hint="eastAsia"/>
                <w:sz w:val="24"/>
              </w:rPr>
              <w:t>关于薪酬待遇的具体标准问题。待管理办法出台后，市直相关部门会根据我市经济社会发展情况、财政保障能力、编外人员的实际工作，并参照友邻地市情况，制定出台符合我市实际的市直编外人员薪酬待遇管理办法。</w:t>
            </w:r>
          </w:p>
        </w:tc>
        <w:tc>
          <w:tcPr>
            <w:tcW w:w="395" w:type="pct"/>
          </w:tcPr>
          <w:p w:rsidR="00F60649" w:rsidRDefault="00F60649" w:rsidP="0061610D">
            <w:pPr>
              <w:spacing w:line="360" w:lineRule="exact"/>
              <w:jc w:val="center"/>
              <w:rPr>
                <w:rFonts w:ascii="仿宋" w:eastAsia="仿宋" w:hAnsi="仿宋" w:cs="仿宋" w:hint="eastAsia"/>
                <w:sz w:val="28"/>
                <w:szCs w:val="28"/>
              </w:rPr>
            </w:pPr>
          </w:p>
        </w:tc>
      </w:tr>
      <w:tr w:rsidR="00F60649" w:rsidTr="0061610D">
        <w:trPr>
          <w:trHeight w:val="2177"/>
        </w:trPr>
        <w:tc>
          <w:tcPr>
            <w:tcW w:w="268" w:type="pct"/>
            <w:vAlign w:val="center"/>
          </w:tcPr>
          <w:p w:rsidR="00F60649" w:rsidRDefault="00F60649" w:rsidP="0061610D">
            <w:pPr>
              <w:widowControl/>
              <w:spacing w:line="360" w:lineRule="exact"/>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3</w:t>
            </w:r>
          </w:p>
        </w:tc>
        <w:tc>
          <w:tcPr>
            <w:tcW w:w="718" w:type="pct"/>
            <w:vAlign w:val="center"/>
          </w:tcPr>
          <w:p w:rsidR="00F60649" w:rsidRDefault="00F60649" w:rsidP="00F60649">
            <w:pPr>
              <w:widowControl/>
              <w:jc w:val="left"/>
              <w:textAlignment w:val="center"/>
              <w:rPr>
                <w:rFonts w:ascii="仿宋" w:eastAsia="仿宋" w:hAnsi="仿宋" w:cs="仿宋" w:hint="eastAsia"/>
                <w:color w:val="000000"/>
                <w:sz w:val="24"/>
                <w:lang/>
              </w:rPr>
            </w:pPr>
            <w:r>
              <w:rPr>
                <w:rFonts w:ascii="仿宋" w:eastAsia="仿宋" w:hAnsi="仿宋" w:cs="仿宋" w:hint="eastAsia"/>
                <w:color w:val="000000"/>
                <w:sz w:val="24"/>
                <w:lang/>
              </w:rPr>
              <w:t>218.*.*.222</w:t>
            </w:r>
          </w:p>
        </w:tc>
        <w:tc>
          <w:tcPr>
            <w:tcW w:w="1993" w:type="pct"/>
            <w:vAlign w:val="center"/>
          </w:tcPr>
          <w:p w:rsidR="00F60649" w:rsidRDefault="00F60649" w:rsidP="0061610D">
            <w:pPr>
              <w:widowControl/>
              <w:jc w:val="left"/>
              <w:textAlignment w:val="center"/>
              <w:rPr>
                <w:rFonts w:ascii="仿宋" w:eastAsia="仿宋" w:hAnsi="仿宋" w:cs="仿宋" w:hint="eastAsia"/>
                <w:color w:val="000000"/>
                <w:sz w:val="24"/>
                <w:lang/>
              </w:rPr>
            </w:pPr>
            <w:r>
              <w:rPr>
                <w:rFonts w:ascii="仿宋" w:eastAsia="仿宋" w:hAnsi="仿宋" w:cs="仿宋" w:hint="eastAsia"/>
                <w:color w:val="000000"/>
                <w:sz w:val="24"/>
                <w:lang/>
              </w:rPr>
              <w:t>2019年市直机关事业单位编外人员清理时经市政府批准保留的单位自聘人员经市直机关事业单位编外人员联席会议核定后完成指标补增的，用人单位须尽快与其重新签订劳动合同，确定人员级别和档次（档次视同新招聘人员）。（档次视同新招聘人员）这个貌似有失公平</w:t>
            </w:r>
          </w:p>
        </w:tc>
        <w:tc>
          <w:tcPr>
            <w:tcW w:w="396" w:type="pct"/>
            <w:vAlign w:val="center"/>
          </w:tcPr>
          <w:p w:rsidR="00F60649" w:rsidRDefault="00F60649" w:rsidP="0061610D">
            <w:pPr>
              <w:spacing w:line="360" w:lineRule="exact"/>
              <w:jc w:val="center"/>
              <w:rPr>
                <w:rFonts w:ascii="仿宋" w:eastAsia="仿宋" w:hAnsi="仿宋" w:cs="仿宋" w:hint="eastAsia"/>
                <w:sz w:val="24"/>
              </w:rPr>
            </w:pPr>
            <w:r>
              <w:rPr>
                <w:rFonts w:ascii="仿宋" w:eastAsia="仿宋" w:hAnsi="仿宋" w:cs="仿宋" w:hint="eastAsia"/>
                <w:sz w:val="24"/>
              </w:rPr>
              <w:t>不采纳</w:t>
            </w:r>
          </w:p>
        </w:tc>
        <w:tc>
          <w:tcPr>
            <w:tcW w:w="1227" w:type="pct"/>
            <w:vAlign w:val="center"/>
          </w:tcPr>
          <w:p w:rsidR="00F60649" w:rsidRDefault="00F60649"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在</w:t>
            </w:r>
            <w:r>
              <w:rPr>
                <w:rFonts w:ascii="仿宋" w:eastAsia="仿宋" w:hAnsi="仿宋" w:cs="仿宋" w:hint="eastAsia"/>
                <w:color w:val="000000"/>
                <w:sz w:val="24"/>
                <w:lang/>
              </w:rPr>
              <w:t>市直机关事业单位编外人员联席会议核定后完成指标补增前，该部分人员属于各用人单位私自聘用人员，以前的工龄由各单位自行清算，有了指标后才能纳入市直编外人员管理范围。</w:t>
            </w:r>
          </w:p>
        </w:tc>
        <w:tc>
          <w:tcPr>
            <w:tcW w:w="395" w:type="pct"/>
          </w:tcPr>
          <w:p w:rsidR="00F60649" w:rsidRDefault="00F60649" w:rsidP="0061610D">
            <w:pPr>
              <w:spacing w:line="360" w:lineRule="exact"/>
              <w:jc w:val="center"/>
              <w:rPr>
                <w:rFonts w:ascii="仿宋" w:eastAsia="仿宋" w:hAnsi="仿宋" w:cs="仿宋" w:hint="eastAsia"/>
                <w:sz w:val="28"/>
                <w:szCs w:val="28"/>
              </w:rPr>
            </w:pPr>
          </w:p>
        </w:tc>
      </w:tr>
      <w:tr w:rsidR="00F60649" w:rsidTr="0061610D">
        <w:trPr>
          <w:trHeight w:val="2177"/>
        </w:trPr>
        <w:tc>
          <w:tcPr>
            <w:tcW w:w="268" w:type="pct"/>
            <w:vAlign w:val="center"/>
          </w:tcPr>
          <w:p w:rsidR="00F60649" w:rsidRDefault="00F60649" w:rsidP="0061610D">
            <w:pPr>
              <w:widowControl/>
              <w:spacing w:line="360" w:lineRule="exact"/>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4</w:t>
            </w:r>
          </w:p>
        </w:tc>
        <w:tc>
          <w:tcPr>
            <w:tcW w:w="718" w:type="pct"/>
            <w:vAlign w:val="center"/>
          </w:tcPr>
          <w:p w:rsidR="00F60649" w:rsidRDefault="00F60649" w:rsidP="00F60649">
            <w:pPr>
              <w:widowControl/>
              <w:jc w:val="left"/>
              <w:textAlignment w:val="center"/>
              <w:rPr>
                <w:rFonts w:ascii="仿宋" w:eastAsia="仿宋" w:hAnsi="仿宋" w:cs="仿宋" w:hint="eastAsia"/>
                <w:color w:val="000000"/>
                <w:sz w:val="24"/>
                <w:lang/>
              </w:rPr>
            </w:pPr>
            <w:r>
              <w:rPr>
                <w:rFonts w:ascii="仿宋" w:eastAsia="仿宋" w:hAnsi="仿宋" w:cs="仿宋" w:hint="eastAsia"/>
                <w:color w:val="000000"/>
                <w:sz w:val="24"/>
                <w:lang/>
              </w:rPr>
              <w:t>113.*.*.228</w:t>
            </w:r>
          </w:p>
        </w:tc>
        <w:tc>
          <w:tcPr>
            <w:tcW w:w="1993" w:type="pct"/>
            <w:vAlign w:val="center"/>
          </w:tcPr>
          <w:p w:rsidR="00F60649" w:rsidRDefault="00F60649" w:rsidP="0061610D">
            <w:pPr>
              <w:widowControl/>
              <w:jc w:val="left"/>
              <w:textAlignment w:val="center"/>
              <w:rPr>
                <w:rFonts w:ascii="仿宋" w:eastAsia="仿宋" w:hAnsi="仿宋" w:cs="仿宋" w:hint="eastAsia"/>
                <w:color w:val="000000"/>
                <w:sz w:val="24"/>
                <w:lang/>
              </w:rPr>
            </w:pPr>
            <w:r>
              <w:rPr>
                <w:rFonts w:ascii="仿宋" w:eastAsia="仿宋" w:hAnsi="仿宋" w:cs="仿宋" w:hint="eastAsia"/>
                <w:color w:val="000000"/>
                <w:sz w:val="24"/>
                <w:lang/>
              </w:rPr>
              <w:t>随着社会不断的发展，出台新的编外管理办法非常必要，非常及时，符合新时代的发展和改革要求，调动编外人员的积极性，更加科学的管好用好编外人员，为建设美丽惠州而努力工作。</w:t>
            </w:r>
          </w:p>
        </w:tc>
        <w:tc>
          <w:tcPr>
            <w:tcW w:w="396" w:type="pct"/>
            <w:vAlign w:val="center"/>
          </w:tcPr>
          <w:p w:rsidR="00F60649" w:rsidRDefault="00F60649" w:rsidP="0061610D">
            <w:pPr>
              <w:spacing w:line="360" w:lineRule="exact"/>
              <w:jc w:val="center"/>
              <w:rPr>
                <w:rFonts w:ascii="仿宋" w:eastAsia="仿宋" w:hAnsi="仿宋" w:cs="仿宋" w:hint="eastAsia"/>
                <w:sz w:val="24"/>
              </w:rPr>
            </w:pPr>
            <w:r>
              <w:rPr>
                <w:rFonts w:ascii="仿宋" w:eastAsia="仿宋" w:hAnsi="仿宋" w:cs="仿宋" w:hint="eastAsia"/>
                <w:sz w:val="24"/>
              </w:rPr>
              <w:t>采纳</w:t>
            </w:r>
          </w:p>
        </w:tc>
        <w:tc>
          <w:tcPr>
            <w:tcW w:w="1227" w:type="pct"/>
            <w:vAlign w:val="center"/>
          </w:tcPr>
          <w:p w:rsidR="00F60649" w:rsidRDefault="00F60649" w:rsidP="0061610D">
            <w:pPr>
              <w:spacing w:line="360" w:lineRule="exact"/>
              <w:rPr>
                <w:rFonts w:ascii="仿宋" w:eastAsia="仿宋" w:hAnsi="仿宋" w:cs="仿宋" w:hint="eastAsia"/>
                <w:sz w:val="28"/>
                <w:szCs w:val="28"/>
              </w:rPr>
            </w:pPr>
            <w:r>
              <w:rPr>
                <w:rFonts w:ascii="仿宋" w:eastAsia="仿宋" w:hAnsi="仿宋" w:cs="仿宋" w:hint="eastAsia"/>
                <w:sz w:val="28"/>
                <w:szCs w:val="28"/>
              </w:rPr>
              <w:t>更加科学的管好用好编外人员一直是我们当前和今后工作的努力方向。</w:t>
            </w:r>
          </w:p>
        </w:tc>
        <w:tc>
          <w:tcPr>
            <w:tcW w:w="395" w:type="pct"/>
          </w:tcPr>
          <w:p w:rsidR="00F60649" w:rsidRDefault="00F60649" w:rsidP="0061610D">
            <w:pPr>
              <w:spacing w:line="360" w:lineRule="exact"/>
              <w:jc w:val="center"/>
              <w:rPr>
                <w:rFonts w:ascii="仿宋" w:eastAsia="仿宋" w:hAnsi="仿宋" w:cs="仿宋" w:hint="eastAsia"/>
                <w:sz w:val="28"/>
                <w:szCs w:val="28"/>
              </w:rPr>
            </w:pPr>
          </w:p>
        </w:tc>
      </w:tr>
    </w:tbl>
    <w:p w:rsidR="00F60649" w:rsidRDefault="00F60649" w:rsidP="00F60649">
      <w:pPr>
        <w:rPr>
          <w:rFonts w:hint="eastAsia"/>
        </w:rPr>
      </w:pPr>
    </w:p>
    <w:p w:rsidR="0060268F" w:rsidRPr="00F60649" w:rsidRDefault="0060268F"/>
    <w:sectPr w:rsidR="0060268F" w:rsidRPr="00F60649">
      <w:footerReference w:type="default" r:id="rId4"/>
      <w:pgSz w:w="16838" w:h="11906" w:orient="landscape"/>
      <w:pgMar w:top="1803" w:right="1440" w:bottom="1803" w:left="1440" w:header="851" w:footer="992" w:gutter="0"/>
      <w:pgNumType w:fmt="numberInDash"/>
      <w:cols w:space="72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22245">
    <w:pPr>
      <w:pStyle w:val="a3"/>
      <w:jc w:val="right"/>
    </w:pPr>
    <w:r>
      <w:pict>
        <v:shapetype id="_x0000_t202" coordsize="21600,21600" o:spt="202" path="m,l,21600r21600,l21600,xe">
          <v:stroke joinstyle="miter"/>
          <v:path gradientshapeok="t" o:connecttype="rect"/>
        </v:shapetype>
        <v:shape id="文本框 9" o:spid="_x0000_s2052" type="#_x0000_t202" style="position:absolute;left:0;text-align:left;margin-left:0;margin-top:0;width:2in;height:2in;z-index:251663360;mso-wrap-style:none;mso-position-horizontal:center;mso-position-horizontal-relative:margin" filled="f" stroked="f">
          <v:fill o:detectmouseclick="t"/>
          <v:textbox style="mso-fit-shape-to-text:t" inset="0,0,0,0">
            <w:txbxContent>
              <w:p w:rsidR="00000000" w:rsidRDefault="00E22245">
                <w:pPr>
                  <w:pStyle w:val="a3"/>
                  <w:jc w:val="center"/>
                  <w:rPr>
                    <w:rFonts w:hint="eastAsia"/>
                  </w:rPr>
                </w:pPr>
                <w:r>
                  <w:rPr>
                    <w:rFonts w:ascii="BatangChe" w:eastAsia="BatangChe" w:hAnsi="BatangChe" w:cs="BatangChe" w:hint="eastAsia"/>
                    <w:sz w:val="28"/>
                    <w:szCs w:val="28"/>
                  </w:rPr>
                  <w:fldChar w:fldCharType="begin"/>
                </w:r>
                <w:r>
                  <w:rPr>
                    <w:rFonts w:ascii="BatangChe" w:eastAsia="BatangChe" w:hAnsi="BatangChe" w:cs="BatangChe" w:hint="eastAsia"/>
                    <w:sz w:val="28"/>
                    <w:szCs w:val="28"/>
                  </w:rPr>
                  <w:instrText xml:space="preserve"> PAGE  \* MERGEFORMAT </w:instrText>
                </w:r>
                <w:r>
                  <w:rPr>
                    <w:rFonts w:ascii="BatangChe" w:eastAsia="BatangChe" w:hAnsi="BatangChe" w:cs="BatangChe" w:hint="eastAsia"/>
                    <w:sz w:val="28"/>
                    <w:szCs w:val="28"/>
                  </w:rPr>
                  <w:fldChar w:fldCharType="separate"/>
                </w:r>
                <w:r w:rsidR="00F60649">
                  <w:rPr>
                    <w:rFonts w:ascii="BatangChe" w:eastAsia="BatangChe" w:hAnsi="BatangChe" w:cs="BatangChe"/>
                    <w:noProof/>
                    <w:sz w:val="28"/>
                    <w:szCs w:val="28"/>
                  </w:rPr>
                  <w:t>- 1 -</w:t>
                </w:r>
                <w:r>
                  <w:rPr>
                    <w:rFonts w:ascii="BatangChe" w:eastAsia="BatangChe" w:hAnsi="BatangChe" w:cs="BatangChe" w:hint="eastAsia"/>
                    <w:sz w:val="28"/>
                    <w:szCs w:val="28"/>
                  </w:rPr>
                  <w:fldChar w:fldCharType="end"/>
                </w:r>
              </w:p>
            </w:txbxContent>
          </v:textbox>
          <w10:wrap anchorx="margin"/>
        </v:shape>
      </w:pict>
    </w:r>
    <w:r>
      <w:pict>
        <v:shape id="文本框 8" o:spid="_x0000_s2051" type="#_x0000_t202" style="position:absolute;left:0;text-align:left;margin-left:0;margin-top:0;width:2in;height:2in;z-index:251662336;mso-wrap-style:none;mso-position-horizontal:center;mso-position-horizontal-relative:margin" filled="f" stroked="f">
          <v:fill o:detectmouseclick="t"/>
          <v:textbox style="mso-fit-shape-to-text:t" inset="0,0,0,0">
            <w:txbxContent>
              <w:p w:rsidR="00000000" w:rsidRDefault="00E22245">
                <w:pPr>
                  <w:pStyle w:val="a3"/>
                  <w:jc w:val="right"/>
                  <w:rPr>
                    <w:rFonts w:hint="eastAsia"/>
                  </w:rPr>
                </w:pPr>
              </w:p>
            </w:txbxContent>
          </v:textbox>
          <w10:wrap anchorx="margin"/>
        </v:shape>
      </w:pict>
    </w:r>
    <w:r>
      <w:pict>
        <v:shape id="文本框 3" o:spid="_x0000_s2050" type="#_x0000_t202" style="position:absolute;left:0;text-align:left;margin-left:104pt;margin-top:0;width:2in;height:2in;z-index:251661312;mso-wrap-style:none;mso-position-horizontal:outside;mso-position-horizontal-relative:margin" filled="f" stroked="f">
          <v:textbox style="mso-fit-shape-to-text:t" inset="0,0,0,0">
            <w:txbxContent>
              <w:p w:rsidR="00000000" w:rsidRDefault="00E22245">
                <w:pPr>
                  <w:pStyle w:val="a3"/>
                  <w:rPr>
                    <w:rFonts w:ascii="仿宋" w:eastAsia="仿宋" w:hAnsi="仿宋" w:cs="仿宋" w:hint="eastAsia"/>
                    <w:sz w:val="28"/>
                    <w:szCs w:val="28"/>
                  </w:rPr>
                </w:pPr>
              </w:p>
              <w:p w:rsidR="00000000" w:rsidRDefault="00E22245">
                <w:pPr>
                  <w:pStyle w:val="a3"/>
                  <w:rPr>
                    <w:rFonts w:ascii="仿宋" w:eastAsia="仿宋" w:hAnsi="仿宋" w:cs="仿宋" w:hint="eastAsia"/>
                    <w:sz w:val="28"/>
                    <w:szCs w:val="28"/>
                  </w:rPr>
                </w:pPr>
              </w:p>
            </w:txbxContent>
          </v:textbox>
          <w10:wrap anchorx="margin"/>
        </v:shape>
      </w:pict>
    </w:r>
    <w:r>
      <w:pict>
        <v:shape id="文本框 4" o:spid="_x0000_s2049" type="#_x0000_t202" style="position:absolute;left:0;text-align:left;margin-left:104pt;margin-top:0;width:2in;height:2in;z-index:251660288;mso-wrap-style:none;mso-position-horizontal:right;mso-position-horizontal-relative:margin" filled="f" stroked="f">
          <v:textbox style="mso-fit-shape-to-text:t" inset="0,0,0,0">
            <w:txbxContent>
              <w:p w:rsidR="00000000" w:rsidRDefault="00E22245">
                <w:pPr>
                  <w:pStyle w:val="a3"/>
                  <w:rPr>
                    <w:rFonts w:hint="eastAsia"/>
                    <w:sz w:val="24"/>
                  </w:rPr>
                </w:pP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F60649"/>
    <w:rsid w:val="0060268F"/>
    <w:rsid w:val="00E22245"/>
    <w:rsid w:val="00E2689E"/>
    <w:rsid w:val="00F606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60649"/>
    <w:pPr>
      <w:widowControl w:val="0"/>
      <w:spacing w:line="240" w:lineRule="auto"/>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F606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60649"/>
    <w:pPr>
      <w:tabs>
        <w:tab w:val="center" w:pos="4153"/>
        <w:tab w:val="right" w:pos="8306"/>
      </w:tabs>
      <w:snapToGrid w:val="0"/>
      <w:jc w:val="left"/>
    </w:pPr>
    <w:rPr>
      <w:sz w:val="18"/>
    </w:rPr>
  </w:style>
  <w:style w:type="character" w:customStyle="1" w:styleId="Char">
    <w:name w:val="页脚 Char"/>
    <w:basedOn w:val="a0"/>
    <w:link w:val="a3"/>
    <w:rsid w:val="00F60649"/>
    <w:rPr>
      <w:rFonts w:ascii="Calibri" w:eastAsia="宋体" w:hAnsi="Calibri" w:cs="Times New Roman"/>
      <w:sz w:val="18"/>
      <w:szCs w:val="24"/>
    </w:rPr>
  </w:style>
  <w:style w:type="table" w:styleId="a4">
    <w:name w:val="Table Grid"/>
    <w:basedOn w:val="a1"/>
    <w:qFormat/>
    <w:rsid w:val="00F60649"/>
    <w:pPr>
      <w:widowControl w:val="0"/>
      <w:spacing w:line="240" w:lineRule="auto"/>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F60649"/>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139</Words>
  <Characters>795</Characters>
  <Application>Microsoft Office Word</Application>
  <DocSecurity>0</DocSecurity>
  <Lines>6</Lines>
  <Paragraphs>1</Paragraphs>
  <ScaleCrop>false</ScaleCrop>
  <Company>Lenovo</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2022-08-23T08:45:00Z</dcterms:created>
  <dcterms:modified xsi:type="dcterms:W3CDTF">2022-08-23T08:52:00Z</dcterms:modified>
</cp:coreProperties>
</file>