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BB" w:rsidRDefault="004A5BBB" w:rsidP="004A5BBB">
      <w:pPr>
        <w:spacing w:line="580" w:lineRule="exact"/>
        <w:jc w:val="left"/>
        <w:rPr>
          <w:rFonts w:ascii="黑体" w:eastAsia="黑体" w:hAnsi="黑体" w:cs="黑体"/>
          <w:bCs/>
          <w:spacing w:val="20"/>
          <w:sz w:val="32"/>
          <w:szCs w:val="32"/>
        </w:rPr>
      </w:pPr>
      <w:r>
        <w:rPr>
          <w:rFonts w:ascii="黑体" w:eastAsia="黑体" w:hAnsi="黑体" w:cs="黑体" w:hint="eastAsia"/>
          <w:bCs/>
          <w:spacing w:val="20"/>
          <w:sz w:val="32"/>
          <w:szCs w:val="32"/>
        </w:rPr>
        <w:t>附件1</w:t>
      </w:r>
    </w:p>
    <w:p w:rsidR="004A5BBB" w:rsidRDefault="004A5BBB" w:rsidP="004A5BBB">
      <w:pPr>
        <w:jc w:val="center"/>
        <w:rPr>
          <w:rFonts w:ascii="黑体" w:eastAsia="黑体" w:hAnsi="黑体" w:cs="黑体" w:hint="eastAsia"/>
          <w:sz w:val="44"/>
          <w:szCs w:val="44"/>
        </w:rPr>
      </w:pPr>
      <w:r>
        <w:rPr>
          <w:rFonts w:ascii="黑体" w:eastAsia="黑体" w:hAnsi="黑体" w:cs="黑体" w:hint="eastAsia"/>
          <w:sz w:val="44"/>
          <w:szCs w:val="44"/>
        </w:rPr>
        <w:t>《惠州市市直机关事业单位编外人员管理办法》意见征集</w:t>
      </w:r>
    </w:p>
    <w:p w:rsidR="004A5BBB" w:rsidRDefault="004A5BBB" w:rsidP="004A5BBB">
      <w:pPr>
        <w:jc w:val="center"/>
        <w:rPr>
          <w:rFonts w:ascii="黑体" w:eastAsia="黑体" w:hAnsi="黑体" w:cs="黑体" w:hint="eastAsia"/>
          <w:sz w:val="44"/>
          <w:szCs w:val="44"/>
        </w:rPr>
      </w:pPr>
      <w:r>
        <w:rPr>
          <w:rFonts w:ascii="黑体" w:eastAsia="黑体" w:hAnsi="黑体" w:cs="黑体" w:hint="eastAsia"/>
          <w:sz w:val="44"/>
          <w:szCs w:val="44"/>
        </w:rPr>
        <w:t>及采纳情况统计表</w:t>
      </w:r>
    </w:p>
    <w:tbl>
      <w:tblPr>
        <w:tblStyle w:val="a3"/>
        <w:tblW w:w="5019" w:type="pct"/>
        <w:tblInd w:w="0" w:type="dxa"/>
        <w:tblLook w:val="0000"/>
      </w:tblPr>
      <w:tblGrid>
        <w:gridCol w:w="761"/>
        <w:gridCol w:w="2021"/>
        <w:gridCol w:w="6571"/>
        <w:gridCol w:w="877"/>
        <w:gridCol w:w="2706"/>
        <w:gridCol w:w="1229"/>
        <w:gridCol w:w="63"/>
      </w:tblGrid>
      <w:tr w:rsidR="004A5BBB" w:rsidTr="0061610D">
        <w:trPr>
          <w:gridAfter w:val="1"/>
          <w:wAfter w:w="22" w:type="pct"/>
          <w:trHeight w:val="1058"/>
        </w:trPr>
        <w:tc>
          <w:tcPr>
            <w:tcW w:w="267" w:type="pct"/>
            <w:vAlign w:val="center"/>
          </w:tcPr>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序号</w:t>
            </w:r>
          </w:p>
        </w:tc>
        <w:tc>
          <w:tcPr>
            <w:tcW w:w="710" w:type="pct"/>
            <w:vAlign w:val="center"/>
          </w:tcPr>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征求意见单位</w:t>
            </w:r>
          </w:p>
        </w:tc>
        <w:tc>
          <w:tcPr>
            <w:tcW w:w="2308" w:type="pct"/>
            <w:vAlign w:val="center"/>
          </w:tcPr>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意见内容</w:t>
            </w:r>
          </w:p>
        </w:tc>
        <w:tc>
          <w:tcPr>
            <w:tcW w:w="308" w:type="pct"/>
            <w:vAlign w:val="center"/>
          </w:tcPr>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采纳</w:t>
            </w:r>
          </w:p>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情况</w:t>
            </w:r>
          </w:p>
        </w:tc>
        <w:tc>
          <w:tcPr>
            <w:tcW w:w="951" w:type="pct"/>
            <w:vAlign w:val="center"/>
          </w:tcPr>
          <w:p w:rsidR="004A5BBB" w:rsidRDefault="004A5BBB" w:rsidP="0061610D">
            <w:pPr>
              <w:spacing w:line="360" w:lineRule="exact"/>
              <w:rPr>
                <w:rFonts w:ascii="黑体" w:eastAsia="黑体" w:hAnsi="黑体" w:cs="黑体" w:hint="eastAsia"/>
                <w:sz w:val="28"/>
                <w:szCs w:val="28"/>
              </w:rPr>
            </w:pPr>
            <w:r>
              <w:rPr>
                <w:rFonts w:ascii="黑体" w:eastAsia="黑体" w:hAnsi="黑体" w:cs="黑体" w:hint="eastAsia"/>
                <w:sz w:val="28"/>
                <w:szCs w:val="28"/>
              </w:rPr>
              <w:t>采纳/未采纳理由</w:t>
            </w:r>
          </w:p>
        </w:tc>
        <w:tc>
          <w:tcPr>
            <w:tcW w:w="432" w:type="pct"/>
            <w:vAlign w:val="center"/>
          </w:tcPr>
          <w:p w:rsidR="004A5BBB" w:rsidRDefault="004A5BBB"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备注</w:t>
            </w:r>
          </w:p>
        </w:tc>
      </w:tr>
      <w:tr w:rsidR="004A5BBB" w:rsidTr="0061610D">
        <w:trPr>
          <w:gridAfter w:val="1"/>
          <w:wAfter w:w="22" w:type="pct"/>
          <w:trHeight w:val="306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市委政法委员会</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对第三十条“市法院、市检察院司法辅助人员的劳动报酬及考核仍按照《惠州市劳动合同制司法辅助人员管理暂行办法》（惠政发[2017]5号）的规定执行”，修改为“市法院、市检察院司法辅助人员的劳动报酬及考核按照有关司法辅助人员管理规定执行”。</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color w:val="000000"/>
                <w:sz w:val="24"/>
                <w:lang/>
              </w:rPr>
              <w:t>《惠州市劳动合同制司法辅助人员管理暂行办法》（惠政发[2017]5号）印发时间较长，下一步可能会出台新的司法辅助人员管理办法，修改后更能适应今后的变化。</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197368">
        <w:trPr>
          <w:gridAfter w:val="1"/>
          <w:wAfter w:w="22" w:type="pct"/>
          <w:trHeight w:val="1822"/>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2</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市委编办</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1.建议《办法》第一章“总则”中增加明确编外人员管理应遵循的工作原则及有关内容表述，如“从严控制” “严格审批”“分类施策”“规范管理”等。</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采纳后更加突出了今后市直编外人员管理工作的目标和要求。</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61610D">
        <w:trPr>
          <w:gridAfter w:val="1"/>
          <w:wAfter w:w="22" w:type="pct"/>
          <w:trHeight w:val="3405"/>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3</w:t>
            </w:r>
          </w:p>
        </w:tc>
        <w:tc>
          <w:tcPr>
            <w:tcW w:w="710" w:type="pct"/>
            <w:vMerge w:val="restar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color w:val="000000"/>
                <w:sz w:val="28"/>
                <w:szCs w:val="28"/>
                <w:lang/>
              </w:rPr>
              <w:t>市委编办</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2.建议将《办法》第二条“本办法适用于党委、人大、政府、政协、监委、民主党派、群众团体等市直机关，市直参照公务员管理事业单位（以下简称市直机关事业单位）的编外人员”修改为“本办法适用于市本级党的机关、人大机关、行政机关、政协机关、监察机关、民主党派机关、群团机关以及市直参照公务员法管理事业单位（以下称市直机关事业单位）的编外人员”。</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采纳后表述更加准确。</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197368">
        <w:trPr>
          <w:gridAfter w:val="1"/>
          <w:wAfter w:w="22" w:type="pct"/>
          <w:trHeight w:val="2664"/>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4</w:t>
            </w:r>
          </w:p>
        </w:tc>
        <w:tc>
          <w:tcPr>
            <w:tcW w:w="710" w:type="pct"/>
            <w:vMerge/>
            <w:vAlign w:val="center"/>
          </w:tcPr>
          <w:p w:rsidR="004A5BBB" w:rsidRDefault="004A5BBB" w:rsidP="0061610D">
            <w:pPr>
              <w:spacing w:line="360" w:lineRule="exact"/>
              <w:jc w:val="center"/>
              <w:rPr>
                <w:rFonts w:ascii="仿宋" w:eastAsia="仿宋" w:hAnsi="仿宋" w:cs="仿宋" w:hint="eastAsia"/>
                <w:sz w:val="28"/>
                <w:szCs w:val="28"/>
              </w:rPr>
            </w:pP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3.建议《办法》第五条明确主管部门要履行好监管职责，用人单位要履行好管理主体职责。</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部分采纳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第五条主要是明确建立联席会议制度，至于用人单位行政主管部门及用人单位的责任在后续章节中予以明确。</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61610D">
        <w:trPr>
          <w:gridAfter w:val="1"/>
          <w:wAfter w:w="22" w:type="pct"/>
          <w:trHeight w:val="287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5</w:t>
            </w:r>
          </w:p>
        </w:tc>
        <w:tc>
          <w:tcPr>
            <w:tcW w:w="710" w:type="pct"/>
            <w:vMerge w:val="restar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color w:val="000000"/>
                <w:sz w:val="28"/>
                <w:szCs w:val="28"/>
                <w:lang/>
              </w:rPr>
              <w:t>市委编办</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4.建议将《办法》第二十九条“本办法实施前，原由市政府或市编委批准的市直机关事业单位编外聘用指标和政府购买服务岗位指标”修改为“本办法实施前经批准的市直机关事业单位编外聘用指标和政府购买服务岗位指标”。</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采纳后表述更加简洁。</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197368">
        <w:trPr>
          <w:gridAfter w:val="1"/>
          <w:wAfter w:w="22" w:type="pct"/>
          <w:trHeight w:val="3492"/>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6</w:t>
            </w:r>
          </w:p>
        </w:tc>
        <w:tc>
          <w:tcPr>
            <w:tcW w:w="710" w:type="pct"/>
            <w:vMerge/>
            <w:vAlign w:val="center"/>
          </w:tcPr>
          <w:p w:rsidR="004A5BBB" w:rsidRDefault="004A5BBB" w:rsidP="0061610D">
            <w:pPr>
              <w:spacing w:line="360" w:lineRule="exact"/>
              <w:jc w:val="center"/>
              <w:rPr>
                <w:rFonts w:ascii="仿宋" w:eastAsia="仿宋" w:hAnsi="仿宋" w:cs="仿宋" w:hint="eastAsia"/>
                <w:sz w:val="28"/>
                <w:szCs w:val="28"/>
              </w:rPr>
            </w:pP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5. 建议在《办法》中增加关于监督检查规定的条款，明确有关职能部门、主管部门、用人单位在日常管理和监督检查方面的具体职责，以及监督检查方式方法，对编外“吃空晌”、编外人员在岗不履职或兼职其他工作、虚报实有人数套取财政资金等违纪违法行为及时发现纠正并依法依规严肃处理，强化刚性约束。</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进一步明确各职能部门、用人单位行政主管部门和用人单位的相关职责有利于下一步的规范化管理。</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197368">
        <w:trPr>
          <w:gridAfter w:val="1"/>
          <w:wAfter w:w="22" w:type="pct"/>
          <w:trHeight w:val="2687"/>
        </w:trPr>
        <w:tc>
          <w:tcPr>
            <w:tcW w:w="267" w:type="pct"/>
            <w:vAlign w:val="center"/>
          </w:tcPr>
          <w:p w:rsidR="004A5BBB" w:rsidRDefault="004A5BBB"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7</w:t>
            </w:r>
          </w:p>
        </w:tc>
        <w:tc>
          <w:tcPr>
            <w:tcW w:w="710" w:type="pct"/>
            <w:vAlign w:val="center"/>
          </w:tcPr>
          <w:p w:rsidR="004A5BBB" w:rsidRDefault="004A5BBB" w:rsidP="0061610D">
            <w:pPr>
              <w:spacing w:line="360" w:lineRule="exact"/>
              <w:jc w:val="center"/>
              <w:rPr>
                <w:rFonts w:ascii="仿宋" w:eastAsia="仿宋" w:hAnsi="仿宋" w:cs="仿宋" w:hint="eastAsia"/>
                <w:kern w:val="2"/>
                <w:sz w:val="28"/>
                <w:szCs w:val="28"/>
              </w:rPr>
            </w:pPr>
            <w:r>
              <w:rPr>
                <w:rFonts w:ascii="仿宋" w:eastAsia="仿宋" w:hAnsi="仿宋" w:cs="仿宋" w:hint="eastAsia"/>
                <w:color w:val="000000"/>
                <w:sz w:val="28"/>
                <w:szCs w:val="28"/>
                <w:lang/>
              </w:rPr>
              <w:t>市财政局</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2.关于文中第9页第二十六条，建议将其中“…新的级别和工资档次从当年7月1日起执行。”的表述修改为“…新的级别和工资档次从次年1月1日起执行。”。修改理由：标准调整从完整的年度开始，更有利于财政预算规范管理。</w:t>
            </w:r>
          </w:p>
        </w:tc>
        <w:tc>
          <w:tcPr>
            <w:tcW w:w="308" w:type="pct"/>
            <w:vAlign w:val="center"/>
          </w:tcPr>
          <w:p w:rsidR="004A5BBB" w:rsidRDefault="004A5BBB" w:rsidP="0061610D">
            <w:pPr>
              <w:spacing w:line="360" w:lineRule="exact"/>
              <w:jc w:val="center"/>
              <w:rPr>
                <w:rFonts w:ascii="仿宋" w:eastAsia="仿宋" w:hAnsi="仿宋" w:cs="仿宋" w:hint="eastAsia"/>
                <w:kern w:val="2"/>
                <w:sz w:val="28"/>
                <w:szCs w:val="28"/>
              </w:rPr>
            </w:pPr>
            <w:r>
              <w:rPr>
                <w:rFonts w:ascii="仿宋" w:eastAsia="仿宋" w:hAnsi="仿宋" w:cs="仿宋" w:hint="eastAsia"/>
                <w:kern w:val="2"/>
                <w:sz w:val="28"/>
                <w:szCs w:val="28"/>
              </w:rPr>
              <w:t>采纳</w:t>
            </w:r>
          </w:p>
        </w:tc>
        <w:tc>
          <w:tcPr>
            <w:tcW w:w="951" w:type="pct"/>
            <w:vAlign w:val="center"/>
          </w:tcPr>
          <w:p w:rsidR="004A5BBB" w:rsidRDefault="004A5BBB" w:rsidP="0061610D">
            <w:pPr>
              <w:spacing w:line="360" w:lineRule="exact"/>
              <w:rPr>
                <w:rFonts w:ascii="仿宋" w:eastAsia="仿宋" w:hAnsi="仿宋" w:cs="仿宋" w:hint="eastAsia"/>
                <w:kern w:val="2"/>
                <w:sz w:val="28"/>
                <w:szCs w:val="28"/>
              </w:rPr>
            </w:pPr>
            <w:r>
              <w:rPr>
                <w:rFonts w:ascii="仿宋" w:eastAsia="仿宋" w:hAnsi="仿宋" w:cs="仿宋" w:hint="eastAsia"/>
                <w:color w:val="000000"/>
                <w:sz w:val="28"/>
                <w:szCs w:val="28"/>
                <w:lang/>
              </w:rPr>
              <w:t>新的工资级别档次调整从完整的年度开始，更有利于财政预算规范管理。</w:t>
            </w:r>
          </w:p>
        </w:tc>
        <w:tc>
          <w:tcPr>
            <w:tcW w:w="432" w:type="pct"/>
          </w:tcPr>
          <w:p w:rsidR="004A5BBB" w:rsidRDefault="004A5BBB" w:rsidP="0061610D">
            <w:pPr>
              <w:spacing w:line="360" w:lineRule="exact"/>
              <w:jc w:val="center"/>
              <w:rPr>
                <w:rFonts w:ascii="仿宋" w:eastAsia="仿宋" w:hAnsi="仿宋" w:cs="仿宋" w:hint="eastAsia"/>
                <w:sz w:val="28"/>
                <w:szCs w:val="28"/>
              </w:rPr>
            </w:pPr>
          </w:p>
        </w:tc>
      </w:tr>
      <w:tr w:rsidR="004A5BBB" w:rsidTr="00197368">
        <w:trPr>
          <w:gridAfter w:val="1"/>
          <w:wAfter w:w="22" w:type="pct"/>
          <w:trHeight w:val="5238"/>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市财政局</w:t>
            </w:r>
          </w:p>
        </w:tc>
        <w:tc>
          <w:tcPr>
            <w:tcW w:w="2308" w:type="pct"/>
            <w:vAlign w:val="center"/>
          </w:tcPr>
          <w:p w:rsidR="004A5BBB" w:rsidRDefault="004A5BBB" w:rsidP="00197368">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1.关于文中第10页第三十条的表述，提出两点意见：一是文中所提的《惠州市劳动合同制司法辅助人员管理暂行办法》（惠政发（2017）5号）是2017年印发的，到今年已执行五年，对于文件的有效性是否符合相关法规政策，建议征询市司法局意见。二是建议将“市直其他非参照公务员法管理的公益一类事业单位（如市直各公立中、小学）及公立幼儿园确有使用编外人员需求的，遵照本办法执行”。修改为“市直其他非参照公务员法管理的事业单位确有使用编外人员需求的，由用人单位报市编外人员联席会议审核并报市政府审批同意后，可遵照本办法执行。”</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采纳后表述更科学合理</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239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9</w:t>
            </w:r>
          </w:p>
        </w:tc>
        <w:tc>
          <w:tcPr>
            <w:tcW w:w="710" w:type="pct"/>
            <w:vMerge w:val="restar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市自然资源局</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1.第二条：“本办法适用于党委、人大、政府、政协、监委、 民主党派、群众团体等市直机关，市直参照公务员法管理事业单位（以下简称市直机关事业单位）的编外人员。”建议修改为：“第二条：本办法适用于党委、人大、政府、政协、监委、民主 党派、群众团体等市直机关和市直参照公务员法管理事业单位 （以下简称市直机关事业单位）的编外人员。”</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不采纳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市委编办提的本条的修改意见表述更加准确，采纳市委编办的修改建议更为合适</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3655"/>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10</w:t>
            </w:r>
          </w:p>
        </w:tc>
        <w:tc>
          <w:tcPr>
            <w:tcW w:w="710" w:type="pct"/>
            <w:vMerge/>
            <w:vAlign w:val="center"/>
          </w:tcPr>
          <w:p w:rsidR="004A5BBB" w:rsidRDefault="004A5BBB" w:rsidP="0061610D">
            <w:pPr>
              <w:spacing w:line="360" w:lineRule="exact"/>
              <w:jc w:val="center"/>
              <w:rPr>
                <w:rFonts w:ascii="仿宋" w:eastAsia="仿宋" w:hAnsi="仿宋" w:cs="仿宋" w:hint="eastAsia"/>
                <w:sz w:val="28"/>
                <w:szCs w:val="28"/>
              </w:rPr>
            </w:pP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2.第十六条：“有下列情形之一的，用人单位可依据劳动合同法与编外人员解除劳动关系：……（五）有上级文件依据需裁减编外人员的；（六）《劳动合同法实施条例》规定可以解除劳动 合同的其他情形。”建议：“上级文件依据”概念的内涵不清晰， 进一步限定范围和建议修改为：“（六）根据《劳动合同法》《劳动合同法实施条例》等法律规定可以解除劳动合同的其他情形。”</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不采纳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这里的</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上级文件依据“指的是国家、省、市等党委、政府或相关职能部门印发的相关文件。</w:t>
            </w:r>
            <w:r>
              <w:rPr>
                <w:rFonts w:ascii="仿宋" w:eastAsia="仿宋" w:hAnsi="仿宋" w:cs="仿宋" w:hint="eastAsia"/>
                <w:color w:val="000000"/>
                <w:sz w:val="28"/>
                <w:szCs w:val="28"/>
                <w:lang/>
              </w:rPr>
              <w:t>《劳动合同法实施条例》是对《劳动合同法》的细化和具体化，该管理办法第十六条的前五款是对《劳动合同法实施条例》在市直编外人员管理工作中的具体化，更具有可操作性。</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2075"/>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11</w:t>
            </w:r>
          </w:p>
        </w:tc>
        <w:tc>
          <w:tcPr>
            <w:tcW w:w="710" w:type="pct"/>
            <w:vMerge w:val="restar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市审计局</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1.第十一条不能解决过剩指标的退出。用人单位不会主动承认指标过剩，即使原新增工作任务已经调整，用人单位也会将该指标用于其他工作。建议一是增加用人单位</w:t>
            </w:r>
            <w:proofErr w:type="gramStart"/>
            <w:r>
              <w:rPr>
                <w:rFonts w:ascii="仿宋" w:eastAsia="仿宋" w:hAnsi="仿宋" w:cs="仿宋" w:hint="eastAsia"/>
                <w:color w:val="000000"/>
                <w:sz w:val="28"/>
                <w:szCs w:val="28"/>
                <w:lang/>
              </w:rPr>
              <w:t>不</w:t>
            </w:r>
            <w:proofErr w:type="gramEnd"/>
            <w:r>
              <w:rPr>
                <w:rFonts w:ascii="仿宋" w:eastAsia="仿宋" w:hAnsi="仿宋" w:cs="仿宋" w:hint="eastAsia"/>
                <w:color w:val="000000"/>
                <w:sz w:val="28"/>
                <w:szCs w:val="28"/>
                <w:lang/>
              </w:rPr>
              <w:t>如实申报的责任追究条款，二是增加</w:t>
            </w:r>
            <w:proofErr w:type="gramStart"/>
            <w:r>
              <w:rPr>
                <w:rFonts w:ascii="仿宋" w:eastAsia="仿宋" w:hAnsi="仿宋" w:cs="仿宋" w:hint="eastAsia"/>
                <w:color w:val="000000"/>
                <w:sz w:val="28"/>
                <w:szCs w:val="28"/>
                <w:lang/>
              </w:rPr>
              <w:t>人社局</w:t>
            </w:r>
            <w:proofErr w:type="gramEnd"/>
            <w:r>
              <w:rPr>
                <w:rFonts w:ascii="仿宋" w:eastAsia="仿宋" w:hAnsi="仿宋" w:cs="仿宋" w:hint="eastAsia"/>
                <w:color w:val="000000"/>
                <w:sz w:val="28"/>
                <w:szCs w:val="28"/>
                <w:lang/>
              </w:rPr>
              <w:t>对新增工作任务和人员是否适配的监督检查条款。</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采纳后更有利于下一步监管。</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197368">
        <w:trPr>
          <w:gridAfter w:val="1"/>
          <w:wAfter w:w="22" w:type="pct"/>
          <w:trHeight w:val="4289"/>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12</w:t>
            </w:r>
          </w:p>
        </w:tc>
        <w:tc>
          <w:tcPr>
            <w:tcW w:w="710" w:type="pct"/>
            <w:vMerge/>
            <w:vAlign w:val="center"/>
          </w:tcPr>
          <w:p w:rsidR="004A5BBB" w:rsidRDefault="004A5BBB" w:rsidP="0061610D">
            <w:pPr>
              <w:spacing w:line="360" w:lineRule="exact"/>
              <w:jc w:val="center"/>
              <w:rPr>
                <w:rFonts w:ascii="仿宋" w:eastAsia="仿宋" w:hAnsi="仿宋" w:cs="仿宋" w:hint="eastAsia"/>
                <w:sz w:val="28"/>
                <w:szCs w:val="28"/>
              </w:rPr>
            </w:pP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2.第六条第二款容易产生歧义。建议一要明确“教育、法律、金融、规划、建筑、经贸、外语、医疗卫生、信息和高新技术”的定义，是指所学的专业还是所取得的资格证书，给予应聘人员明确指引。如会计学专业人员考取律师执业资格证书、具备律师从业资格，但如果套用该条款，</w:t>
            </w:r>
            <w:proofErr w:type="gramStart"/>
            <w:r>
              <w:rPr>
                <w:rFonts w:ascii="仿宋" w:eastAsia="仿宋" w:hAnsi="仿宋" w:cs="仿宋" w:hint="eastAsia"/>
                <w:color w:val="000000"/>
                <w:sz w:val="28"/>
                <w:szCs w:val="28"/>
                <w:lang/>
              </w:rPr>
              <w:t>似进不了</w:t>
            </w:r>
            <w:proofErr w:type="gramEnd"/>
            <w:r>
              <w:rPr>
                <w:rFonts w:ascii="仿宋" w:eastAsia="仿宋" w:hAnsi="仿宋" w:cs="仿宋" w:hint="eastAsia"/>
                <w:color w:val="000000"/>
                <w:sz w:val="28"/>
                <w:szCs w:val="28"/>
                <w:lang/>
              </w:rPr>
              <w:t>门槛；又如北大数学专业毕业生考取教师资格证，打算</w:t>
            </w:r>
            <w:proofErr w:type="gramStart"/>
            <w:r>
              <w:rPr>
                <w:rFonts w:ascii="仿宋" w:eastAsia="仿宋" w:hAnsi="仿宋" w:cs="仿宋" w:hint="eastAsia"/>
                <w:color w:val="000000"/>
                <w:sz w:val="28"/>
                <w:szCs w:val="28"/>
                <w:lang/>
              </w:rPr>
              <w:t>去小学</w:t>
            </w:r>
            <w:proofErr w:type="gramEnd"/>
            <w:r>
              <w:rPr>
                <w:rFonts w:ascii="仿宋" w:eastAsia="仿宋" w:hAnsi="仿宋" w:cs="仿宋" w:hint="eastAsia"/>
                <w:color w:val="000000"/>
                <w:sz w:val="28"/>
                <w:szCs w:val="28"/>
                <w:lang/>
              </w:rPr>
              <w:t>从事数学教学工作，是否符合条件。二要尽量明确“高新技术”“等”包含的内涵。</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部分采纳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本条指的是从事这些专业领域的专业技术岗位人员，各岗位人员招聘条件由用人单位根据具体的专业技术岗位确定。</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197368">
        <w:trPr>
          <w:gridAfter w:val="1"/>
          <w:wAfter w:w="22" w:type="pct"/>
          <w:trHeight w:val="4388"/>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13</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市统计局</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第六条“……专业技术编外人员是指市直机关事业单位为提高行政管理与服务水平的特定需要而聘用的相关领域专业人才，包括教育、法律、金融、规划、建筑、经贸、外语、医疗卫生、信息和高新技术等专业技术岗位。行政辅助编外人员是指市直机关事业单位为完成日常辅助性工作而聘用的工作人员。”建议增加统计专业技术岗位。理由如下：统计是专业性比较强的工作，国家人力资源和社会保障部、国家统计局联合开展统计专业技术资格考试，设高级、中级、初级三个级别。</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采纳后更完整</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2154"/>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14</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市中级人民法院</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第三十条提出如下修改意见：市法院、市检察院司法辅助人员的劳动报酬及考核，按我市对司法辅助人员管理的相关规定执行；市直其他非参照公务员法管理的公益一类事业单位（如市直公立中、小学）及公立幼儿园确有使用编外人员需求的，遵照本办法执行。</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同</w:t>
            </w:r>
            <w:r>
              <w:rPr>
                <w:rFonts w:ascii="仿宋" w:eastAsia="仿宋" w:hAnsi="仿宋" w:cs="仿宋" w:hint="eastAsia"/>
                <w:color w:val="000000"/>
                <w:sz w:val="28"/>
                <w:szCs w:val="28"/>
                <w:lang/>
              </w:rPr>
              <w:t>市委政法委员会</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9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15</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人民检察院</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《办法》第八章附则第三十条，“市法院、市检察院司法辅助人员的劳动报酬及考核仍按照《惠州市劳动合同制司法辅助人员管理暂行办法》（惠政发[2017]5号）的规定执行”，因该文件部分内容与《广东省劳</w:t>
            </w:r>
            <w:r>
              <w:rPr>
                <w:rFonts w:ascii="仿宋" w:eastAsia="仿宋" w:hAnsi="仿宋" w:cs="仿宋" w:hint="eastAsia"/>
                <w:color w:val="000000"/>
                <w:sz w:val="28"/>
                <w:szCs w:val="28"/>
                <w:lang/>
              </w:rPr>
              <w:lastRenderedPageBreak/>
              <w:t>动合同制司法辅助人员管理暂行规定》有冲突，2021年12月经市委政法委调研，有意结合实际对惠政法[2017]5号文进行修改，现正酝酿当中，建议征求市委政法</w:t>
            </w:r>
            <w:proofErr w:type="gramStart"/>
            <w:r>
              <w:rPr>
                <w:rFonts w:ascii="仿宋" w:eastAsia="仿宋" w:hAnsi="仿宋" w:cs="仿宋" w:hint="eastAsia"/>
                <w:color w:val="000000"/>
                <w:sz w:val="28"/>
                <w:szCs w:val="28"/>
                <w:lang/>
              </w:rPr>
              <w:t>委修改</w:t>
            </w:r>
            <w:proofErr w:type="gramEnd"/>
            <w:r>
              <w:rPr>
                <w:rFonts w:ascii="仿宋" w:eastAsia="仿宋" w:hAnsi="仿宋" w:cs="仿宋" w:hint="eastAsia"/>
                <w:color w:val="000000"/>
                <w:sz w:val="28"/>
                <w:szCs w:val="28"/>
                <w:lang/>
              </w:rPr>
              <w:t>意见后再确定第三十条的表述。</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lastRenderedPageBreak/>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同</w:t>
            </w:r>
            <w:r>
              <w:rPr>
                <w:rFonts w:ascii="仿宋" w:eastAsia="仿宋" w:hAnsi="仿宋" w:cs="仿宋" w:hint="eastAsia"/>
                <w:color w:val="000000"/>
                <w:sz w:val="28"/>
                <w:szCs w:val="28"/>
                <w:lang/>
              </w:rPr>
              <w:t>市委政法委员会</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115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16</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工程职业学院</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建议考虑高校办学条件师生比1∶18配备专任教师，专门出台适用于惠州市高等学校、中职学校的编外人员管理办法。</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由教育部门牵头拟制</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9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17</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大亚湾经济技术开发区</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第三十一条“各县（区）要参照本办法，制定编外人员管理办法，规范做好本地机关事业单位编外人员管理工作。”修改为“各县（区）可参照本办法执行，并结合实际另行拟定贯彻落实意见或业务指引，进一步加强本地机关事业单位编外人员的管理工作”。</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部分采纳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4"/>
              </w:rPr>
              <w:t>各县（区）可参照本办法制定本地的管理办法，也可遵照本办法执行，制定具体的贯彻落实细则</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1385"/>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惠城区</w:t>
            </w:r>
          </w:p>
        </w:tc>
        <w:tc>
          <w:tcPr>
            <w:tcW w:w="2308" w:type="pct"/>
            <w:vAlign w:val="center"/>
          </w:tcPr>
          <w:p w:rsidR="004A5BBB" w:rsidRDefault="004A5BBB" w:rsidP="0061610D">
            <w:pPr>
              <w:widowControl/>
              <w:spacing w:line="360" w:lineRule="exact"/>
              <w:textAlignment w:val="center"/>
              <w:rPr>
                <w:rFonts w:ascii="仿宋" w:eastAsia="仿宋" w:hAnsi="仿宋" w:cs="仿宋" w:hint="eastAsia"/>
                <w:sz w:val="28"/>
                <w:szCs w:val="28"/>
              </w:rPr>
            </w:pPr>
            <w:r>
              <w:rPr>
                <w:rFonts w:ascii="仿宋" w:eastAsia="仿宋" w:hAnsi="仿宋" w:cs="仿宋" w:hint="eastAsia"/>
                <w:color w:val="000000"/>
                <w:sz w:val="28"/>
                <w:szCs w:val="28"/>
                <w:lang/>
              </w:rPr>
              <w:t>1.关于《办法》第三章第九条第四款，建议不对乡镇（街道）作强制性要求。</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color w:val="000000"/>
                <w:sz w:val="28"/>
                <w:szCs w:val="28"/>
                <w:lang/>
              </w:rPr>
              <w:t>各乡镇（街道）的指标数由各县（区）根据实际确定，</w:t>
            </w:r>
            <w:r>
              <w:rPr>
                <w:rFonts w:ascii="仿宋" w:eastAsia="仿宋" w:hAnsi="仿宋" w:cs="仿宋" w:hint="eastAsia"/>
                <w:sz w:val="28"/>
                <w:szCs w:val="28"/>
              </w:rPr>
              <w:t>本款并没有对</w:t>
            </w:r>
            <w:r>
              <w:rPr>
                <w:rFonts w:ascii="仿宋" w:eastAsia="仿宋" w:hAnsi="仿宋" w:cs="仿宋" w:hint="eastAsia"/>
                <w:color w:val="000000"/>
                <w:sz w:val="28"/>
                <w:szCs w:val="28"/>
                <w:lang/>
              </w:rPr>
              <w:t>乡镇（街道）的</w:t>
            </w:r>
            <w:proofErr w:type="gramStart"/>
            <w:r>
              <w:rPr>
                <w:rFonts w:ascii="仿宋" w:eastAsia="仿宋" w:hAnsi="仿宋" w:cs="仿宋" w:hint="eastAsia"/>
                <w:color w:val="000000"/>
                <w:sz w:val="28"/>
                <w:szCs w:val="28"/>
                <w:lang/>
              </w:rPr>
              <w:t>指标数做强制性</w:t>
            </w:r>
            <w:proofErr w:type="gramEnd"/>
            <w:r>
              <w:rPr>
                <w:rFonts w:ascii="仿宋" w:eastAsia="仿宋" w:hAnsi="仿宋" w:cs="仿宋" w:hint="eastAsia"/>
                <w:color w:val="000000"/>
                <w:sz w:val="28"/>
                <w:szCs w:val="28"/>
                <w:lang/>
              </w:rPr>
              <w:t>要求。</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trHeight w:val="577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19</w:t>
            </w:r>
          </w:p>
        </w:tc>
        <w:tc>
          <w:tcPr>
            <w:tcW w:w="710"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color w:val="000000"/>
                <w:sz w:val="28"/>
                <w:szCs w:val="28"/>
                <w:lang/>
              </w:rPr>
              <w:t>惠城区</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sz w:val="28"/>
                <w:szCs w:val="28"/>
              </w:rPr>
            </w:pPr>
            <w:r>
              <w:rPr>
                <w:rFonts w:ascii="仿宋" w:eastAsia="仿宋" w:hAnsi="仿宋" w:cs="仿宋" w:hint="eastAsia"/>
                <w:color w:val="000000"/>
                <w:sz w:val="28"/>
                <w:szCs w:val="28"/>
                <w:lang/>
              </w:rPr>
              <w:t>2.关于《办法》第八章第三十一条中</w:t>
            </w:r>
            <w:proofErr w:type="gramStart"/>
            <w:r>
              <w:rPr>
                <w:rFonts w:ascii="仿宋" w:eastAsia="仿宋" w:hAnsi="仿宋" w:cs="仿宋" w:hint="eastAsia"/>
                <w:color w:val="000000"/>
                <w:sz w:val="28"/>
                <w:szCs w:val="28"/>
                <w:lang/>
              </w:rPr>
              <w:t>“</w:t>
            </w:r>
            <w:proofErr w:type="gramEnd"/>
            <w:r>
              <w:rPr>
                <w:rFonts w:ascii="仿宋" w:eastAsia="仿宋" w:hAnsi="仿宋" w:cs="仿宋" w:hint="eastAsia"/>
                <w:color w:val="000000"/>
                <w:sz w:val="28"/>
                <w:szCs w:val="28"/>
                <w:lang/>
              </w:rPr>
              <w:t>乡镇(街道)除镇村干部“大储备”人选外，不再招聘编外人员</w:t>
            </w:r>
            <w:proofErr w:type="gramStart"/>
            <w:r>
              <w:rPr>
                <w:rFonts w:ascii="仿宋" w:eastAsia="仿宋" w:hAnsi="仿宋" w:cs="仿宋" w:hint="eastAsia"/>
                <w:color w:val="000000"/>
                <w:sz w:val="28"/>
                <w:szCs w:val="28"/>
                <w:lang/>
              </w:rPr>
              <w:t>”</w:t>
            </w:r>
            <w:proofErr w:type="gramEnd"/>
            <w:r>
              <w:rPr>
                <w:rFonts w:ascii="仿宋" w:eastAsia="仿宋" w:hAnsi="仿宋" w:cs="仿宋" w:hint="eastAsia"/>
                <w:color w:val="000000"/>
                <w:sz w:val="28"/>
                <w:szCs w:val="28"/>
                <w:lang/>
              </w:rPr>
              <w:t>，建议修改为</w:t>
            </w:r>
            <w:proofErr w:type="gramStart"/>
            <w:r>
              <w:rPr>
                <w:rFonts w:ascii="仿宋" w:eastAsia="仿宋" w:hAnsi="仿宋" w:cs="仿宋" w:hint="eastAsia"/>
                <w:color w:val="000000"/>
                <w:sz w:val="28"/>
                <w:szCs w:val="28"/>
                <w:lang/>
              </w:rPr>
              <w:t>“</w:t>
            </w:r>
            <w:proofErr w:type="gramEnd"/>
            <w:r>
              <w:rPr>
                <w:rFonts w:ascii="仿宋" w:eastAsia="仿宋" w:hAnsi="仿宋" w:cs="仿宋" w:hint="eastAsia"/>
                <w:color w:val="000000"/>
                <w:sz w:val="28"/>
                <w:szCs w:val="28"/>
                <w:lang/>
              </w:rPr>
              <w:t>乡镇(街道)除镇村干部“大储备”人选和各县（区）规定的编外员额或人数外，不再招聘编外人员</w:t>
            </w:r>
            <w:proofErr w:type="gramStart"/>
            <w:r>
              <w:rPr>
                <w:rFonts w:ascii="仿宋" w:eastAsia="仿宋" w:hAnsi="仿宋" w:cs="仿宋" w:hint="eastAsia"/>
                <w:color w:val="000000"/>
                <w:sz w:val="28"/>
                <w:szCs w:val="28"/>
                <w:lang/>
              </w:rPr>
              <w:t>”</w:t>
            </w:r>
            <w:proofErr w:type="gramEnd"/>
            <w:r>
              <w:rPr>
                <w:rFonts w:ascii="仿宋" w:eastAsia="仿宋" w:hAnsi="仿宋" w:cs="仿宋" w:hint="eastAsia"/>
                <w:color w:val="000000"/>
                <w:sz w:val="28"/>
                <w:szCs w:val="28"/>
                <w:lang/>
              </w:rPr>
              <w:t>。理由为，第一，各镇（街道）编制数量有限，通过政府购买服务的形式仅能解决部分工作问题，目前编外人员仍是镇（街道）开展工作的重要力量。《办法》直接规定镇（街道）不再招聘编外人员，将导致镇（街道）工作力量不足。第二，为合理配置和规范管理各镇（街道）编外人员，我区按照控制总量、只减不增的原则，结合各镇（街道）辖区面积、户籍人口、常住人口和原有编外人员数等参考指标，于2020年明确了编外人员核定员额数，要求各镇（街道）招聘编外人员均在核定员额数内进行。</w:t>
            </w:r>
          </w:p>
        </w:tc>
        <w:tc>
          <w:tcPr>
            <w:tcW w:w="308"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不采纳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经咨询市委组织部，本条强调的是</w:t>
            </w:r>
            <w:r>
              <w:rPr>
                <w:rFonts w:ascii="仿宋" w:eastAsia="仿宋" w:hAnsi="仿宋" w:cs="仿宋" w:hint="eastAsia"/>
                <w:color w:val="000000"/>
                <w:sz w:val="28"/>
                <w:szCs w:val="28"/>
                <w:lang/>
              </w:rPr>
              <w:t>乡镇(街道)的编外人员必须是从镇村干部“大储备”人选中进行招聘，是控制乡镇（街道）编外人员队伍素质及总量的基本措施。</w:t>
            </w:r>
          </w:p>
        </w:tc>
        <w:tc>
          <w:tcPr>
            <w:tcW w:w="454" w:type="pct"/>
            <w:gridSpan w:val="2"/>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1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20</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sz w:val="28"/>
                <w:szCs w:val="28"/>
              </w:rPr>
              <w:t>市</w:t>
            </w:r>
            <w:proofErr w:type="gramStart"/>
            <w:r>
              <w:rPr>
                <w:rFonts w:ascii="仿宋" w:eastAsia="仿宋" w:hAnsi="仿宋" w:cs="仿宋" w:hint="eastAsia"/>
                <w:sz w:val="28"/>
                <w:szCs w:val="28"/>
              </w:rPr>
              <w:t>人社局</w:t>
            </w:r>
            <w:proofErr w:type="gramEnd"/>
            <w:r>
              <w:rPr>
                <w:rFonts w:ascii="仿宋" w:eastAsia="仿宋" w:hAnsi="仿宋" w:cs="仿宋" w:hint="eastAsia"/>
                <w:sz w:val="28"/>
                <w:szCs w:val="28"/>
              </w:rPr>
              <w:t>养老失业保险科</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sz w:val="28"/>
                <w:szCs w:val="28"/>
              </w:rPr>
            </w:pPr>
            <w:r>
              <w:rPr>
                <w:rFonts w:ascii="仿宋" w:eastAsia="仿宋" w:hAnsi="仿宋" w:cs="仿宋" w:hint="eastAsia"/>
                <w:color w:val="000000"/>
                <w:sz w:val="28"/>
                <w:szCs w:val="28"/>
                <w:lang/>
              </w:rPr>
              <w:t>建议在“第二十三条 编外人员的工资、社会保险、住房公积金、年终绩效奖、福利等具体标准按另行制定的办法执行”，增加企业年金。其他部分无意见。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不采纳</w:t>
            </w:r>
          </w:p>
        </w:tc>
        <w:tc>
          <w:tcPr>
            <w:tcW w:w="951" w:type="pct"/>
            <w:vAlign w:val="center"/>
          </w:tcPr>
          <w:p w:rsidR="004A5BBB" w:rsidRDefault="004A5BBB"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一是增加企业年金会大幅增加财政支出；二是大部分编外人员工资待遇处于中等稍偏下水平，增加企业年金会进一</w:t>
            </w:r>
            <w:r>
              <w:rPr>
                <w:rFonts w:ascii="仿宋" w:eastAsia="仿宋" w:hAnsi="仿宋" w:cs="仿宋" w:hint="eastAsia"/>
                <w:sz w:val="28"/>
                <w:szCs w:val="28"/>
              </w:rPr>
              <w:lastRenderedPageBreak/>
              <w:t>步拉</w:t>
            </w:r>
            <w:proofErr w:type="gramStart"/>
            <w:r>
              <w:rPr>
                <w:rFonts w:ascii="仿宋" w:eastAsia="仿宋" w:hAnsi="仿宋" w:cs="仿宋" w:hint="eastAsia"/>
                <w:sz w:val="28"/>
                <w:szCs w:val="28"/>
              </w:rPr>
              <w:t>低其实</w:t>
            </w:r>
            <w:proofErr w:type="gramEnd"/>
            <w:r>
              <w:rPr>
                <w:rFonts w:ascii="仿宋" w:eastAsia="仿宋" w:hAnsi="仿宋" w:cs="仿宋" w:hint="eastAsia"/>
                <w:sz w:val="28"/>
                <w:szCs w:val="28"/>
              </w:rPr>
              <w:t>发工资，降低编外人员的获得感。</w:t>
            </w: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21</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市委组织部</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22</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市委军民融合发展委员会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23</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市委政策研究室</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24</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市委宣传部</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25</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市委外事工作委员会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26</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团市委</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27</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市教育局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sz w:val="28"/>
                <w:szCs w:val="28"/>
              </w:rPr>
              <w:t>28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lang/>
              </w:rPr>
            </w:pPr>
            <w:r>
              <w:rPr>
                <w:rFonts w:ascii="仿宋" w:eastAsia="仿宋" w:hAnsi="仿宋" w:cs="仿宋" w:hint="eastAsia"/>
                <w:color w:val="000000"/>
                <w:sz w:val="28"/>
                <w:szCs w:val="28"/>
                <w:lang/>
              </w:rPr>
              <w:t>市司法局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color w:val="000000"/>
                <w:sz w:val="28"/>
                <w:szCs w:val="28"/>
                <w:lang/>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29</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市生态环境局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30</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市住房和城乡建设局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31</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市交通运输局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lastRenderedPageBreak/>
              <w:t>32</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市水利局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33</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市农业农村局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34</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市商务局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35</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市文化广电旅游体育局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36</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市退役军人事务局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37</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市应急管理局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sz w:val="28"/>
                <w:szCs w:val="28"/>
              </w:rPr>
              <w:t>38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市市场监管管理局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sz w:val="28"/>
                <w:szCs w:val="28"/>
              </w:rPr>
              <w:t>39</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市城乡管理和综合执法局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40</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市信访局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41</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市政务服务数据管理局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42</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市能源和重点项目局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43</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市林业局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44</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sz w:val="28"/>
                <w:szCs w:val="28"/>
                <w:lang/>
              </w:rPr>
              <w:t>市机关事务管理局</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45</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市国资委</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46</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市直属机关工作委员会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47</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市妇女联合会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48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市文学艺术界联合会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49</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市归国华侨联合会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785"/>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50</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市市政园林事务中心</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890"/>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51</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proofErr w:type="gramStart"/>
            <w:r>
              <w:rPr>
                <w:rFonts w:ascii="仿宋" w:eastAsia="仿宋" w:hAnsi="仿宋" w:cs="仿宋" w:hint="eastAsia"/>
                <w:color w:val="000000"/>
                <w:sz w:val="28"/>
                <w:szCs w:val="28"/>
                <w:lang/>
              </w:rPr>
              <w:t>市</w:t>
            </w:r>
            <w:proofErr w:type="gramEnd"/>
            <w:r>
              <w:rPr>
                <w:rFonts w:ascii="仿宋" w:eastAsia="仿宋" w:hAnsi="仿宋" w:cs="仿宋" w:hint="eastAsia"/>
                <w:color w:val="000000"/>
                <w:sz w:val="28"/>
                <w:szCs w:val="28"/>
                <w:lang/>
              </w:rPr>
              <w:t>市容环境卫生事务中心</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52</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市住房公积金管理中心</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53</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市公路事务中心</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kern w:val="2"/>
                <w:sz w:val="28"/>
                <w:szCs w:val="28"/>
              </w:rPr>
            </w:pPr>
          </w:p>
        </w:tc>
        <w:tc>
          <w:tcPr>
            <w:tcW w:w="951" w:type="pct"/>
            <w:vAlign w:val="center"/>
          </w:tcPr>
          <w:p w:rsidR="004A5BBB" w:rsidRDefault="004A5BBB" w:rsidP="0061610D">
            <w:pPr>
              <w:spacing w:line="360" w:lineRule="exact"/>
              <w:rPr>
                <w:rFonts w:ascii="仿宋" w:eastAsia="仿宋" w:hAnsi="仿宋" w:cs="仿宋" w:hint="eastAsia"/>
                <w:kern w:val="2"/>
                <w:sz w:val="28"/>
                <w:szCs w:val="28"/>
              </w:rPr>
            </w:pPr>
          </w:p>
        </w:tc>
        <w:tc>
          <w:tcPr>
            <w:tcW w:w="432" w:type="pct"/>
          </w:tcPr>
          <w:p w:rsidR="004A5BBB" w:rsidRDefault="004A5BBB" w:rsidP="0061610D">
            <w:pPr>
              <w:spacing w:line="360" w:lineRule="exact"/>
              <w:rPr>
                <w:rFonts w:ascii="仿宋" w:eastAsia="仿宋" w:hAnsi="仿宋" w:cs="仿宋" w:hint="eastAsia"/>
                <w:kern w:val="2"/>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54</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市工商业联合会</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lastRenderedPageBreak/>
              <w:t>55</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惠阳区</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56</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惠东县</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57</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博罗县</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sz w:val="28"/>
                <w:szCs w:val="28"/>
              </w:rPr>
            </w:pPr>
            <w:r>
              <w:rPr>
                <w:rFonts w:ascii="仿宋" w:eastAsia="仿宋" w:hAnsi="仿宋" w:cs="仿宋" w:hint="eastAsia"/>
                <w:color w:val="000000"/>
                <w:sz w:val="28"/>
                <w:szCs w:val="28"/>
                <w:lang/>
              </w:rPr>
              <w:t>58</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龙门县</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r w:rsidR="004A5BBB" w:rsidTr="0061610D">
        <w:trPr>
          <w:gridAfter w:val="1"/>
          <w:wAfter w:w="22" w:type="pct"/>
          <w:trHeight w:val="567"/>
        </w:trPr>
        <w:tc>
          <w:tcPr>
            <w:tcW w:w="267" w:type="pct"/>
            <w:vAlign w:val="center"/>
          </w:tcPr>
          <w:p w:rsidR="004A5BBB" w:rsidRDefault="004A5BBB"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59</w:t>
            </w:r>
          </w:p>
        </w:tc>
        <w:tc>
          <w:tcPr>
            <w:tcW w:w="710" w:type="pct"/>
            <w:vAlign w:val="center"/>
          </w:tcPr>
          <w:p w:rsidR="004A5BBB" w:rsidRDefault="004A5BBB" w:rsidP="0061610D">
            <w:pPr>
              <w:widowControl/>
              <w:spacing w:line="360" w:lineRule="exact"/>
              <w:jc w:val="center"/>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仲恺高新区</w:t>
            </w:r>
          </w:p>
        </w:tc>
        <w:tc>
          <w:tcPr>
            <w:tcW w:w="2308" w:type="pct"/>
            <w:vAlign w:val="center"/>
          </w:tcPr>
          <w:p w:rsidR="004A5BBB" w:rsidRDefault="004A5BBB" w:rsidP="0061610D">
            <w:pPr>
              <w:widowControl/>
              <w:spacing w:line="360" w:lineRule="exact"/>
              <w:jc w:val="left"/>
              <w:textAlignment w:val="center"/>
              <w:rPr>
                <w:rFonts w:ascii="仿宋" w:eastAsia="仿宋" w:hAnsi="仿宋" w:cs="仿宋" w:hint="eastAsia"/>
                <w:kern w:val="2"/>
                <w:sz w:val="28"/>
                <w:szCs w:val="28"/>
              </w:rPr>
            </w:pPr>
            <w:r>
              <w:rPr>
                <w:rFonts w:ascii="仿宋" w:eastAsia="仿宋" w:hAnsi="仿宋" w:cs="仿宋" w:hint="eastAsia"/>
                <w:color w:val="000000"/>
                <w:sz w:val="28"/>
                <w:szCs w:val="28"/>
                <w:lang/>
              </w:rPr>
              <w:t>无意见</w:t>
            </w:r>
          </w:p>
        </w:tc>
        <w:tc>
          <w:tcPr>
            <w:tcW w:w="308" w:type="pct"/>
            <w:vAlign w:val="center"/>
          </w:tcPr>
          <w:p w:rsidR="004A5BBB" w:rsidRDefault="004A5BBB" w:rsidP="0061610D">
            <w:pPr>
              <w:spacing w:line="360" w:lineRule="exact"/>
              <w:jc w:val="center"/>
              <w:rPr>
                <w:rFonts w:ascii="仿宋" w:eastAsia="仿宋" w:hAnsi="仿宋" w:cs="仿宋" w:hint="eastAsia"/>
                <w:sz w:val="28"/>
                <w:szCs w:val="28"/>
              </w:rPr>
            </w:pPr>
          </w:p>
        </w:tc>
        <w:tc>
          <w:tcPr>
            <w:tcW w:w="951" w:type="pct"/>
            <w:vAlign w:val="center"/>
          </w:tcPr>
          <w:p w:rsidR="004A5BBB" w:rsidRDefault="004A5BBB" w:rsidP="0061610D">
            <w:pPr>
              <w:spacing w:line="360" w:lineRule="exact"/>
              <w:rPr>
                <w:rFonts w:ascii="仿宋" w:eastAsia="仿宋" w:hAnsi="仿宋" w:cs="仿宋" w:hint="eastAsia"/>
                <w:sz w:val="28"/>
                <w:szCs w:val="28"/>
              </w:rPr>
            </w:pPr>
          </w:p>
        </w:tc>
        <w:tc>
          <w:tcPr>
            <w:tcW w:w="432" w:type="pct"/>
          </w:tcPr>
          <w:p w:rsidR="004A5BBB" w:rsidRDefault="004A5BBB" w:rsidP="0061610D">
            <w:pPr>
              <w:spacing w:line="360" w:lineRule="exact"/>
              <w:rPr>
                <w:rFonts w:ascii="仿宋" w:eastAsia="仿宋" w:hAnsi="仿宋" w:cs="仿宋" w:hint="eastAsia"/>
                <w:sz w:val="28"/>
                <w:szCs w:val="28"/>
              </w:rPr>
            </w:pPr>
          </w:p>
        </w:tc>
      </w:tr>
    </w:tbl>
    <w:p w:rsidR="0060268F" w:rsidRDefault="0060268F"/>
    <w:sectPr w:rsidR="0060268F" w:rsidSect="004A5BB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5BBB"/>
    <w:rsid w:val="00197368"/>
    <w:rsid w:val="004A5BBB"/>
    <w:rsid w:val="0060268F"/>
    <w:rsid w:val="00E26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A5BBB"/>
    <w:pPr>
      <w:widowControl w:val="0"/>
      <w:spacing w:line="240" w:lineRule="auto"/>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4A5BB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A5BBB"/>
    <w:pPr>
      <w:widowControl w:val="0"/>
      <w:spacing w:line="240" w:lineRule="auto"/>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4A5BB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686</Words>
  <Characters>3914</Characters>
  <Application>Microsoft Office Word</Application>
  <DocSecurity>0</DocSecurity>
  <Lines>32</Lines>
  <Paragraphs>9</Paragraphs>
  <ScaleCrop>false</ScaleCrop>
  <Company>Lenovo</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2022-08-23T08:44:00Z</dcterms:created>
  <dcterms:modified xsi:type="dcterms:W3CDTF">2022-08-23T08:49:00Z</dcterms:modified>
</cp:coreProperties>
</file>