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Times New Roman" w:eastAsia="仿宋_GB2312" w:cs="Times New Roman"/>
          <w:b/>
          <w:bCs/>
          <w:kern w:val="0"/>
          <w:sz w:val="30"/>
          <w:szCs w:val="30"/>
        </w:rPr>
      </w:pPr>
      <w:r>
        <w:rPr>
          <w:rFonts w:hint="eastAsia" w:ascii="仿宋_GB2312" w:hAnsi="Times New Roman" w:eastAsia="仿宋_GB2312" w:cs="Times New Roman"/>
          <w:b/>
          <w:bCs/>
          <w:kern w:val="0"/>
          <w:sz w:val="30"/>
          <w:szCs w:val="30"/>
        </w:rPr>
        <w:t>附件:</w:t>
      </w:r>
      <w:bookmarkStart w:id="0" w:name="_GoBack"/>
      <w:bookmarkEnd w:id="0"/>
    </w:p>
    <w:p>
      <w:pPr>
        <w:spacing w:line="600" w:lineRule="exact"/>
        <w:jc w:val="left"/>
        <w:rPr>
          <w:rFonts w:ascii="Times New Roman" w:hAnsi="Times New Roman" w:eastAsia="黑体" w:cs="Times New Roman"/>
          <w:sz w:val="44"/>
          <w:szCs w:val="44"/>
        </w:rPr>
      </w:pPr>
    </w:p>
    <w:p>
      <w:pPr>
        <w:spacing w:line="600" w:lineRule="exact"/>
        <w:jc w:val="center"/>
        <w:rPr>
          <w:rFonts w:ascii="方正大标宋简体" w:hAnsi="华文中宋" w:eastAsia="方正大标宋简体" w:cs="Times New Roman"/>
          <w:sz w:val="42"/>
          <w:szCs w:val="42"/>
        </w:rPr>
      </w:pPr>
      <w:r>
        <w:rPr>
          <w:rFonts w:ascii="方正大标宋简体" w:hAnsi="华文中宋" w:eastAsia="方正大标宋简体" w:cs="Times New Roman"/>
          <w:sz w:val="42"/>
          <w:szCs w:val="42"/>
        </w:rPr>
        <w:t>《上海证券交易所公开募集基础设施证券投资基金（REITs）</w:t>
      </w:r>
      <w:r>
        <w:rPr>
          <w:rFonts w:hint="eastAsia" w:ascii="方正大标宋简体" w:hAnsi="华文中宋" w:eastAsia="方正大标宋简体" w:cs="Times New Roman"/>
          <w:sz w:val="42"/>
          <w:szCs w:val="42"/>
        </w:rPr>
        <w:t>规则适用</w:t>
      </w:r>
      <w:r>
        <w:rPr>
          <w:rFonts w:ascii="方正大标宋简体" w:hAnsi="华文中宋" w:eastAsia="方正大标宋简体" w:cs="Times New Roman"/>
          <w:sz w:val="42"/>
          <w:szCs w:val="42"/>
        </w:rPr>
        <w:t>指引第</w:t>
      </w:r>
      <w:r>
        <w:rPr>
          <w:rFonts w:hint="eastAsia" w:ascii="方正大标宋简体" w:hAnsi="华文中宋" w:eastAsia="方正大标宋简体" w:cs="Times New Roman"/>
          <w:sz w:val="42"/>
          <w:szCs w:val="42"/>
        </w:rPr>
        <w:t>4</w:t>
      </w:r>
      <w:r>
        <w:rPr>
          <w:rFonts w:ascii="方正大标宋简体" w:hAnsi="华文中宋" w:eastAsia="方正大标宋简体" w:cs="Times New Roman"/>
          <w:sz w:val="42"/>
          <w:szCs w:val="42"/>
        </w:rPr>
        <w:t>号</w:t>
      </w:r>
    </w:p>
    <w:p>
      <w:pPr>
        <w:spacing w:line="600" w:lineRule="exact"/>
        <w:jc w:val="center"/>
        <w:rPr>
          <w:rFonts w:ascii="方正大标宋简体" w:hAnsi="华文中宋" w:eastAsia="方正大标宋简体" w:cs="Times New Roman"/>
          <w:sz w:val="42"/>
          <w:szCs w:val="42"/>
        </w:rPr>
      </w:pPr>
      <w:r>
        <w:rPr>
          <w:rFonts w:ascii="方正大标宋简体" w:hAnsi="华文中宋" w:eastAsia="方正大标宋简体" w:cs="Times New Roman"/>
          <w:sz w:val="42"/>
          <w:szCs w:val="42"/>
        </w:rPr>
        <w:t>——</w:t>
      </w:r>
      <w:r>
        <w:rPr>
          <w:rFonts w:hint="eastAsia" w:ascii="方正大标宋简体" w:hAnsi="华文中宋" w:eastAsia="方正大标宋简体" w:cs="Times New Roman"/>
          <w:sz w:val="42"/>
          <w:szCs w:val="42"/>
        </w:rPr>
        <w:t>保障性租赁住房</w:t>
      </w:r>
      <w:r>
        <w:rPr>
          <w:rFonts w:ascii="方正大标宋简体" w:hAnsi="华文中宋" w:eastAsia="方正大标宋简体" w:cs="Times New Roman"/>
          <w:sz w:val="42"/>
          <w:szCs w:val="42"/>
        </w:rPr>
        <w:t>（试行）》起草说明</w:t>
      </w:r>
    </w:p>
    <w:p>
      <w:pPr>
        <w:spacing w:line="600" w:lineRule="exact"/>
        <w:rPr>
          <w:rFonts w:ascii="Times New Roman" w:hAnsi="Times New Roman" w:eastAsia="黑体" w:cs="Times New Roman"/>
          <w:sz w:val="44"/>
          <w:szCs w:val="44"/>
        </w:rPr>
      </w:pPr>
    </w:p>
    <w:p>
      <w:pPr>
        <w:spacing w:line="600" w:lineRule="exact"/>
        <w:ind w:firstLine="602" w:firstLineChars="200"/>
        <w:outlineLvl w:val="0"/>
        <w:rPr>
          <w:rFonts w:ascii="Times New Roman" w:hAnsi="Times New Roman" w:eastAsia="黑体" w:cs="Times New Roman"/>
          <w:b/>
          <w:sz w:val="30"/>
          <w:szCs w:val="30"/>
        </w:rPr>
      </w:pPr>
      <w:r>
        <w:rPr>
          <w:rFonts w:hint="eastAsia" w:ascii="Times New Roman" w:hAnsi="Times New Roman" w:eastAsia="黑体" w:cs="Times New Roman"/>
          <w:b/>
          <w:sz w:val="30"/>
          <w:szCs w:val="30"/>
        </w:rPr>
        <w:t>一、制定背景</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贯彻落实党中央、国务院关于加快发展保障性租赁住房，进一步盘活存量资产、扩大有效投资的决策部署，规范做好保障性租赁住房试点发行基础设施领域不动产投资信托基金（以下简称基础设施REITs）有关工作，根据《中国证监会办公厅 国家发展改革委办公厅关于规范做好保障性租赁住房试点发行基础设施领域不动产投资信托基金（REITs）有关工作的通知》（证监办发〔2022〕53号，以下简称《保障性租赁住房REITs通知》）要求</w:t>
      </w: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上海</w:t>
      </w:r>
      <w:r>
        <w:rPr>
          <w:rFonts w:ascii="Times New Roman" w:hAnsi="Times New Roman" w:eastAsia="仿宋_GB2312" w:cs="Times New Roman"/>
          <w:sz w:val="30"/>
          <w:szCs w:val="30"/>
        </w:rPr>
        <w:t>证券交易所（以下简称本所）</w:t>
      </w:r>
      <w:r>
        <w:rPr>
          <w:rFonts w:hint="eastAsia" w:ascii="Times New Roman" w:hAnsi="Times New Roman" w:eastAsia="仿宋_GB2312" w:cs="Times New Roman"/>
          <w:sz w:val="30"/>
          <w:szCs w:val="30"/>
        </w:rPr>
        <w:t>制定</w:t>
      </w:r>
      <w:r>
        <w:rPr>
          <w:rFonts w:ascii="Times New Roman" w:hAnsi="Times New Roman" w:eastAsia="仿宋_GB2312" w:cs="Times New Roman"/>
          <w:sz w:val="30"/>
          <w:szCs w:val="30"/>
        </w:rPr>
        <w:t>了《</w:t>
      </w:r>
      <w:r>
        <w:rPr>
          <w:rFonts w:hint="eastAsia" w:ascii="Times New Roman" w:hAnsi="Times New Roman" w:eastAsia="仿宋_GB2312" w:cs="Times New Roman"/>
          <w:sz w:val="30"/>
          <w:szCs w:val="30"/>
        </w:rPr>
        <w:t>上海证券交易所公开募集基础设施证券投资基金（REITs）规则适用指引第4号—保障性租赁住房（试行）</w:t>
      </w:r>
      <w:r>
        <w:rPr>
          <w:rFonts w:ascii="Times New Roman" w:hAnsi="Times New Roman" w:eastAsia="仿宋_GB2312" w:cs="Times New Roman"/>
          <w:sz w:val="30"/>
          <w:szCs w:val="30"/>
        </w:rPr>
        <w:t>》（以下简称《</w:t>
      </w:r>
      <w:r>
        <w:rPr>
          <w:rFonts w:hint="eastAsia" w:ascii="Times New Roman" w:hAnsi="Times New Roman" w:eastAsia="仿宋_GB2312" w:cs="Times New Roman"/>
          <w:sz w:val="30"/>
          <w:szCs w:val="30"/>
        </w:rPr>
        <w:t>保障性租赁住房REITs指引</w:t>
      </w:r>
      <w:r>
        <w:rPr>
          <w:rFonts w:ascii="Times New Roman" w:hAnsi="Times New Roman" w:eastAsia="仿宋_GB2312" w:cs="Times New Roman"/>
          <w:sz w:val="30"/>
          <w:szCs w:val="30"/>
        </w:rPr>
        <w:t>》）。</w:t>
      </w:r>
    </w:p>
    <w:p>
      <w:pPr>
        <w:spacing w:line="600" w:lineRule="exact"/>
        <w:ind w:firstLine="602" w:firstLineChars="200"/>
        <w:outlineLvl w:val="0"/>
        <w:rPr>
          <w:rFonts w:ascii="Times New Roman" w:hAnsi="Times New Roman" w:eastAsia="黑体"/>
          <w:b/>
          <w:sz w:val="30"/>
          <w:szCs w:val="30"/>
        </w:rPr>
      </w:pPr>
      <w:r>
        <w:rPr>
          <w:rFonts w:ascii="Times New Roman" w:hAnsi="Times New Roman" w:eastAsia="黑体" w:cs="Times New Roman"/>
          <w:b/>
          <w:sz w:val="30"/>
          <w:szCs w:val="30"/>
        </w:rPr>
        <w:t>二、</w:t>
      </w:r>
      <w:r>
        <w:rPr>
          <w:rFonts w:ascii="Times New Roman" w:hAnsi="Times New Roman" w:eastAsia="黑体"/>
          <w:b/>
          <w:sz w:val="30"/>
          <w:szCs w:val="30"/>
        </w:rPr>
        <w:t>主要内容</w:t>
      </w:r>
    </w:p>
    <w:p>
      <w:pPr>
        <w:spacing w:line="60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rPr>
        <w:t>保障性租赁住房REITs指引</w:t>
      </w:r>
      <w:r>
        <w:rPr>
          <w:rFonts w:ascii="Times New Roman" w:hAnsi="Times New Roman" w:eastAsia="仿宋_GB2312" w:cs="Times New Roman"/>
          <w:sz w:val="30"/>
          <w:szCs w:val="30"/>
        </w:rPr>
        <w:t>》共</w:t>
      </w:r>
      <w:r>
        <w:rPr>
          <w:rFonts w:hint="eastAsia" w:ascii="Times New Roman" w:hAnsi="Times New Roman" w:eastAsia="仿宋_GB2312" w:cs="Times New Roman"/>
          <w:sz w:val="30"/>
          <w:szCs w:val="30"/>
        </w:rPr>
        <w:t>计5</w:t>
      </w:r>
      <w:r>
        <w:rPr>
          <w:rFonts w:ascii="Times New Roman" w:hAnsi="Times New Roman" w:eastAsia="仿宋_GB2312" w:cs="Times New Roman"/>
          <w:sz w:val="30"/>
          <w:szCs w:val="30"/>
        </w:rPr>
        <w:t>章</w:t>
      </w:r>
      <w:r>
        <w:rPr>
          <w:rFonts w:hint="eastAsia" w:ascii="Times New Roman" w:hAnsi="Times New Roman" w:eastAsia="仿宋_GB2312" w:cs="Times New Roman"/>
          <w:sz w:val="30"/>
          <w:szCs w:val="30"/>
        </w:rPr>
        <w:t>18</w:t>
      </w:r>
      <w:r>
        <w:rPr>
          <w:rFonts w:ascii="Times New Roman" w:hAnsi="Times New Roman" w:eastAsia="仿宋_GB2312" w:cs="Times New Roman"/>
          <w:sz w:val="30"/>
          <w:szCs w:val="30"/>
        </w:rPr>
        <w:t>条，</w:t>
      </w:r>
      <w:r>
        <w:rPr>
          <w:rFonts w:hint="eastAsia" w:ascii="Times New Roman" w:hAnsi="Times New Roman" w:eastAsia="仿宋_GB2312" w:cs="Times New Roman"/>
          <w:sz w:val="30"/>
          <w:szCs w:val="30"/>
        </w:rPr>
        <w:t>分为总则、业务参与机构与基础设施项目、回收资金使用与监管、运营管理与信息披露、附则。</w:t>
      </w:r>
      <w:r>
        <w:rPr>
          <w:rFonts w:ascii="Times New Roman" w:hAnsi="Times New Roman" w:eastAsia="仿宋_GB2312" w:cs="Times New Roman"/>
          <w:sz w:val="30"/>
          <w:szCs w:val="30"/>
        </w:rPr>
        <w:t>主要</w:t>
      </w:r>
      <w:r>
        <w:rPr>
          <w:rFonts w:hint="eastAsia" w:ascii="Times New Roman" w:hAnsi="Times New Roman" w:eastAsia="仿宋_GB2312" w:cs="Times New Roman"/>
          <w:sz w:val="30"/>
          <w:szCs w:val="30"/>
        </w:rPr>
        <w:t>内容如下：</w:t>
      </w:r>
    </w:p>
    <w:p>
      <w:pPr>
        <w:spacing w:line="560" w:lineRule="exact"/>
        <w:ind w:firstLine="602" w:firstLineChars="200"/>
        <w:outlineLvl w:val="0"/>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（一）细化业务参与机构与基础设施项目准入要求</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严格落实国家房地产调控政策要求，在《保障性租赁住房REITs通知》明确保障性租赁住房基础设施REITs原始权益人应当为开展保障性租赁住房业务的独立法人主体基础上，进一步明确原始权益人控股股东或者其关联方业务范围涉及商品住宅和商业地产开发情形下的业务隔离要求。同时，明确保障性租赁住房基础设施REITs的项目应当经有关部门认定为保障性租赁住房项目，且配租对象、租金标准等符合相关政策要求。</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根据《国务院办公厅关于进一步盘活存量资产扩大有效投资的意见》（国办发〔2022〕19号）要求，明确对满足基础设施基金上市要求、符合市场预期、确保风险可控，且已能够实现长期稳定收益的项目灵活确定运营年限要求。</w:t>
      </w:r>
    </w:p>
    <w:p>
      <w:pPr>
        <w:spacing w:line="560" w:lineRule="exact"/>
        <w:ind w:firstLine="602" w:firstLineChars="200"/>
        <w:outlineLvl w:val="0"/>
        <w:rPr>
          <w:rFonts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rPr>
        <w:t>（二）明确回收资金使用与监管要求</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促进保障性租赁住房领域投融资良性循环，在《保障性租赁住房REITs通知》基础上，明确因特殊原因导致回收资金投资计划无法正常执行，确需变更回收资金用途的，原始权益人应当向本所提交回收资金投向变更报告，基金管理人应当确认符合回收资金投向要求并披露临时报告。</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为防范回收资金进入</w:t>
      </w:r>
      <w:r>
        <w:rPr>
          <w:rFonts w:ascii="Times New Roman" w:hAnsi="Times New Roman" w:eastAsia="仿宋_GB2312" w:cs="Times New Roman"/>
          <w:sz w:val="30"/>
          <w:szCs w:val="30"/>
        </w:rPr>
        <w:t>非租赁住房等房地产开发</w:t>
      </w:r>
      <w:r>
        <w:rPr>
          <w:rFonts w:hint="eastAsia" w:ascii="Times New Roman" w:hAnsi="Times New Roman" w:eastAsia="仿宋_GB2312" w:cs="Times New Roman"/>
          <w:sz w:val="30"/>
          <w:szCs w:val="30"/>
        </w:rPr>
        <w:t>领域，对于原始权益人控股股东或者其关联方的业务范围涉及商品住宅和商业地产开发的，要求原始权益人应当建立并落实回收资金管理制度，对回收资金严格实行闭环管理。同时，明确回收资金投资的新项目通过子公司或者其他关联方实施的，该子公司或者其他关联方也应当遵守原始权益人相关回收资金管理制度。</w:t>
      </w:r>
    </w:p>
    <w:p>
      <w:pPr>
        <w:spacing w:line="560" w:lineRule="exact"/>
        <w:ind w:firstLine="602" w:firstLineChars="200"/>
        <w:outlineLvl w:val="0"/>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（三）明确</w:t>
      </w:r>
      <w:r>
        <w:rPr>
          <w:rFonts w:hint="eastAsia" w:ascii="Times New Roman" w:hAnsi="Times New Roman" w:eastAsia="仿宋_GB2312" w:cs="Times New Roman"/>
          <w:b/>
          <w:kern w:val="0"/>
          <w:sz w:val="30"/>
          <w:szCs w:val="30"/>
        </w:rPr>
        <w:t>运营管理及信息披露要求</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运营管理方面，要求基金管理人和运营管理机构按照国家有关保障性租赁住房相关政策制定适宜的运营管理机制，提高运营效率，促进保障性租赁住房领域运营管理专业化。</w:t>
      </w:r>
    </w:p>
    <w:p>
      <w:pPr>
        <w:spacing w:line="600" w:lineRule="exac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信息披露方面，针对保障性租赁住房基础设施REITs特征，明确招募说明书除常规披露事项外，还应当披露原始权益人业务独立性情况、保障性租赁住房认定依据和历史运营数据，以及回收资金使用安排等。</w:t>
      </w:r>
    </w:p>
    <w:p>
      <w:pPr>
        <w:spacing w:line="600" w:lineRule="exact"/>
        <w:ind w:firstLine="600" w:firstLineChars="200"/>
        <w:rPr>
          <w:rFonts w:ascii="Times New Roman" w:hAnsi="Times New Roman" w:eastAsia="仿宋_GB2312" w:cs="Times New Roman"/>
          <w:color w:val="333333"/>
          <w:sz w:val="30"/>
          <w:szCs w:val="30"/>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707438"/>
      <w:docPartObj>
        <w:docPartGallery w:val="AutoText"/>
      </w:docPartObj>
    </w:sdtPr>
    <w:sdtContent>
      <w:p>
        <w:pPr>
          <w:pStyle w:val="5"/>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35F4"/>
    <w:rsid w:val="0001236B"/>
    <w:rsid w:val="00014A23"/>
    <w:rsid w:val="00031CC8"/>
    <w:rsid w:val="000408A6"/>
    <w:rsid w:val="000461C3"/>
    <w:rsid w:val="00057149"/>
    <w:rsid w:val="00061150"/>
    <w:rsid w:val="0006541E"/>
    <w:rsid w:val="00065724"/>
    <w:rsid w:val="00067FA8"/>
    <w:rsid w:val="00071FEE"/>
    <w:rsid w:val="000815FA"/>
    <w:rsid w:val="00082732"/>
    <w:rsid w:val="0008692F"/>
    <w:rsid w:val="00090C64"/>
    <w:rsid w:val="00090FAE"/>
    <w:rsid w:val="00093918"/>
    <w:rsid w:val="000956F9"/>
    <w:rsid w:val="000B43E1"/>
    <w:rsid w:val="000C02DA"/>
    <w:rsid w:val="000C7630"/>
    <w:rsid w:val="000D1DAC"/>
    <w:rsid w:val="000D3C0C"/>
    <w:rsid w:val="000E0270"/>
    <w:rsid w:val="000E34A9"/>
    <w:rsid w:val="000E49A2"/>
    <w:rsid w:val="000E6F78"/>
    <w:rsid w:val="00110473"/>
    <w:rsid w:val="00111F9F"/>
    <w:rsid w:val="001137B8"/>
    <w:rsid w:val="001148B6"/>
    <w:rsid w:val="0013248C"/>
    <w:rsid w:val="00141291"/>
    <w:rsid w:val="00147D33"/>
    <w:rsid w:val="001805D3"/>
    <w:rsid w:val="00183636"/>
    <w:rsid w:val="001A308E"/>
    <w:rsid w:val="001B5D33"/>
    <w:rsid w:val="001B66F4"/>
    <w:rsid w:val="001B6A4A"/>
    <w:rsid w:val="001D77D6"/>
    <w:rsid w:val="001E04F5"/>
    <w:rsid w:val="001E4E76"/>
    <w:rsid w:val="001E6D31"/>
    <w:rsid w:val="001E7795"/>
    <w:rsid w:val="001F34BF"/>
    <w:rsid w:val="001F526B"/>
    <w:rsid w:val="001F5EAD"/>
    <w:rsid w:val="00200ABC"/>
    <w:rsid w:val="00201006"/>
    <w:rsid w:val="00202F53"/>
    <w:rsid w:val="0021448D"/>
    <w:rsid w:val="00214BC9"/>
    <w:rsid w:val="00215164"/>
    <w:rsid w:val="002249CC"/>
    <w:rsid w:val="00231A89"/>
    <w:rsid w:val="002361A3"/>
    <w:rsid w:val="00241DC5"/>
    <w:rsid w:val="00242C6D"/>
    <w:rsid w:val="0027010A"/>
    <w:rsid w:val="00273898"/>
    <w:rsid w:val="00282906"/>
    <w:rsid w:val="00285430"/>
    <w:rsid w:val="00286C55"/>
    <w:rsid w:val="0029378E"/>
    <w:rsid w:val="00296B57"/>
    <w:rsid w:val="00296CD0"/>
    <w:rsid w:val="002979A6"/>
    <w:rsid w:val="002A25FE"/>
    <w:rsid w:val="002A2E98"/>
    <w:rsid w:val="002A71AA"/>
    <w:rsid w:val="002A75B0"/>
    <w:rsid w:val="002A7D8F"/>
    <w:rsid w:val="002B41EA"/>
    <w:rsid w:val="002C1678"/>
    <w:rsid w:val="002D03E6"/>
    <w:rsid w:val="002D3523"/>
    <w:rsid w:val="002D5FD8"/>
    <w:rsid w:val="002E5B9E"/>
    <w:rsid w:val="002F5C19"/>
    <w:rsid w:val="002F7F88"/>
    <w:rsid w:val="00300016"/>
    <w:rsid w:val="00306F94"/>
    <w:rsid w:val="0030727E"/>
    <w:rsid w:val="0031422E"/>
    <w:rsid w:val="0031477E"/>
    <w:rsid w:val="00331113"/>
    <w:rsid w:val="00336478"/>
    <w:rsid w:val="0033748D"/>
    <w:rsid w:val="003469AA"/>
    <w:rsid w:val="00361A09"/>
    <w:rsid w:val="0036594F"/>
    <w:rsid w:val="00372C74"/>
    <w:rsid w:val="0037343C"/>
    <w:rsid w:val="003772A3"/>
    <w:rsid w:val="00385C2E"/>
    <w:rsid w:val="0039082F"/>
    <w:rsid w:val="003956CE"/>
    <w:rsid w:val="003A10E4"/>
    <w:rsid w:val="003A6D62"/>
    <w:rsid w:val="003C03B8"/>
    <w:rsid w:val="003C07C7"/>
    <w:rsid w:val="003C3D23"/>
    <w:rsid w:val="003C6FDC"/>
    <w:rsid w:val="003C72E3"/>
    <w:rsid w:val="003D7B3A"/>
    <w:rsid w:val="003E0A31"/>
    <w:rsid w:val="003E1150"/>
    <w:rsid w:val="003E270E"/>
    <w:rsid w:val="003E3CA3"/>
    <w:rsid w:val="003F345A"/>
    <w:rsid w:val="003F507A"/>
    <w:rsid w:val="003F7FED"/>
    <w:rsid w:val="0040253B"/>
    <w:rsid w:val="004104B1"/>
    <w:rsid w:val="00414824"/>
    <w:rsid w:val="004160AC"/>
    <w:rsid w:val="0042635C"/>
    <w:rsid w:val="00433BDF"/>
    <w:rsid w:val="004370E9"/>
    <w:rsid w:val="0044460D"/>
    <w:rsid w:val="00456C71"/>
    <w:rsid w:val="004608CE"/>
    <w:rsid w:val="00466014"/>
    <w:rsid w:val="00467EA7"/>
    <w:rsid w:val="004705CF"/>
    <w:rsid w:val="00470E45"/>
    <w:rsid w:val="00481512"/>
    <w:rsid w:val="004877E0"/>
    <w:rsid w:val="004B0E99"/>
    <w:rsid w:val="004B1635"/>
    <w:rsid w:val="004B1AB3"/>
    <w:rsid w:val="004C79B1"/>
    <w:rsid w:val="004D2D27"/>
    <w:rsid w:val="004D5D7D"/>
    <w:rsid w:val="004D6E71"/>
    <w:rsid w:val="004D77CA"/>
    <w:rsid w:val="004E1A5A"/>
    <w:rsid w:val="004E26A7"/>
    <w:rsid w:val="004E4B96"/>
    <w:rsid w:val="004E7B95"/>
    <w:rsid w:val="004F62D1"/>
    <w:rsid w:val="005004FA"/>
    <w:rsid w:val="00504022"/>
    <w:rsid w:val="0050413F"/>
    <w:rsid w:val="00510840"/>
    <w:rsid w:val="00511308"/>
    <w:rsid w:val="00512ADF"/>
    <w:rsid w:val="00513786"/>
    <w:rsid w:val="0051419F"/>
    <w:rsid w:val="00522094"/>
    <w:rsid w:val="005244F3"/>
    <w:rsid w:val="00534181"/>
    <w:rsid w:val="00535A62"/>
    <w:rsid w:val="00536836"/>
    <w:rsid w:val="0054160E"/>
    <w:rsid w:val="0054170F"/>
    <w:rsid w:val="00541CD7"/>
    <w:rsid w:val="005432EE"/>
    <w:rsid w:val="00543969"/>
    <w:rsid w:val="00545697"/>
    <w:rsid w:val="005476A0"/>
    <w:rsid w:val="00556288"/>
    <w:rsid w:val="0056417D"/>
    <w:rsid w:val="00564F42"/>
    <w:rsid w:val="005712AF"/>
    <w:rsid w:val="00572F98"/>
    <w:rsid w:val="005752D7"/>
    <w:rsid w:val="00577B20"/>
    <w:rsid w:val="00581A14"/>
    <w:rsid w:val="00582C01"/>
    <w:rsid w:val="00585042"/>
    <w:rsid w:val="0058551B"/>
    <w:rsid w:val="005A69C8"/>
    <w:rsid w:val="005B3100"/>
    <w:rsid w:val="005B4568"/>
    <w:rsid w:val="005B471D"/>
    <w:rsid w:val="005F2216"/>
    <w:rsid w:val="005F6B6F"/>
    <w:rsid w:val="005F7B0F"/>
    <w:rsid w:val="00600C8F"/>
    <w:rsid w:val="00601138"/>
    <w:rsid w:val="006061A0"/>
    <w:rsid w:val="006071A4"/>
    <w:rsid w:val="0061216F"/>
    <w:rsid w:val="00613B31"/>
    <w:rsid w:val="006257AA"/>
    <w:rsid w:val="00626258"/>
    <w:rsid w:val="00627967"/>
    <w:rsid w:val="00630449"/>
    <w:rsid w:val="00641469"/>
    <w:rsid w:val="0064208C"/>
    <w:rsid w:val="00643024"/>
    <w:rsid w:val="006457BF"/>
    <w:rsid w:val="006459D6"/>
    <w:rsid w:val="00653B2E"/>
    <w:rsid w:val="006605D1"/>
    <w:rsid w:val="0066167D"/>
    <w:rsid w:val="00663149"/>
    <w:rsid w:val="006633F7"/>
    <w:rsid w:val="00663E7A"/>
    <w:rsid w:val="00670B09"/>
    <w:rsid w:val="00686464"/>
    <w:rsid w:val="006869D7"/>
    <w:rsid w:val="006A5155"/>
    <w:rsid w:val="006A5AE1"/>
    <w:rsid w:val="006B2E01"/>
    <w:rsid w:val="006B5728"/>
    <w:rsid w:val="006B7914"/>
    <w:rsid w:val="006C1919"/>
    <w:rsid w:val="006C4D36"/>
    <w:rsid w:val="006D598A"/>
    <w:rsid w:val="006E05A4"/>
    <w:rsid w:val="006E771E"/>
    <w:rsid w:val="006F241A"/>
    <w:rsid w:val="0070128D"/>
    <w:rsid w:val="007048FD"/>
    <w:rsid w:val="007128FC"/>
    <w:rsid w:val="00713D95"/>
    <w:rsid w:val="00726FF1"/>
    <w:rsid w:val="007307A4"/>
    <w:rsid w:val="00734F14"/>
    <w:rsid w:val="00742CEA"/>
    <w:rsid w:val="0076498B"/>
    <w:rsid w:val="00770660"/>
    <w:rsid w:val="00770B37"/>
    <w:rsid w:val="00772E7D"/>
    <w:rsid w:val="00774A36"/>
    <w:rsid w:val="007775FB"/>
    <w:rsid w:val="00784BF0"/>
    <w:rsid w:val="00796D52"/>
    <w:rsid w:val="007A4078"/>
    <w:rsid w:val="007B06E0"/>
    <w:rsid w:val="007B207E"/>
    <w:rsid w:val="007C2A5A"/>
    <w:rsid w:val="007C35BC"/>
    <w:rsid w:val="007C641D"/>
    <w:rsid w:val="007D5888"/>
    <w:rsid w:val="007E4D4E"/>
    <w:rsid w:val="007E621D"/>
    <w:rsid w:val="007E6920"/>
    <w:rsid w:val="008120B4"/>
    <w:rsid w:val="00812FD2"/>
    <w:rsid w:val="00825856"/>
    <w:rsid w:val="008347EF"/>
    <w:rsid w:val="008375D4"/>
    <w:rsid w:val="00837718"/>
    <w:rsid w:val="008424BC"/>
    <w:rsid w:val="00844114"/>
    <w:rsid w:val="0085058D"/>
    <w:rsid w:val="00853E15"/>
    <w:rsid w:val="008564F5"/>
    <w:rsid w:val="00860205"/>
    <w:rsid w:val="00867E84"/>
    <w:rsid w:val="008763AE"/>
    <w:rsid w:val="008860B5"/>
    <w:rsid w:val="00893FB3"/>
    <w:rsid w:val="008B4CD9"/>
    <w:rsid w:val="008B67E5"/>
    <w:rsid w:val="008D019B"/>
    <w:rsid w:val="008D22BA"/>
    <w:rsid w:val="008D5039"/>
    <w:rsid w:val="008D5E68"/>
    <w:rsid w:val="008E00B8"/>
    <w:rsid w:val="008E5F9D"/>
    <w:rsid w:val="008E7A7F"/>
    <w:rsid w:val="008F3C5F"/>
    <w:rsid w:val="008F4372"/>
    <w:rsid w:val="0092475E"/>
    <w:rsid w:val="00936401"/>
    <w:rsid w:val="009449F3"/>
    <w:rsid w:val="00950364"/>
    <w:rsid w:val="009506B0"/>
    <w:rsid w:val="009530CC"/>
    <w:rsid w:val="00954E17"/>
    <w:rsid w:val="0096069D"/>
    <w:rsid w:val="00960B5B"/>
    <w:rsid w:val="009610AE"/>
    <w:rsid w:val="00965B74"/>
    <w:rsid w:val="00977237"/>
    <w:rsid w:val="00984D2E"/>
    <w:rsid w:val="0099656A"/>
    <w:rsid w:val="009A16BD"/>
    <w:rsid w:val="009B6FD9"/>
    <w:rsid w:val="009B7D96"/>
    <w:rsid w:val="009B7E08"/>
    <w:rsid w:val="009C5AFB"/>
    <w:rsid w:val="009C7522"/>
    <w:rsid w:val="009D12ED"/>
    <w:rsid w:val="009D7733"/>
    <w:rsid w:val="009F1A9B"/>
    <w:rsid w:val="009F36E7"/>
    <w:rsid w:val="00A06AB2"/>
    <w:rsid w:val="00A07B30"/>
    <w:rsid w:val="00A143FB"/>
    <w:rsid w:val="00A15E7C"/>
    <w:rsid w:val="00A17832"/>
    <w:rsid w:val="00A2671A"/>
    <w:rsid w:val="00A317A5"/>
    <w:rsid w:val="00A31857"/>
    <w:rsid w:val="00A41C38"/>
    <w:rsid w:val="00A44419"/>
    <w:rsid w:val="00A46DF3"/>
    <w:rsid w:val="00A504A9"/>
    <w:rsid w:val="00A542C8"/>
    <w:rsid w:val="00A609AD"/>
    <w:rsid w:val="00A65402"/>
    <w:rsid w:val="00A65B1B"/>
    <w:rsid w:val="00A66776"/>
    <w:rsid w:val="00A7172D"/>
    <w:rsid w:val="00A82D48"/>
    <w:rsid w:val="00A84FF3"/>
    <w:rsid w:val="00A93174"/>
    <w:rsid w:val="00A95255"/>
    <w:rsid w:val="00AA228C"/>
    <w:rsid w:val="00AA24DC"/>
    <w:rsid w:val="00AC4BA9"/>
    <w:rsid w:val="00AD09E9"/>
    <w:rsid w:val="00AD1A5C"/>
    <w:rsid w:val="00AD73EA"/>
    <w:rsid w:val="00AE20F1"/>
    <w:rsid w:val="00AE35D5"/>
    <w:rsid w:val="00AE35F4"/>
    <w:rsid w:val="00AE4E1B"/>
    <w:rsid w:val="00AE5754"/>
    <w:rsid w:val="00B04619"/>
    <w:rsid w:val="00B169F5"/>
    <w:rsid w:val="00B22F88"/>
    <w:rsid w:val="00B35410"/>
    <w:rsid w:val="00B5095D"/>
    <w:rsid w:val="00B51AEC"/>
    <w:rsid w:val="00B62863"/>
    <w:rsid w:val="00B63881"/>
    <w:rsid w:val="00B80BF7"/>
    <w:rsid w:val="00B810BE"/>
    <w:rsid w:val="00B857AE"/>
    <w:rsid w:val="00B90DCD"/>
    <w:rsid w:val="00B968D0"/>
    <w:rsid w:val="00B9709C"/>
    <w:rsid w:val="00BA0488"/>
    <w:rsid w:val="00BA2C86"/>
    <w:rsid w:val="00BC5F51"/>
    <w:rsid w:val="00BD0F7B"/>
    <w:rsid w:val="00BD6222"/>
    <w:rsid w:val="00BE1CD7"/>
    <w:rsid w:val="00BF0D13"/>
    <w:rsid w:val="00C0796B"/>
    <w:rsid w:val="00C207DA"/>
    <w:rsid w:val="00C22B3D"/>
    <w:rsid w:val="00C25B4E"/>
    <w:rsid w:val="00C40ADB"/>
    <w:rsid w:val="00C466F9"/>
    <w:rsid w:val="00C47269"/>
    <w:rsid w:val="00C47CAA"/>
    <w:rsid w:val="00C653DA"/>
    <w:rsid w:val="00C70122"/>
    <w:rsid w:val="00C768E8"/>
    <w:rsid w:val="00C847F4"/>
    <w:rsid w:val="00C855AB"/>
    <w:rsid w:val="00C86172"/>
    <w:rsid w:val="00C86213"/>
    <w:rsid w:val="00C932B9"/>
    <w:rsid w:val="00CA28D1"/>
    <w:rsid w:val="00CA29FF"/>
    <w:rsid w:val="00CB113F"/>
    <w:rsid w:val="00CC31C4"/>
    <w:rsid w:val="00CC798A"/>
    <w:rsid w:val="00CC7F90"/>
    <w:rsid w:val="00CE559C"/>
    <w:rsid w:val="00CF0134"/>
    <w:rsid w:val="00D00307"/>
    <w:rsid w:val="00D057F8"/>
    <w:rsid w:val="00D20458"/>
    <w:rsid w:val="00D24ED7"/>
    <w:rsid w:val="00D37D28"/>
    <w:rsid w:val="00D41C8D"/>
    <w:rsid w:val="00D54531"/>
    <w:rsid w:val="00D60099"/>
    <w:rsid w:val="00D74DD7"/>
    <w:rsid w:val="00D76DA7"/>
    <w:rsid w:val="00D8269F"/>
    <w:rsid w:val="00D82E86"/>
    <w:rsid w:val="00D97B03"/>
    <w:rsid w:val="00DB0F18"/>
    <w:rsid w:val="00DB1A47"/>
    <w:rsid w:val="00DB5DA3"/>
    <w:rsid w:val="00DC3257"/>
    <w:rsid w:val="00DC767C"/>
    <w:rsid w:val="00DD22B8"/>
    <w:rsid w:val="00DD57BE"/>
    <w:rsid w:val="00DE5491"/>
    <w:rsid w:val="00DE5497"/>
    <w:rsid w:val="00DF5962"/>
    <w:rsid w:val="00E14AA1"/>
    <w:rsid w:val="00E21124"/>
    <w:rsid w:val="00E21C46"/>
    <w:rsid w:val="00E22F43"/>
    <w:rsid w:val="00E274D4"/>
    <w:rsid w:val="00E35555"/>
    <w:rsid w:val="00E35795"/>
    <w:rsid w:val="00E35EE4"/>
    <w:rsid w:val="00E47318"/>
    <w:rsid w:val="00E519E3"/>
    <w:rsid w:val="00E5335D"/>
    <w:rsid w:val="00E54111"/>
    <w:rsid w:val="00E61D32"/>
    <w:rsid w:val="00E61F80"/>
    <w:rsid w:val="00E66E46"/>
    <w:rsid w:val="00E70A58"/>
    <w:rsid w:val="00E734DE"/>
    <w:rsid w:val="00E81A96"/>
    <w:rsid w:val="00E826AD"/>
    <w:rsid w:val="00E84AB0"/>
    <w:rsid w:val="00E95F07"/>
    <w:rsid w:val="00E96528"/>
    <w:rsid w:val="00EA0837"/>
    <w:rsid w:val="00EB0FF4"/>
    <w:rsid w:val="00EB7D71"/>
    <w:rsid w:val="00EC0AD1"/>
    <w:rsid w:val="00EC40E7"/>
    <w:rsid w:val="00EC4188"/>
    <w:rsid w:val="00EC5404"/>
    <w:rsid w:val="00EC5927"/>
    <w:rsid w:val="00EC6230"/>
    <w:rsid w:val="00EC6532"/>
    <w:rsid w:val="00ED31BF"/>
    <w:rsid w:val="00EE298B"/>
    <w:rsid w:val="00EE6313"/>
    <w:rsid w:val="00EF0E9C"/>
    <w:rsid w:val="00EF4578"/>
    <w:rsid w:val="00EF57BA"/>
    <w:rsid w:val="00EF6889"/>
    <w:rsid w:val="00F05E03"/>
    <w:rsid w:val="00F12B70"/>
    <w:rsid w:val="00F21755"/>
    <w:rsid w:val="00F253EB"/>
    <w:rsid w:val="00F26892"/>
    <w:rsid w:val="00F3029D"/>
    <w:rsid w:val="00F32E2F"/>
    <w:rsid w:val="00F3430A"/>
    <w:rsid w:val="00F4521F"/>
    <w:rsid w:val="00F57BF0"/>
    <w:rsid w:val="00F61B11"/>
    <w:rsid w:val="00F82CDD"/>
    <w:rsid w:val="00F842AD"/>
    <w:rsid w:val="00F97308"/>
    <w:rsid w:val="00F97877"/>
    <w:rsid w:val="00FC2574"/>
    <w:rsid w:val="00FC31F4"/>
    <w:rsid w:val="00FC77E1"/>
    <w:rsid w:val="00FD0E64"/>
    <w:rsid w:val="00FD1CA9"/>
    <w:rsid w:val="00FD2302"/>
    <w:rsid w:val="00FD3460"/>
    <w:rsid w:val="00FE4415"/>
    <w:rsid w:val="00FF4FED"/>
    <w:rsid w:val="229B0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semiHidden/>
    <w:unhideWhenUsed/>
    <w:uiPriority w:val="99"/>
    <w:rPr>
      <w:rFonts w:ascii="宋体" w:eastAsia="宋体"/>
      <w:sz w:val="18"/>
      <w:szCs w:val="18"/>
    </w:rPr>
  </w:style>
  <w:style w:type="paragraph" w:styleId="4">
    <w:name w:val="Balloon Text"/>
    <w:basedOn w:val="1"/>
    <w:link w:val="12"/>
    <w:semiHidden/>
    <w:unhideWhenUsed/>
    <w:uiPriority w:val="99"/>
    <w:rPr>
      <w:sz w:val="18"/>
      <w:szCs w:val="18"/>
    </w:rPr>
  </w:style>
  <w:style w:type="paragraph" w:styleId="5">
    <w:name w:val="footer"/>
    <w:basedOn w:val="1"/>
    <w:link w:val="11"/>
    <w:unhideWhenUsed/>
    <w:uiPriority w:val="99"/>
    <w:pPr>
      <w:tabs>
        <w:tab w:val="center" w:pos="4153"/>
        <w:tab w:val="right" w:pos="8306"/>
      </w:tabs>
      <w:snapToGrid w:val="0"/>
      <w:jc w:val="left"/>
    </w:pPr>
    <w:rPr>
      <w:sz w:val="18"/>
      <w:szCs w:val="18"/>
    </w:rPr>
  </w:style>
  <w:style w:type="paragraph" w:styleId="6">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rPr>
      <w:rFonts w:ascii="Times New Roman" w:hAnsi="Times New Roman" w:cs="Times New Roman"/>
      <w:sz w:val="24"/>
      <w:szCs w:val="24"/>
    </w:rPr>
  </w:style>
  <w:style w:type="character" w:customStyle="1" w:styleId="10">
    <w:name w:val="页眉 Char"/>
    <w:basedOn w:val="9"/>
    <w:link w:val="6"/>
    <w:semiHidden/>
    <w:uiPriority w:val="99"/>
    <w:rPr>
      <w:sz w:val="18"/>
      <w:szCs w:val="18"/>
    </w:rPr>
  </w:style>
  <w:style w:type="character" w:customStyle="1" w:styleId="11">
    <w:name w:val="页脚 Char"/>
    <w:basedOn w:val="9"/>
    <w:link w:val="5"/>
    <w:uiPriority w:val="99"/>
    <w:rPr>
      <w:sz w:val="18"/>
      <w:szCs w:val="18"/>
    </w:rPr>
  </w:style>
  <w:style w:type="character" w:customStyle="1" w:styleId="12">
    <w:name w:val="批注框文本 Char"/>
    <w:basedOn w:val="9"/>
    <w:link w:val="4"/>
    <w:semiHidden/>
    <w:uiPriority w:val="99"/>
    <w:rPr>
      <w:sz w:val="18"/>
      <w:szCs w:val="18"/>
    </w:rPr>
  </w:style>
  <w:style w:type="character" w:customStyle="1" w:styleId="13">
    <w:name w:val="文档结构图 Char"/>
    <w:basedOn w:val="9"/>
    <w:link w:val="3"/>
    <w:semiHidden/>
    <w:uiPriority w:val="99"/>
    <w:rPr>
      <w:rFonts w:ascii="宋体" w:eastAsia="宋体"/>
      <w:sz w:val="18"/>
      <w:szCs w:val="18"/>
    </w:rPr>
  </w:style>
  <w:style w:type="paragraph" w:styleId="14">
    <w:name w:val="List Paragraph"/>
    <w:basedOn w:val="1"/>
    <w:qFormat/>
    <w:uiPriority w:val="0"/>
    <w:pPr>
      <w:ind w:firstLine="420" w:firstLineChars="200"/>
    </w:pPr>
    <w:rPr>
      <w:rFonts w:ascii="Calibri" w:hAnsi="Calibri" w:eastAsia="宋体" w:cs="Times New Roman"/>
    </w:rPr>
  </w:style>
  <w:style w:type="character" w:customStyle="1" w:styleId="15">
    <w:name w:val="标题 2 Char"/>
    <w:basedOn w:val="9"/>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Words>
  <Characters>1079</Characters>
  <Lines>8</Lines>
  <Paragraphs>2</Paragraphs>
  <TotalTime>570</TotalTime>
  <ScaleCrop>false</ScaleCrop>
  <LinksUpToDate>false</LinksUpToDate>
  <CharactersWithSpaces>1266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朱锡俊(拟稿)</cp:lastModifiedBy>
  <cp:lastPrinted>2022-05-31T00:48:00Z</cp:lastPrinted>
  <dcterms:created xsi:type="dcterms:W3CDTF">2022-03-31T02:45:00Z</dcterms:created>
  <dcterms:modified xsi:type="dcterms:W3CDTF">2022-07-15T08:32:43Z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7B60F29C2E9E457286B49550F5E731BE</vt:lpwstr>
  </property>
</Properties>
</file>