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E37" w:rsidRDefault="00677873">
      <w:pPr>
        <w:spacing w:line="600" w:lineRule="exact"/>
        <w:jc w:val="center"/>
        <w:outlineLvl w:val="0"/>
        <w:rPr>
          <w:rFonts w:eastAsia="方正小标宋_GBK"/>
          <w:sz w:val="44"/>
          <w:szCs w:val="44"/>
        </w:rPr>
      </w:pPr>
      <w:r>
        <w:rPr>
          <w:rFonts w:eastAsia="方正小标宋_GBK" w:hint="eastAsia"/>
          <w:sz w:val="44"/>
          <w:szCs w:val="44"/>
        </w:rPr>
        <w:t>公众反馈意见采纳情况汇总表</w:t>
      </w:r>
    </w:p>
    <w:tbl>
      <w:tblPr>
        <w:tblStyle w:val="a5"/>
        <w:tblW w:w="13903" w:type="dxa"/>
        <w:jc w:val="center"/>
        <w:tblLayout w:type="fixed"/>
        <w:tblLook w:val="04A0"/>
      </w:tblPr>
      <w:tblGrid>
        <w:gridCol w:w="856"/>
        <w:gridCol w:w="675"/>
        <w:gridCol w:w="7603"/>
        <w:gridCol w:w="4769"/>
      </w:tblGrid>
      <w:tr w:rsidR="00E71E37">
        <w:trPr>
          <w:trHeight w:val="497"/>
          <w:tblHeader/>
          <w:jc w:val="center"/>
        </w:trPr>
        <w:tc>
          <w:tcPr>
            <w:tcW w:w="856" w:type="dxa"/>
            <w:vAlign w:val="center"/>
          </w:tcPr>
          <w:p w:rsidR="00E71E37" w:rsidRDefault="00677873">
            <w:pPr>
              <w:autoSpaceDN w:val="0"/>
              <w:jc w:val="center"/>
              <w:textAlignment w:val="center"/>
              <w:rPr>
                <w:b/>
                <w:szCs w:val="21"/>
              </w:rPr>
            </w:pPr>
            <w:r>
              <w:rPr>
                <w:rStyle w:val="a6"/>
                <w:szCs w:val="21"/>
              </w:rPr>
              <w:t>来信人</w:t>
            </w:r>
          </w:p>
        </w:tc>
        <w:tc>
          <w:tcPr>
            <w:tcW w:w="675" w:type="dxa"/>
            <w:vAlign w:val="center"/>
          </w:tcPr>
          <w:p w:rsidR="00E71E37" w:rsidRDefault="00677873">
            <w:pPr>
              <w:autoSpaceDN w:val="0"/>
              <w:jc w:val="center"/>
              <w:textAlignment w:val="center"/>
              <w:rPr>
                <w:b/>
                <w:szCs w:val="21"/>
              </w:rPr>
            </w:pPr>
            <w:r>
              <w:rPr>
                <w:rFonts w:hint="eastAsia"/>
                <w:b/>
                <w:szCs w:val="21"/>
              </w:rPr>
              <w:t>序号</w:t>
            </w:r>
          </w:p>
        </w:tc>
        <w:tc>
          <w:tcPr>
            <w:tcW w:w="7603" w:type="dxa"/>
            <w:vAlign w:val="center"/>
          </w:tcPr>
          <w:p w:rsidR="00E71E37" w:rsidRDefault="00677873">
            <w:pPr>
              <w:autoSpaceDN w:val="0"/>
              <w:jc w:val="center"/>
              <w:textAlignment w:val="center"/>
              <w:rPr>
                <w:rFonts w:eastAsia="方正小标宋_GBK"/>
                <w:szCs w:val="21"/>
              </w:rPr>
            </w:pPr>
            <w:r>
              <w:rPr>
                <w:rFonts w:hint="eastAsia"/>
                <w:b/>
                <w:szCs w:val="21"/>
              </w:rPr>
              <w:t>反馈</w:t>
            </w:r>
            <w:r>
              <w:rPr>
                <w:b/>
                <w:szCs w:val="21"/>
              </w:rPr>
              <w:t>意见</w:t>
            </w:r>
          </w:p>
        </w:tc>
        <w:tc>
          <w:tcPr>
            <w:tcW w:w="4769" w:type="dxa"/>
            <w:vAlign w:val="center"/>
          </w:tcPr>
          <w:p w:rsidR="00E71E37" w:rsidRDefault="00677873">
            <w:pPr>
              <w:autoSpaceDN w:val="0"/>
              <w:jc w:val="center"/>
              <w:textAlignment w:val="center"/>
              <w:rPr>
                <w:rFonts w:eastAsia="方正小标宋_GBK"/>
                <w:szCs w:val="21"/>
              </w:rPr>
            </w:pPr>
            <w:r>
              <w:rPr>
                <w:rFonts w:hint="eastAsia"/>
                <w:b/>
                <w:szCs w:val="21"/>
              </w:rPr>
              <w:t>采纳情况</w:t>
            </w:r>
          </w:p>
        </w:tc>
      </w:tr>
      <w:tr w:rsidR="00E71E37">
        <w:trPr>
          <w:trHeight w:val="643"/>
          <w:jc w:val="center"/>
        </w:trPr>
        <w:tc>
          <w:tcPr>
            <w:tcW w:w="856" w:type="dxa"/>
            <w:vMerge w:val="restart"/>
            <w:vAlign w:val="center"/>
          </w:tcPr>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677873">
            <w:pPr>
              <w:autoSpaceDN w:val="0"/>
              <w:jc w:val="center"/>
              <w:textAlignment w:val="top"/>
              <w:rPr>
                <w:szCs w:val="21"/>
              </w:rPr>
            </w:pPr>
            <w:r>
              <w:rPr>
                <w:rFonts w:hint="eastAsia"/>
                <w:szCs w:val="21"/>
              </w:rPr>
              <w:t>市民</w:t>
            </w:r>
            <w:r>
              <w:rPr>
                <w:rFonts w:hint="eastAsia"/>
                <w:szCs w:val="21"/>
              </w:rPr>
              <w:t>A</w:t>
            </w: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E71E37">
            <w:pPr>
              <w:autoSpaceDN w:val="0"/>
              <w:jc w:val="center"/>
              <w:textAlignment w:val="top"/>
              <w:rPr>
                <w:szCs w:val="21"/>
              </w:rPr>
            </w:pPr>
          </w:p>
          <w:p w:rsidR="00E71E37" w:rsidRDefault="00677873">
            <w:pPr>
              <w:autoSpaceDN w:val="0"/>
              <w:jc w:val="center"/>
              <w:textAlignment w:val="top"/>
              <w:rPr>
                <w:szCs w:val="21"/>
              </w:rPr>
            </w:pPr>
            <w:r>
              <w:rPr>
                <w:rFonts w:hint="eastAsia"/>
                <w:szCs w:val="21"/>
              </w:rPr>
              <w:t>市民</w:t>
            </w:r>
            <w:r>
              <w:rPr>
                <w:rFonts w:hint="eastAsia"/>
                <w:szCs w:val="21"/>
              </w:rPr>
              <w:t>A</w:t>
            </w:r>
          </w:p>
          <w:p w:rsidR="00E71E37" w:rsidRDefault="00E71E37">
            <w:pPr>
              <w:autoSpaceDN w:val="0"/>
              <w:jc w:val="center"/>
              <w:textAlignment w:val="top"/>
              <w:rPr>
                <w:szCs w:val="21"/>
              </w:rPr>
            </w:pPr>
          </w:p>
          <w:p w:rsidR="00E71E37" w:rsidRDefault="00E71E37">
            <w:pPr>
              <w:autoSpaceDN w:val="0"/>
              <w:jc w:val="center"/>
              <w:textAlignment w:val="top"/>
              <w:rPr>
                <w:szCs w:val="21"/>
              </w:rPr>
            </w:pPr>
          </w:p>
        </w:tc>
        <w:tc>
          <w:tcPr>
            <w:tcW w:w="675" w:type="dxa"/>
            <w:vAlign w:val="center"/>
          </w:tcPr>
          <w:p w:rsidR="00E71E37" w:rsidRDefault="00677873">
            <w:pPr>
              <w:autoSpaceDN w:val="0"/>
              <w:jc w:val="center"/>
              <w:textAlignment w:val="top"/>
              <w:rPr>
                <w:szCs w:val="21"/>
              </w:rPr>
            </w:pPr>
            <w:r>
              <w:rPr>
                <w:rFonts w:hint="eastAsia"/>
                <w:szCs w:val="21"/>
              </w:rPr>
              <w:lastRenderedPageBreak/>
              <w:t>1</w:t>
            </w:r>
          </w:p>
        </w:tc>
        <w:tc>
          <w:tcPr>
            <w:tcW w:w="7603" w:type="dxa"/>
            <w:vAlign w:val="center"/>
          </w:tcPr>
          <w:p w:rsidR="00E71E37" w:rsidRDefault="00677873">
            <w:pPr>
              <w:autoSpaceDN w:val="0"/>
              <w:jc w:val="left"/>
              <w:textAlignment w:val="top"/>
              <w:rPr>
                <w:szCs w:val="21"/>
              </w:rPr>
            </w:pPr>
            <w:r>
              <w:rPr>
                <w:rFonts w:hint="eastAsia"/>
                <w:szCs w:val="21"/>
              </w:rPr>
              <w:t>在</w:t>
            </w:r>
            <w:r>
              <w:rPr>
                <w:rFonts w:hint="eastAsia"/>
                <w:szCs w:val="21"/>
              </w:rPr>
              <w:t>P5</w:t>
            </w:r>
            <w:r>
              <w:rPr>
                <w:rFonts w:hint="eastAsia"/>
                <w:szCs w:val="21"/>
              </w:rPr>
              <w:t>页“</w:t>
            </w:r>
            <w:r>
              <w:rPr>
                <w:rFonts w:hint="eastAsia"/>
                <w:szCs w:val="21"/>
              </w:rPr>
              <w:t>2.</w:t>
            </w:r>
            <w:r>
              <w:rPr>
                <w:rFonts w:hint="eastAsia"/>
                <w:szCs w:val="21"/>
              </w:rPr>
              <w:t>城乡品质建设与管控需要加强”补充</w:t>
            </w:r>
            <w:proofErr w:type="gramStart"/>
            <w:r>
              <w:rPr>
                <w:rFonts w:hint="eastAsia"/>
                <w:szCs w:val="21"/>
              </w:rPr>
              <w:t>“</w:t>
            </w:r>
            <w:proofErr w:type="gramEnd"/>
            <w:r>
              <w:rPr>
                <w:rFonts w:hint="eastAsia"/>
                <w:szCs w:val="21"/>
              </w:rPr>
              <w:t>住宅区因噪音污染防控措施不足，噪音污染已成为影响住宅生活品质和居民正常生活和休息的重要因素，有关噪声污染投诉居高不下，住宅区环保压力突出，房子是用来住的保障住宅区的安静环境，是国家的法定要求，也是人民的基本需求。在“十四五”期间应作为住</w:t>
            </w:r>
            <w:proofErr w:type="gramStart"/>
            <w:r>
              <w:rPr>
                <w:rFonts w:hint="eastAsia"/>
                <w:szCs w:val="21"/>
              </w:rPr>
              <w:t>建部门</w:t>
            </w:r>
            <w:proofErr w:type="gramEnd"/>
            <w:r>
              <w:rPr>
                <w:rFonts w:hint="eastAsia"/>
                <w:szCs w:val="21"/>
              </w:rPr>
              <w:t>重要工作之一，采取有效措施改进住宅区声环境水平。</w:t>
            </w:r>
            <w:proofErr w:type="gramStart"/>
            <w:r>
              <w:rPr>
                <w:rFonts w:hint="eastAsia"/>
                <w:szCs w:val="21"/>
              </w:rPr>
              <w:t>”</w:t>
            </w:r>
            <w:proofErr w:type="gramEnd"/>
          </w:p>
        </w:tc>
        <w:tc>
          <w:tcPr>
            <w:tcW w:w="4769" w:type="dxa"/>
            <w:vAlign w:val="center"/>
          </w:tcPr>
          <w:p w:rsidR="00E71E37" w:rsidRDefault="00677873">
            <w:pPr>
              <w:autoSpaceDN w:val="0"/>
              <w:jc w:val="left"/>
              <w:textAlignment w:val="top"/>
              <w:rPr>
                <w:szCs w:val="22"/>
              </w:rPr>
            </w:pPr>
            <w:r>
              <w:rPr>
                <w:rFonts w:hint="eastAsia"/>
                <w:szCs w:val="22"/>
              </w:rPr>
              <w:t>采纳。该章节分析存在问题，已总结“生态环境保护与城乡发展建设矛盾较突出”，下来，将在设计、施工、验收等环节严格执行国家、省、市相关法律法规。</w:t>
            </w:r>
          </w:p>
        </w:tc>
      </w:tr>
      <w:tr w:rsidR="00E71E37">
        <w:trPr>
          <w:trHeight w:val="378"/>
          <w:jc w:val="center"/>
        </w:trPr>
        <w:tc>
          <w:tcPr>
            <w:tcW w:w="856" w:type="dxa"/>
            <w:vMerge/>
            <w:vAlign w:val="center"/>
          </w:tcPr>
          <w:p w:rsidR="00E71E37" w:rsidRDefault="00E71E37">
            <w:pPr>
              <w:autoSpaceDN w:val="0"/>
              <w:jc w:val="center"/>
              <w:textAlignment w:val="top"/>
              <w:rPr>
                <w:szCs w:val="21"/>
              </w:rPr>
            </w:pPr>
          </w:p>
        </w:tc>
        <w:tc>
          <w:tcPr>
            <w:tcW w:w="675" w:type="dxa"/>
            <w:vAlign w:val="center"/>
          </w:tcPr>
          <w:p w:rsidR="00E71E37" w:rsidRDefault="00677873">
            <w:pPr>
              <w:autoSpaceDN w:val="0"/>
              <w:jc w:val="center"/>
              <w:textAlignment w:val="top"/>
              <w:rPr>
                <w:szCs w:val="21"/>
              </w:rPr>
            </w:pPr>
            <w:r>
              <w:rPr>
                <w:rFonts w:hint="eastAsia"/>
                <w:szCs w:val="21"/>
              </w:rPr>
              <w:t>2</w:t>
            </w:r>
          </w:p>
        </w:tc>
        <w:tc>
          <w:tcPr>
            <w:tcW w:w="7603" w:type="dxa"/>
            <w:vAlign w:val="center"/>
          </w:tcPr>
          <w:p w:rsidR="00E71E37" w:rsidRDefault="00677873">
            <w:pPr>
              <w:autoSpaceDN w:val="0"/>
              <w:jc w:val="left"/>
              <w:textAlignment w:val="top"/>
              <w:rPr>
                <w:szCs w:val="21"/>
              </w:rPr>
            </w:pPr>
            <w:r>
              <w:rPr>
                <w:rFonts w:hint="eastAsia"/>
                <w:szCs w:val="21"/>
              </w:rPr>
              <w:t>在</w:t>
            </w:r>
            <w:r>
              <w:rPr>
                <w:rFonts w:hint="eastAsia"/>
                <w:szCs w:val="21"/>
              </w:rPr>
              <w:t>P31</w:t>
            </w:r>
            <w:r>
              <w:rPr>
                <w:rFonts w:hint="eastAsia"/>
                <w:szCs w:val="21"/>
              </w:rPr>
              <w:t>页“</w:t>
            </w:r>
            <w:r>
              <w:rPr>
                <w:rFonts w:hint="eastAsia"/>
                <w:szCs w:val="21"/>
              </w:rPr>
              <w:t>1.</w:t>
            </w:r>
            <w:r>
              <w:rPr>
                <w:rFonts w:hint="eastAsia"/>
                <w:szCs w:val="21"/>
              </w:rPr>
              <w:t>坚持和加强党对物业管理工作的领导”希增加：“十四五”期间，</w:t>
            </w:r>
            <w:proofErr w:type="gramStart"/>
            <w:r>
              <w:rPr>
                <w:rFonts w:hint="eastAsia"/>
                <w:szCs w:val="21"/>
              </w:rPr>
              <w:t>按省住建</w:t>
            </w:r>
            <w:proofErr w:type="gramEnd"/>
            <w:r>
              <w:rPr>
                <w:rFonts w:hint="eastAsia"/>
                <w:szCs w:val="21"/>
              </w:rPr>
              <w:t>厅要求，以社区为切入口，坚定不移全面推进我市“红色物业小区”建设，确保国家的政治制度和各项法律法规在住宅小区全面贯彻执行。</w:t>
            </w:r>
          </w:p>
        </w:tc>
        <w:tc>
          <w:tcPr>
            <w:tcW w:w="4769" w:type="dxa"/>
            <w:vAlign w:val="center"/>
          </w:tcPr>
          <w:p w:rsidR="00E71E37" w:rsidRDefault="00677873">
            <w:pPr>
              <w:autoSpaceDN w:val="0"/>
              <w:jc w:val="left"/>
              <w:textAlignment w:val="top"/>
              <w:rPr>
                <w:szCs w:val="22"/>
              </w:rPr>
            </w:pPr>
            <w:r>
              <w:rPr>
                <w:rFonts w:hint="eastAsia"/>
                <w:szCs w:val="22"/>
              </w:rPr>
              <w:t>采纳。第四章第五节第一点已明确“建立党建引领下的社区居民委员会、业主委员会、物业服务企业协调运行机制，充分调动居民参与积极性，形成社区治理合力。”</w:t>
            </w:r>
          </w:p>
        </w:tc>
      </w:tr>
      <w:tr w:rsidR="00E71E37">
        <w:trPr>
          <w:trHeight w:val="643"/>
          <w:jc w:val="center"/>
        </w:trPr>
        <w:tc>
          <w:tcPr>
            <w:tcW w:w="856" w:type="dxa"/>
            <w:vMerge/>
            <w:vAlign w:val="center"/>
          </w:tcPr>
          <w:p w:rsidR="00E71E37" w:rsidRDefault="00E71E37">
            <w:pPr>
              <w:autoSpaceDN w:val="0"/>
              <w:jc w:val="center"/>
              <w:textAlignment w:val="top"/>
              <w:rPr>
                <w:szCs w:val="21"/>
              </w:rPr>
            </w:pPr>
          </w:p>
        </w:tc>
        <w:tc>
          <w:tcPr>
            <w:tcW w:w="675" w:type="dxa"/>
            <w:vAlign w:val="center"/>
          </w:tcPr>
          <w:p w:rsidR="00E71E37" w:rsidRDefault="00677873">
            <w:pPr>
              <w:autoSpaceDN w:val="0"/>
              <w:jc w:val="center"/>
              <w:textAlignment w:val="top"/>
              <w:rPr>
                <w:szCs w:val="21"/>
              </w:rPr>
            </w:pPr>
            <w:r>
              <w:rPr>
                <w:rFonts w:hint="eastAsia"/>
                <w:szCs w:val="21"/>
              </w:rPr>
              <w:t>3</w:t>
            </w:r>
          </w:p>
        </w:tc>
        <w:tc>
          <w:tcPr>
            <w:tcW w:w="7603" w:type="dxa"/>
            <w:vAlign w:val="center"/>
          </w:tcPr>
          <w:p w:rsidR="00E71E37" w:rsidRDefault="00677873">
            <w:pPr>
              <w:autoSpaceDN w:val="0"/>
              <w:jc w:val="left"/>
              <w:textAlignment w:val="top"/>
              <w:rPr>
                <w:szCs w:val="21"/>
              </w:rPr>
            </w:pPr>
            <w:r>
              <w:rPr>
                <w:rFonts w:hint="eastAsia"/>
                <w:szCs w:val="21"/>
              </w:rPr>
              <w:t>在</w:t>
            </w:r>
            <w:r>
              <w:rPr>
                <w:rFonts w:hint="eastAsia"/>
                <w:szCs w:val="21"/>
              </w:rPr>
              <w:t>P32</w:t>
            </w:r>
            <w:r>
              <w:rPr>
                <w:rFonts w:hint="eastAsia"/>
                <w:szCs w:val="21"/>
              </w:rPr>
              <w:t>页“</w:t>
            </w:r>
            <w:r>
              <w:rPr>
                <w:rFonts w:hint="eastAsia"/>
                <w:szCs w:val="21"/>
              </w:rPr>
              <w:t>2..</w:t>
            </w:r>
            <w:r>
              <w:rPr>
                <w:rFonts w:hint="eastAsia"/>
                <w:szCs w:val="21"/>
              </w:rPr>
              <w:t>健全和规范业主委员会治理结构”应增加：</w:t>
            </w:r>
            <w:proofErr w:type="gramStart"/>
            <w:r>
              <w:rPr>
                <w:rFonts w:hint="eastAsia"/>
                <w:szCs w:val="21"/>
              </w:rPr>
              <w:t>严格业委</w:t>
            </w:r>
            <w:proofErr w:type="gramEnd"/>
            <w:r>
              <w:rPr>
                <w:rFonts w:hint="eastAsia"/>
                <w:szCs w:val="21"/>
              </w:rPr>
              <w:t>会成员资格审查，</w:t>
            </w:r>
            <w:proofErr w:type="gramStart"/>
            <w:r>
              <w:rPr>
                <w:rFonts w:hint="eastAsia"/>
                <w:szCs w:val="21"/>
              </w:rPr>
              <w:t>业委会</w:t>
            </w:r>
            <w:proofErr w:type="gramEnd"/>
            <w:r>
              <w:rPr>
                <w:rFonts w:hint="eastAsia"/>
                <w:szCs w:val="21"/>
              </w:rPr>
              <w:t>成员必须遵纪守法，并经法律法规和住房与物业管理方面专业知识培训学习考核合格方可开展工作。</w:t>
            </w:r>
            <w:proofErr w:type="gramStart"/>
            <w:r>
              <w:rPr>
                <w:rFonts w:hint="eastAsia"/>
                <w:szCs w:val="21"/>
              </w:rPr>
              <w:t>业委会</w:t>
            </w:r>
            <w:proofErr w:type="gramEnd"/>
            <w:r>
              <w:rPr>
                <w:rFonts w:hint="eastAsia"/>
                <w:szCs w:val="21"/>
              </w:rPr>
              <w:t>备案与监管并行，有不法行为</w:t>
            </w:r>
            <w:proofErr w:type="gramStart"/>
            <w:r>
              <w:rPr>
                <w:rFonts w:hint="eastAsia"/>
                <w:szCs w:val="21"/>
              </w:rPr>
              <w:t>的业委会</w:t>
            </w:r>
            <w:proofErr w:type="gramEnd"/>
            <w:r>
              <w:rPr>
                <w:rFonts w:hint="eastAsia"/>
                <w:szCs w:val="21"/>
              </w:rPr>
              <w:t>应依法撤销。长期管理混乱的物业公司应实行政府托管。</w:t>
            </w:r>
          </w:p>
        </w:tc>
        <w:tc>
          <w:tcPr>
            <w:tcW w:w="4769" w:type="dxa"/>
            <w:vAlign w:val="center"/>
          </w:tcPr>
          <w:p w:rsidR="00E71E37" w:rsidRDefault="00677873">
            <w:pPr>
              <w:autoSpaceDN w:val="0"/>
              <w:jc w:val="left"/>
              <w:textAlignment w:val="top"/>
              <w:rPr>
                <w:szCs w:val="22"/>
              </w:rPr>
            </w:pPr>
            <w:r>
              <w:rPr>
                <w:rFonts w:hint="eastAsia"/>
                <w:szCs w:val="22"/>
              </w:rPr>
              <w:t>采纳。第四章第五节第二点已明确“依法依规监督业主委员会和物业服务企业履行职，……加强对业委会的培训引导，指导、规范和监督业主委员会的运作”。下来，拟出台《惠州市物业管理条例》，将明确业主、</w:t>
            </w:r>
            <w:proofErr w:type="gramStart"/>
            <w:r>
              <w:rPr>
                <w:rFonts w:hint="eastAsia"/>
                <w:szCs w:val="22"/>
              </w:rPr>
              <w:t>业委会</w:t>
            </w:r>
            <w:proofErr w:type="gramEnd"/>
            <w:r>
              <w:rPr>
                <w:rFonts w:hint="eastAsia"/>
                <w:szCs w:val="22"/>
              </w:rPr>
              <w:t>等行为和要求。</w:t>
            </w:r>
          </w:p>
        </w:tc>
      </w:tr>
      <w:tr w:rsidR="00E71E37">
        <w:trPr>
          <w:trHeight w:val="643"/>
          <w:jc w:val="center"/>
        </w:trPr>
        <w:tc>
          <w:tcPr>
            <w:tcW w:w="856" w:type="dxa"/>
            <w:vMerge/>
            <w:vAlign w:val="center"/>
          </w:tcPr>
          <w:p w:rsidR="00E71E37" w:rsidRDefault="00E71E37">
            <w:pPr>
              <w:autoSpaceDN w:val="0"/>
              <w:jc w:val="center"/>
              <w:textAlignment w:val="top"/>
              <w:rPr>
                <w:szCs w:val="21"/>
              </w:rPr>
            </w:pPr>
          </w:p>
        </w:tc>
        <w:tc>
          <w:tcPr>
            <w:tcW w:w="675" w:type="dxa"/>
            <w:vAlign w:val="center"/>
          </w:tcPr>
          <w:p w:rsidR="00E71E37" w:rsidRDefault="00677873">
            <w:pPr>
              <w:autoSpaceDN w:val="0"/>
              <w:jc w:val="center"/>
              <w:textAlignment w:val="top"/>
              <w:rPr>
                <w:szCs w:val="21"/>
              </w:rPr>
            </w:pPr>
            <w:r>
              <w:rPr>
                <w:rFonts w:hint="eastAsia"/>
                <w:szCs w:val="21"/>
              </w:rPr>
              <w:t>4</w:t>
            </w:r>
          </w:p>
        </w:tc>
        <w:tc>
          <w:tcPr>
            <w:tcW w:w="7603" w:type="dxa"/>
            <w:vAlign w:val="center"/>
          </w:tcPr>
          <w:p w:rsidR="00E71E37" w:rsidRDefault="00677873">
            <w:pPr>
              <w:autoSpaceDN w:val="0"/>
              <w:jc w:val="left"/>
              <w:textAlignment w:val="top"/>
              <w:rPr>
                <w:szCs w:val="21"/>
              </w:rPr>
            </w:pPr>
            <w:r>
              <w:rPr>
                <w:rFonts w:hint="eastAsia"/>
                <w:szCs w:val="21"/>
              </w:rPr>
              <w:t>在</w:t>
            </w:r>
            <w:r>
              <w:rPr>
                <w:rFonts w:hint="eastAsia"/>
                <w:szCs w:val="21"/>
              </w:rPr>
              <w:t>P36</w:t>
            </w:r>
            <w:r>
              <w:rPr>
                <w:rFonts w:hint="eastAsia"/>
                <w:szCs w:val="21"/>
              </w:rPr>
              <w:t>页“</w:t>
            </w:r>
            <w:r>
              <w:rPr>
                <w:rFonts w:hint="eastAsia"/>
                <w:szCs w:val="21"/>
              </w:rPr>
              <w:t>2.</w:t>
            </w:r>
            <w:r>
              <w:rPr>
                <w:rFonts w:hint="eastAsia"/>
                <w:szCs w:val="21"/>
              </w:rPr>
              <w:t>加强居住社区建设补短板”应增加：住宅区主要</w:t>
            </w:r>
            <w:proofErr w:type="gramStart"/>
            <w:r>
              <w:rPr>
                <w:rFonts w:hint="eastAsia"/>
                <w:szCs w:val="21"/>
              </w:rPr>
              <w:t>功能市满足</w:t>
            </w:r>
            <w:proofErr w:type="gramEnd"/>
            <w:r>
              <w:rPr>
                <w:rFonts w:hint="eastAsia"/>
                <w:szCs w:val="21"/>
              </w:rPr>
              <w:t>居民正常生活和休息需要，我国“声环境质量标准”</w:t>
            </w:r>
            <w:r>
              <w:rPr>
                <w:rFonts w:hint="eastAsia"/>
                <w:szCs w:val="21"/>
              </w:rPr>
              <w:t>GB3096</w:t>
            </w:r>
            <w:r>
              <w:rPr>
                <w:rFonts w:hint="eastAsia"/>
                <w:szCs w:val="21"/>
              </w:rPr>
              <w:t>和</w:t>
            </w:r>
            <w:r>
              <w:rPr>
                <w:rFonts w:hint="eastAsia"/>
                <w:szCs w:val="21"/>
              </w:rPr>
              <w:t>GB50096-2011</w:t>
            </w:r>
            <w:r>
              <w:rPr>
                <w:rFonts w:hint="eastAsia"/>
                <w:szCs w:val="21"/>
              </w:rPr>
              <w:t>、“住宅设计规范”等技术标准，均明确“住宅区是需要保持安静的噪声敏感区”，住宅区在设计建设和改造完善中均应充分考虑住宅区本身及周边环境的噪声影响，要求采取扩大噪声原间隔距离，采用防噪声玻璃等措施，降低噪声对居民住宅的影响。我市应按国家要求，在住宅区设计建设，竣工验收及改造中，加大对住宅区噪声污染防治措施的实施力度，并按“噪声污染防治法”要求，推进“宁静小区”</w:t>
            </w:r>
            <w:r>
              <w:rPr>
                <w:rFonts w:hint="eastAsia"/>
                <w:szCs w:val="21"/>
              </w:rPr>
              <w:t>的建设。对城市提升改造中，也要充分考虑住宅区新增设备或体育运动设备后，产生的噪声对住宅区声环境的影响。改造提升活动要因地制宜，与住宅区原有设计基础条件为前提，并采取有效防控措施。评估噪声风险的情况时，再谈改造、升级。不要官僚主义，形式主义，将改造、提升搞成添乱和破坏安静的住宅环境的活动。</w:t>
            </w:r>
          </w:p>
        </w:tc>
        <w:tc>
          <w:tcPr>
            <w:tcW w:w="4769" w:type="dxa"/>
            <w:vAlign w:val="center"/>
          </w:tcPr>
          <w:p w:rsidR="00E71E37" w:rsidRDefault="00677873">
            <w:pPr>
              <w:autoSpaceDN w:val="0"/>
              <w:jc w:val="left"/>
              <w:textAlignment w:val="top"/>
              <w:rPr>
                <w:szCs w:val="22"/>
              </w:rPr>
            </w:pPr>
            <w:r>
              <w:rPr>
                <w:rFonts w:hint="eastAsia"/>
                <w:szCs w:val="22"/>
              </w:rPr>
              <w:t>采纳。第五章第二节第二点已明确“出台惠州市完整社区建设技术规范和指导文件……找准各类设施和公共活动空间建设短板。紧密结合城镇老旧小区改造，制定居住社区建设补短板行动计化”。下来，将在设计、施工、验收等环节严格执行国家、省、</w:t>
            </w:r>
            <w:r>
              <w:rPr>
                <w:rFonts w:hint="eastAsia"/>
                <w:szCs w:val="22"/>
              </w:rPr>
              <w:t>市相关法律法规。</w:t>
            </w:r>
          </w:p>
        </w:tc>
      </w:tr>
      <w:tr w:rsidR="00E71E37">
        <w:trPr>
          <w:trHeight w:val="1101"/>
          <w:jc w:val="center"/>
        </w:trPr>
        <w:tc>
          <w:tcPr>
            <w:tcW w:w="856" w:type="dxa"/>
            <w:vMerge/>
            <w:vAlign w:val="center"/>
          </w:tcPr>
          <w:p w:rsidR="00E71E37" w:rsidRDefault="00E71E37">
            <w:pPr>
              <w:autoSpaceDN w:val="0"/>
              <w:jc w:val="center"/>
              <w:textAlignment w:val="top"/>
              <w:rPr>
                <w:szCs w:val="21"/>
              </w:rPr>
            </w:pPr>
          </w:p>
        </w:tc>
        <w:tc>
          <w:tcPr>
            <w:tcW w:w="675" w:type="dxa"/>
            <w:vAlign w:val="center"/>
          </w:tcPr>
          <w:p w:rsidR="00E71E37" w:rsidRDefault="00677873">
            <w:pPr>
              <w:autoSpaceDN w:val="0"/>
              <w:jc w:val="center"/>
              <w:textAlignment w:val="top"/>
              <w:rPr>
                <w:color w:val="0000FF"/>
                <w:szCs w:val="21"/>
              </w:rPr>
            </w:pPr>
            <w:r>
              <w:rPr>
                <w:rFonts w:hint="eastAsia"/>
                <w:szCs w:val="21"/>
              </w:rPr>
              <w:t>5</w:t>
            </w:r>
          </w:p>
        </w:tc>
        <w:tc>
          <w:tcPr>
            <w:tcW w:w="7603" w:type="dxa"/>
            <w:vAlign w:val="center"/>
          </w:tcPr>
          <w:p w:rsidR="00E71E37" w:rsidRDefault="00677873">
            <w:pPr>
              <w:autoSpaceDN w:val="0"/>
              <w:spacing w:line="300" w:lineRule="exact"/>
              <w:jc w:val="left"/>
              <w:textAlignment w:val="top"/>
              <w:rPr>
                <w:szCs w:val="21"/>
              </w:rPr>
            </w:pPr>
            <w:r>
              <w:rPr>
                <w:rFonts w:hint="eastAsia"/>
                <w:szCs w:val="21"/>
              </w:rPr>
              <w:t>在</w:t>
            </w:r>
            <w:r>
              <w:rPr>
                <w:rFonts w:hint="eastAsia"/>
                <w:szCs w:val="21"/>
              </w:rPr>
              <w:t>P58</w:t>
            </w:r>
            <w:r>
              <w:rPr>
                <w:rFonts w:hint="eastAsia"/>
                <w:szCs w:val="21"/>
              </w:rPr>
              <w:t>页“（三）强化教育培训”建议增加：进一步加大对住建系统干部、职工及全社会的住</w:t>
            </w:r>
            <w:proofErr w:type="gramStart"/>
            <w:r>
              <w:rPr>
                <w:rFonts w:hint="eastAsia"/>
                <w:szCs w:val="21"/>
              </w:rPr>
              <w:t>建方面</w:t>
            </w:r>
            <w:proofErr w:type="gramEnd"/>
            <w:r>
              <w:rPr>
                <w:rFonts w:hint="eastAsia"/>
                <w:szCs w:val="21"/>
              </w:rPr>
              <w:t>法律法规的学习，我国进入依法治国和经济社会高速发展变化的新时期，大量新的法律法规和政策文件不断推出，不学习，不了解，不掌握，就很难适应形势，做好工作。特别是</w:t>
            </w:r>
            <w:r>
              <w:rPr>
                <w:rFonts w:hint="eastAsia"/>
                <w:szCs w:val="21"/>
              </w:rPr>
              <w:t>2022</w:t>
            </w:r>
            <w:r>
              <w:rPr>
                <w:rFonts w:hint="eastAsia"/>
                <w:szCs w:val="21"/>
              </w:rPr>
              <w:t>年</w:t>
            </w:r>
            <w:r>
              <w:rPr>
                <w:rFonts w:hint="eastAsia"/>
                <w:szCs w:val="21"/>
              </w:rPr>
              <w:t>6</w:t>
            </w:r>
            <w:r>
              <w:rPr>
                <w:rFonts w:hint="eastAsia"/>
                <w:szCs w:val="21"/>
              </w:rPr>
              <w:t>月将实施的“中华人民共和国噪声污染防治办法”对住</w:t>
            </w:r>
            <w:proofErr w:type="gramStart"/>
            <w:r>
              <w:rPr>
                <w:rFonts w:hint="eastAsia"/>
                <w:szCs w:val="21"/>
              </w:rPr>
              <w:t>建部门</w:t>
            </w:r>
            <w:proofErr w:type="gramEnd"/>
            <w:r>
              <w:rPr>
                <w:rFonts w:hint="eastAsia"/>
                <w:szCs w:val="21"/>
              </w:rPr>
              <w:t>及住宅噪声管理都有了新的重大变化要求，如在该法第七十三条，八十三条，八十四条中均要求：“新建居民住宅需要在销售场所公示住房可触受到的噪声影响以及采取的防控措施及住宅的建筑隔声</w:t>
            </w:r>
            <w:r>
              <w:rPr>
                <w:rFonts w:hint="eastAsia"/>
                <w:szCs w:val="21"/>
              </w:rPr>
              <w:t>情况”“居民住宅区公用设备设置不合理，不符合民用建筑隔声设计标准的”“以及在噪声敏感区集中区域新建、改建、扩建排放噪声污染，未采取有效防控措施的”等都规定了法律责任和处罚措施。对住建部门、物业管理都提出新的严格要求，因此建议，在“十四五”规划中，尽快实施该法的学习、培训。</w:t>
            </w:r>
          </w:p>
        </w:tc>
        <w:tc>
          <w:tcPr>
            <w:tcW w:w="4769" w:type="dxa"/>
            <w:vAlign w:val="center"/>
          </w:tcPr>
          <w:p w:rsidR="00E71E37" w:rsidRDefault="00677873">
            <w:pPr>
              <w:autoSpaceDN w:val="0"/>
              <w:jc w:val="left"/>
              <w:textAlignment w:val="top"/>
              <w:rPr>
                <w:szCs w:val="22"/>
              </w:rPr>
            </w:pPr>
            <w:r>
              <w:rPr>
                <w:rFonts w:hint="eastAsia"/>
                <w:szCs w:val="22"/>
              </w:rPr>
              <w:t>采纳。第八章第三节第三点已明确“将习近平生态文明思想和习近平总书记关于树立正确政绩观……城市工作、历史文化保护传承等方面的重要论述精神纳入学习培训课程。……以城市建设管理等为重点，加快培养一批懂城市、会管理的干部”，下来，将适时对新出台的</w:t>
            </w:r>
            <w:r>
              <w:rPr>
                <w:rFonts w:hint="eastAsia"/>
                <w:szCs w:val="22"/>
              </w:rPr>
              <w:t>法律、法规进行学习、培训。</w:t>
            </w:r>
          </w:p>
        </w:tc>
      </w:tr>
      <w:tr w:rsidR="00E71E37">
        <w:trPr>
          <w:trHeight w:val="986"/>
          <w:jc w:val="center"/>
        </w:trPr>
        <w:tc>
          <w:tcPr>
            <w:tcW w:w="856" w:type="dxa"/>
            <w:vAlign w:val="center"/>
          </w:tcPr>
          <w:p w:rsidR="00E71E37" w:rsidRDefault="00677873">
            <w:pPr>
              <w:autoSpaceDN w:val="0"/>
              <w:jc w:val="center"/>
              <w:textAlignment w:val="top"/>
              <w:rPr>
                <w:szCs w:val="21"/>
              </w:rPr>
            </w:pPr>
            <w:r>
              <w:rPr>
                <w:rFonts w:hint="eastAsia"/>
                <w:szCs w:val="21"/>
              </w:rPr>
              <w:lastRenderedPageBreak/>
              <w:t>网友</w:t>
            </w:r>
            <w:r>
              <w:rPr>
                <w:rFonts w:hint="eastAsia"/>
                <w:szCs w:val="21"/>
              </w:rPr>
              <w:t>A</w:t>
            </w:r>
          </w:p>
        </w:tc>
        <w:tc>
          <w:tcPr>
            <w:tcW w:w="675" w:type="dxa"/>
            <w:vAlign w:val="center"/>
          </w:tcPr>
          <w:p w:rsidR="00E71E37" w:rsidRDefault="00677873">
            <w:pPr>
              <w:autoSpaceDN w:val="0"/>
              <w:jc w:val="center"/>
              <w:textAlignment w:val="top"/>
              <w:rPr>
                <w:szCs w:val="21"/>
              </w:rPr>
            </w:pPr>
            <w:r>
              <w:rPr>
                <w:rFonts w:hint="eastAsia"/>
                <w:szCs w:val="21"/>
              </w:rPr>
              <w:t>6</w:t>
            </w:r>
          </w:p>
        </w:tc>
        <w:tc>
          <w:tcPr>
            <w:tcW w:w="7603" w:type="dxa"/>
            <w:vAlign w:val="center"/>
          </w:tcPr>
          <w:p w:rsidR="00E71E37" w:rsidRDefault="00677873">
            <w:pPr>
              <w:autoSpaceDN w:val="0"/>
              <w:jc w:val="left"/>
              <w:textAlignment w:val="top"/>
              <w:rPr>
                <w:szCs w:val="21"/>
              </w:rPr>
            </w:pPr>
            <w:r>
              <w:rPr>
                <w:rFonts w:hint="eastAsia"/>
                <w:szCs w:val="21"/>
              </w:rPr>
              <w:t>在大湾区的大格局之下，希望惠州北可以放下地域的偏见，让</w:t>
            </w:r>
            <w:r>
              <w:rPr>
                <w:rFonts w:hint="eastAsia"/>
                <w:szCs w:val="21"/>
              </w:rPr>
              <w:t>14</w:t>
            </w:r>
            <w:r>
              <w:rPr>
                <w:rFonts w:hint="eastAsia"/>
                <w:szCs w:val="21"/>
              </w:rPr>
              <w:t>号线、</w:t>
            </w:r>
            <w:r>
              <w:rPr>
                <w:rFonts w:hint="eastAsia"/>
                <w:szCs w:val="21"/>
              </w:rPr>
              <w:t>16</w:t>
            </w:r>
            <w:r>
              <w:rPr>
                <w:rFonts w:hint="eastAsia"/>
                <w:szCs w:val="21"/>
              </w:rPr>
              <w:t>号线、深大城际、深</w:t>
            </w:r>
            <w:proofErr w:type="gramStart"/>
            <w:r>
              <w:rPr>
                <w:rFonts w:hint="eastAsia"/>
                <w:szCs w:val="21"/>
              </w:rPr>
              <w:t>汕</w:t>
            </w:r>
            <w:proofErr w:type="gramEnd"/>
            <w:r>
              <w:rPr>
                <w:rFonts w:hint="eastAsia"/>
                <w:szCs w:val="21"/>
              </w:rPr>
              <w:t>高铁、深</w:t>
            </w:r>
            <w:proofErr w:type="gramStart"/>
            <w:r>
              <w:rPr>
                <w:rFonts w:hint="eastAsia"/>
                <w:szCs w:val="21"/>
              </w:rPr>
              <w:t>汕</w:t>
            </w:r>
            <w:proofErr w:type="gramEnd"/>
            <w:r>
              <w:rPr>
                <w:rFonts w:hint="eastAsia"/>
                <w:szCs w:val="21"/>
              </w:rPr>
              <w:t>城际等惠州</w:t>
            </w:r>
            <w:proofErr w:type="gramStart"/>
            <w:r>
              <w:rPr>
                <w:rFonts w:hint="eastAsia"/>
                <w:szCs w:val="21"/>
              </w:rPr>
              <w:t>段可以</w:t>
            </w:r>
            <w:proofErr w:type="gramEnd"/>
            <w:r>
              <w:rPr>
                <w:rFonts w:hint="eastAsia"/>
                <w:szCs w:val="21"/>
              </w:rPr>
              <w:t>优先开通；惠阳大亚湾交通改善了，地铁迟早会延伸</w:t>
            </w:r>
            <w:proofErr w:type="gramStart"/>
            <w:r>
              <w:rPr>
                <w:rFonts w:hint="eastAsia"/>
                <w:szCs w:val="21"/>
              </w:rPr>
              <w:t>到惠北的</w:t>
            </w:r>
            <w:proofErr w:type="gramEnd"/>
            <w:r>
              <w:rPr>
                <w:rFonts w:hint="eastAsia"/>
                <w:szCs w:val="21"/>
              </w:rPr>
              <w:t>，不一定要像网上说的</w:t>
            </w:r>
            <w:proofErr w:type="gramStart"/>
            <w:r>
              <w:rPr>
                <w:rFonts w:hint="eastAsia"/>
                <w:szCs w:val="21"/>
              </w:rPr>
              <w:t>那样等惠城</w:t>
            </w:r>
            <w:proofErr w:type="gramEnd"/>
            <w:r>
              <w:rPr>
                <w:rFonts w:hint="eastAsia"/>
                <w:szCs w:val="21"/>
              </w:rPr>
              <w:t>通了地铁，其他区才可以有地铁。</w:t>
            </w:r>
          </w:p>
        </w:tc>
        <w:tc>
          <w:tcPr>
            <w:tcW w:w="4769" w:type="dxa"/>
            <w:vAlign w:val="center"/>
          </w:tcPr>
          <w:p w:rsidR="00E71E37" w:rsidRDefault="00677873">
            <w:pPr>
              <w:autoSpaceDN w:val="0"/>
              <w:jc w:val="left"/>
              <w:textAlignment w:val="top"/>
              <w:rPr>
                <w:rFonts w:ascii="仿宋" w:eastAsia="仿宋" w:hAnsi="仿宋"/>
                <w:bCs/>
                <w:sz w:val="28"/>
                <w:szCs w:val="28"/>
              </w:rPr>
            </w:pPr>
            <w:r>
              <w:rPr>
                <w:rFonts w:hint="eastAsia"/>
                <w:szCs w:val="21"/>
              </w:rPr>
              <w:t>该网友所提意见不在本次征求意见内容和范围内。</w:t>
            </w:r>
          </w:p>
        </w:tc>
      </w:tr>
      <w:tr w:rsidR="00E71E37">
        <w:trPr>
          <w:trHeight w:val="337"/>
          <w:jc w:val="center"/>
        </w:trPr>
        <w:tc>
          <w:tcPr>
            <w:tcW w:w="856" w:type="dxa"/>
            <w:vAlign w:val="center"/>
          </w:tcPr>
          <w:p w:rsidR="00E71E37" w:rsidRDefault="00677873">
            <w:pPr>
              <w:autoSpaceDN w:val="0"/>
              <w:jc w:val="center"/>
              <w:textAlignment w:val="top"/>
              <w:rPr>
                <w:szCs w:val="21"/>
              </w:rPr>
            </w:pPr>
            <w:r>
              <w:rPr>
                <w:rFonts w:hint="eastAsia"/>
                <w:szCs w:val="21"/>
              </w:rPr>
              <w:t>网友</w:t>
            </w:r>
            <w:r>
              <w:rPr>
                <w:rFonts w:hint="eastAsia"/>
                <w:szCs w:val="21"/>
              </w:rPr>
              <w:t>B</w:t>
            </w:r>
          </w:p>
        </w:tc>
        <w:tc>
          <w:tcPr>
            <w:tcW w:w="675" w:type="dxa"/>
            <w:vAlign w:val="center"/>
          </w:tcPr>
          <w:p w:rsidR="00E71E37" w:rsidRDefault="00677873">
            <w:pPr>
              <w:autoSpaceDN w:val="0"/>
              <w:jc w:val="center"/>
              <w:textAlignment w:val="top"/>
              <w:rPr>
                <w:szCs w:val="21"/>
              </w:rPr>
            </w:pPr>
            <w:r>
              <w:rPr>
                <w:rFonts w:hint="eastAsia"/>
                <w:szCs w:val="21"/>
              </w:rPr>
              <w:t>7</w:t>
            </w:r>
          </w:p>
        </w:tc>
        <w:tc>
          <w:tcPr>
            <w:tcW w:w="7603" w:type="dxa"/>
            <w:vAlign w:val="center"/>
          </w:tcPr>
          <w:p w:rsidR="00E71E37" w:rsidRDefault="00677873">
            <w:pPr>
              <w:autoSpaceDN w:val="0"/>
              <w:jc w:val="left"/>
              <w:textAlignment w:val="top"/>
              <w:rPr>
                <w:szCs w:val="21"/>
              </w:rPr>
            </w:pPr>
            <w:r>
              <w:rPr>
                <w:rFonts w:hint="eastAsia"/>
                <w:szCs w:val="21"/>
              </w:rPr>
              <w:t>加快</w:t>
            </w:r>
            <w:r>
              <w:rPr>
                <w:rFonts w:hint="eastAsia"/>
                <w:szCs w:val="21"/>
              </w:rPr>
              <w:t>14</w:t>
            </w:r>
            <w:r>
              <w:rPr>
                <w:rFonts w:hint="eastAsia"/>
                <w:szCs w:val="21"/>
              </w:rPr>
              <w:t>号线惠州段地铁规划建设落地，造福深圳打工，惠州居住得人民</w:t>
            </w:r>
            <w:r>
              <w:rPr>
                <w:rFonts w:hint="eastAsia"/>
                <w:szCs w:val="21"/>
              </w:rPr>
              <w:t>。</w:t>
            </w:r>
          </w:p>
        </w:tc>
        <w:tc>
          <w:tcPr>
            <w:tcW w:w="4769" w:type="dxa"/>
            <w:vAlign w:val="center"/>
          </w:tcPr>
          <w:p w:rsidR="00E71E37" w:rsidRDefault="00677873">
            <w:pPr>
              <w:autoSpaceDN w:val="0"/>
              <w:jc w:val="left"/>
              <w:textAlignment w:val="top"/>
              <w:rPr>
                <w:szCs w:val="22"/>
              </w:rPr>
            </w:pPr>
            <w:r>
              <w:rPr>
                <w:rFonts w:hint="eastAsia"/>
                <w:szCs w:val="21"/>
              </w:rPr>
              <w:t>该网友所提意见不在本次征求意见内容和范围内。</w:t>
            </w:r>
          </w:p>
        </w:tc>
      </w:tr>
      <w:tr w:rsidR="00E71E37">
        <w:trPr>
          <w:trHeight w:val="351"/>
          <w:jc w:val="center"/>
        </w:trPr>
        <w:tc>
          <w:tcPr>
            <w:tcW w:w="856" w:type="dxa"/>
            <w:vAlign w:val="center"/>
          </w:tcPr>
          <w:p w:rsidR="00E71E37" w:rsidRDefault="00677873">
            <w:pPr>
              <w:autoSpaceDN w:val="0"/>
              <w:jc w:val="center"/>
              <w:textAlignment w:val="top"/>
              <w:rPr>
                <w:szCs w:val="21"/>
              </w:rPr>
            </w:pPr>
            <w:r>
              <w:rPr>
                <w:rFonts w:hint="eastAsia"/>
                <w:szCs w:val="21"/>
              </w:rPr>
              <w:t>网友</w:t>
            </w:r>
            <w:r>
              <w:rPr>
                <w:rFonts w:hint="eastAsia"/>
                <w:szCs w:val="21"/>
              </w:rPr>
              <w:t>C</w:t>
            </w:r>
          </w:p>
        </w:tc>
        <w:tc>
          <w:tcPr>
            <w:tcW w:w="675" w:type="dxa"/>
            <w:vAlign w:val="center"/>
          </w:tcPr>
          <w:p w:rsidR="00E71E37" w:rsidRDefault="00677873">
            <w:pPr>
              <w:autoSpaceDN w:val="0"/>
              <w:jc w:val="center"/>
              <w:textAlignment w:val="top"/>
              <w:rPr>
                <w:szCs w:val="21"/>
              </w:rPr>
            </w:pPr>
            <w:r>
              <w:rPr>
                <w:rFonts w:hint="eastAsia"/>
                <w:szCs w:val="21"/>
              </w:rPr>
              <w:t>8</w:t>
            </w:r>
          </w:p>
        </w:tc>
        <w:tc>
          <w:tcPr>
            <w:tcW w:w="7603" w:type="dxa"/>
            <w:vAlign w:val="center"/>
          </w:tcPr>
          <w:p w:rsidR="00E71E37" w:rsidRDefault="00677873">
            <w:pPr>
              <w:autoSpaceDN w:val="0"/>
              <w:jc w:val="left"/>
              <w:textAlignment w:val="top"/>
              <w:rPr>
                <w:szCs w:val="21"/>
              </w:rPr>
            </w:pPr>
            <w:r>
              <w:rPr>
                <w:rFonts w:hint="eastAsia"/>
                <w:szCs w:val="21"/>
              </w:rPr>
              <w:t>请问水口</w:t>
            </w:r>
            <w:r>
              <w:rPr>
                <w:rFonts w:hint="eastAsia"/>
                <w:szCs w:val="21"/>
              </w:rPr>
              <w:t>57</w:t>
            </w:r>
            <w:r>
              <w:rPr>
                <w:rFonts w:hint="eastAsia"/>
                <w:szCs w:val="21"/>
              </w:rPr>
              <w:t>小学什么时候开工建设？有准确时间节点吗</w:t>
            </w:r>
          </w:p>
        </w:tc>
        <w:tc>
          <w:tcPr>
            <w:tcW w:w="4769" w:type="dxa"/>
            <w:vAlign w:val="center"/>
          </w:tcPr>
          <w:p w:rsidR="00E71E37" w:rsidRDefault="00677873">
            <w:pPr>
              <w:autoSpaceDN w:val="0"/>
              <w:jc w:val="left"/>
              <w:textAlignment w:val="top"/>
              <w:rPr>
                <w:szCs w:val="22"/>
              </w:rPr>
            </w:pPr>
            <w:r>
              <w:rPr>
                <w:rFonts w:hint="eastAsia"/>
                <w:szCs w:val="21"/>
              </w:rPr>
              <w:t>该网友所提意见不在本次征求意见内容和范围内。</w:t>
            </w:r>
          </w:p>
        </w:tc>
      </w:tr>
      <w:tr w:rsidR="00E71E37">
        <w:trPr>
          <w:trHeight w:val="1101"/>
          <w:jc w:val="center"/>
        </w:trPr>
        <w:tc>
          <w:tcPr>
            <w:tcW w:w="856" w:type="dxa"/>
            <w:vAlign w:val="center"/>
          </w:tcPr>
          <w:p w:rsidR="00E71E37" w:rsidRDefault="00677873">
            <w:pPr>
              <w:autoSpaceDN w:val="0"/>
              <w:jc w:val="center"/>
              <w:textAlignment w:val="top"/>
              <w:rPr>
                <w:szCs w:val="21"/>
              </w:rPr>
            </w:pPr>
            <w:r>
              <w:rPr>
                <w:rFonts w:hint="eastAsia"/>
                <w:szCs w:val="21"/>
              </w:rPr>
              <w:t>网友</w:t>
            </w:r>
            <w:r>
              <w:rPr>
                <w:rFonts w:hint="eastAsia"/>
                <w:szCs w:val="21"/>
              </w:rPr>
              <w:t>D</w:t>
            </w:r>
          </w:p>
        </w:tc>
        <w:tc>
          <w:tcPr>
            <w:tcW w:w="675" w:type="dxa"/>
            <w:vAlign w:val="center"/>
          </w:tcPr>
          <w:p w:rsidR="00E71E37" w:rsidRDefault="00677873">
            <w:pPr>
              <w:autoSpaceDN w:val="0"/>
              <w:jc w:val="center"/>
              <w:textAlignment w:val="top"/>
              <w:rPr>
                <w:szCs w:val="21"/>
              </w:rPr>
            </w:pPr>
            <w:r>
              <w:rPr>
                <w:rFonts w:hint="eastAsia"/>
                <w:szCs w:val="21"/>
              </w:rPr>
              <w:t>9</w:t>
            </w:r>
          </w:p>
        </w:tc>
        <w:tc>
          <w:tcPr>
            <w:tcW w:w="7603" w:type="dxa"/>
            <w:vAlign w:val="center"/>
          </w:tcPr>
          <w:p w:rsidR="00E71E37" w:rsidRDefault="00677873">
            <w:pPr>
              <w:tabs>
                <w:tab w:val="left" w:pos="826"/>
              </w:tabs>
              <w:autoSpaceDN w:val="0"/>
              <w:jc w:val="left"/>
              <w:textAlignment w:val="top"/>
              <w:rPr>
                <w:szCs w:val="21"/>
              </w:rPr>
            </w:pPr>
            <w:r>
              <w:rPr>
                <w:rFonts w:hint="eastAsia"/>
                <w:szCs w:val="21"/>
              </w:rPr>
              <w:t>如果把深圳</w:t>
            </w:r>
            <w:r>
              <w:rPr>
                <w:rFonts w:hint="eastAsia"/>
                <w:szCs w:val="21"/>
              </w:rPr>
              <w:t>14</w:t>
            </w:r>
            <w:r>
              <w:rPr>
                <w:rFonts w:hint="eastAsia"/>
                <w:szCs w:val="21"/>
              </w:rPr>
              <w:t>号线惠州段改成，沿</w:t>
            </w:r>
            <w:r>
              <w:rPr>
                <w:rFonts w:hint="eastAsia"/>
                <w:szCs w:val="21"/>
              </w:rPr>
              <w:t>~</w:t>
            </w:r>
            <w:r>
              <w:rPr>
                <w:rFonts w:hint="eastAsia"/>
                <w:szCs w:val="21"/>
              </w:rPr>
              <w:t>坪山大道</w:t>
            </w:r>
            <w:r>
              <w:rPr>
                <w:rFonts w:hint="eastAsia"/>
                <w:szCs w:val="21"/>
              </w:rPr>
              <w:t>~~</w:t>
            </w:r>
            <w:r>
              <w:rPr>
                <w:rFonts w:hint="eastAsia"/>
                <w:szCs w:val="21"/>
              </w:rPr>
              <w:t>龙海一路</w:t>
            </w:r>
            <w:r>
              <w:rPr>
                <w:rFonts w:hint="eastAsia"/>
                <w:szCs w:val="21"/>
              </w:rPr>
              <w:t>~~</w:t>
            </w:r>
            <w:r>
              <w:rPr>
                <w:rFonts w:hint="eastAsia"/>
                <w:szCs w:val="21"/>
              </w:rPr>
              <w:t>并入深</w:t>
            </w:r>
            <w:proofErr w:type="gramStart"/>
            <w:r>
              <w:rPr>
                <w:rFonts w:hint="eastAsia"/>
                <w:szCs w:val="21"/>
              </w:rPr>
              <w:t>汕</w:t>
            </w:r>
            <w:proofErr w:type="gramEnd"/>
            <w:r>
              <w:rPr>
                <w:rFonts w:hint="eastAsia"/>
                <w:szCs w:val="21"/>
              </w:rPr>
              <w:t>高铁</w:t>
            </w:r>
            <w:r>
              <w:rPr>
                <w:rFonts w:hint="eastAsia"/>
                <w:szCs w:val="21"/>
              </w:rPr>
              <w:t>~~</w:t>
            </w:r>
            <w:r>
              <w:rPr>
                <w:rFonts w:hint="eastAsia"/>
                <w:szCs w:val="21"/>
              </w:rPr>
              <w:t>惠州南站；可以更省钱、更方便、更快通车！好处</w:t>
            </w:r>
            <w:proofErr w:type="gramStart"/>
            <w:r>
              <w:rPr>
                <w:rFonts w:hint="eastAsia"/>
                <w:szCs w:val="21"/>
              </w:rPr>
              <w:t>一</w:t>
            </w:r>
            <w:proofErr w:type="gramEnd"/>
            <w:r>
              <w:rPr>
                <w:rFonts w:hint="eastAsia"/>
                <w:szCs w:val="21"/>
              </w:rPr>
              <w:t>：龙海一路够宽马路中间可以直接修地铁不涉及拆迁，一直到龙海壹号小区路段再并入深</w:t>
            </w:r>
            <w:proofErr w:type="gramStart"/>
            <w:r>
              <w:rPr>
                <w:rFonts w:hint="eastAsia"/>
                <w:szCs w:val="21"/>
              </w:rPr>
              <w:t>汕</w:t>
            </w:r>
            <w:proofErr w:type="gramEnd"/>
            <w:r>
              <w:rPr>
                <w:rFonts w:hint="eastAsia"/>
                <w:szCs w:val="21"/>
              </w:rPr>
              <w:t>高</w:t>
            </w:r>
            <w:proofErr w:type="gramStart"/>
            <w:r>
              <w:rPr>
                <w:rFonts w:hint="eastAsia"/>
                <w:szCs w:val="21"/>
              </w:rPr>
              <w:t>铁一起</w:t>
            </w:r>
            <w:proofErr w:type="gramEnd"/>
            <w:r>
              <w:rPr>
                <w:rFonts w:hint="eastAsia"/>
                <w:szCs w:val="21"/>
              </w:rPr>
              <w:t>通往南站；好处二：走龙海一路可以同时更好的方便淡水跟大亚湾的居民出行，连接龙海一路的道路更多更宽广不容易堵车；好处三：白云站、</w:t>
            </w:r>
            <w:proofErr w:type="gramStart"/>
            <w:r>
              <w:rPr>
                <w:rFonts w:hint="eastAsia"/>
                <w:szCs w:val="21"/>
              </w:rPr>
              <w:t>草洋站</w:t>
            </w:r>
            <w:proofErr w:type="gramEnd"/>
            <w:r>
              <w:rPr>
                <w:rFonts w:hint="eastAsia"/>
                <w:szCs w:val="21"/>
              </w:rPr>
              <w:t>差不多；开城站在</w:t>
            </w:r>
            <w:proofErr w:type="gramStart"/>
            <w:r>
              <w:rPr>
                <w:rFonts w:hint="eastAsia"/>
                <w:szCs w:val="21"/>
              </w:rPr>
              <w:t>爱民路</w:t>
            </w:r>
            <w:proofErr w:type="gramEnd"/>
            <w:r>
              <w:rPr>
                <w:rFonts w:hint="eastAsia"/>
                <w:szCs w:val="21"/>
              </w:rPr>
              <w:t>与开城大道间设立，站点出口空间狭小涉及房屋拆迁和道路狭小容易堵车；如果设立在开城大道与仲恺路间，不涉及房屋拆迁，熊猫地产、新天虹、大润发、</w:t>
            </w:r>
            <w:proofErr w:type="gramStart"/>
            <w:r>
              <w:rPr>
                <w:rFonts w:hint="eastAsia"/>
                <w:szCs w:val="21"/>
              </w:rPr>
              <w:t>雅博都是</w:t>
            </w:r>
            <w:proofErr w:type="gramEnd"/>
            <w:r>
              <w:rPr>
                <w:rFonts w:hint="eastAsia"/>
                <w:szCs w:val="21"/>
              </w:rPr>
              <w:t>新建</w:t>
            </w:r>
            <w:r>
              <w:rPr>
                <w:rFonts w:hint="eastAsia"/>
                <w:szCs w:val="21"/>
              </w:rPr>
              <w:t>小区留有足够的广场可以设立站点出口；目前在修的仲恺路为双向六车道相对不容易堵车；好处四：有一半的路线可以并入深</w:t>
            </w:r>
            <w:proofErr w:type="gramStart"/>
            <w:r>
              <w:rPr>
                <w:rFonts w:hint="eastAsia"/>
                <w:szCs w:val="21"/>
              </w:rPr>
              <w:t>汕</w:t>
            </w:r>
            <w:proofErr w:type="gramEnd"/>
            <w:r>
              <w:rPr>
                <w:rFonts w:hint="eastAsia"/>
                <w:szCs w:val="21"/>
              </w:rPr>
              <w:t>高</w:t>
            </w:r>
            <w:proofErr w:type="gramStart"/>
            <w:r>
              <w:rPr>
                <w:rFonts w:hint="eastAsia"/>
                <w:szCs w:val="21"/>
              </w:rPr>
              <w:t>铁一起</w:t>
            </w:r>
            <w:proofErr w:type="gramEnd"/>
            <w:r>
              <w:rPr>
                <w:rFonts w:hint="eastAsia"/>
                <w:szCs w:val="21"/>
              </w:rPr>
              <w:t>修，节省城市空间用地和修建的人工成本。</w:t>
            </w:r>
          </w:p>
        </w:tc>
        <w:tc>
          <w:tcPr>
            <w:tcW w:w="4769" w:type="dxa"/>
            <w:vAlign w:val="center"/>
          </w:tcPr>
          <w:p w:rsidR="00E71E37" w:rsidRDefault="00677873">
            <w:pPr>
              <w:autoSpaceDN w:val="0"/>
              <w:jc w:val="left"/>
              <w:textAlignment w:val="top"/>
              <w:rPr>
                <w:szCs w:val="22"/>
              </w:rPr>
            </w:pPr>
            <w:r>
              <w:rPr>
                <w:rFonts w:hint="eastAsia"/>
                <w:szCs w:val="21"/>
              </w:rPr>
              <w:t>该网友所提意见不在本次征求意见内容和范围内。</w:t>
            </w:r>
          </w:p>
        </w:tc>
      </w:tr>
    </w:tbl>
    <w:p w:rsidR="00E71E37" w:rsidRDefault="00E71E37">
      <w:pPr>
        <w:spacing w:line="20" w:lineRule="exact"/>
      </w:pPr>
      <w:bookmarkStart w:id="0" w:name="_GoBack"/>
      <w:bookmarkEnd w:id="0"/>
    </w:p>
    <w:sectPr w:rsidR="00E71E37" w:rsidSect="00E71E37">
      <w:pgSz w:w="16838" w:h="11906" w:orient="landscape"/>
      <w:pgMar w:top="1587" w:right="2098" w:bottom="1247" w:left="1474"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873" w:rsidRDefault="00677873" w:rsidP="008671A3">
      <w:r>
        <w:separator/>
      </w:r>
    </w:p>
  </w:endnote>
  <w:endnote w:type="continuationSeparator" w:id="0">
    <w:p w:rsidR="00677873" w:rsidRDefault="00677873" w:rsidP="008671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873" w:rsidRDefault="00677873" w:rsidP="008671A3">
      <w:r>
        <w:separator/>
      </w:r>
    </w:p>
  </w:footnote>
  <w:footnote w:type="continuationSeparator" w:id="0">
    <w:p w:rsidR="00677873" w:rsidRDefault="00677873" w:rsidP="008671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72A27"/>
    <w:rsid w:val="00191D2E"/>
    <w:rsid w:val="001D2B52"/>
    <w:rsid w:val="00211BD6"/>
    <w:rsid w:val="005D0DB0"/>
    <w:rsid w:val="00677873"/>
    <w:rsid w:val="006E472B"/>
    <w:rsid w:val="008671A3"/>
    <w:rsid w:val="0099133C"/>
    <w:rsid w:val="00C24FD5"/>
    <w:rsid w:val="00C33764"/>
    <w:rsid w:val="00D7207A"/>
    <w:rsid w:val="00D97517"/>
    <w:rsid w:val="00E15545"/>
    <w:rsid w:val="00E71E37"/>
    <w:rsid w:val="00EC6A49"/>
    <w:rsid w:val="00FE5B52"/>
    <w:rsid w:val="06773235"/>
    <w:rsid w:val="08C968E2"/>
    <w:rsid w:val="0F686A3A"/>
    <w:rsid w:val="158B7D82"/>
    <w:rsid w:val="1AB75C3F"/>
    <w:rsid w:val="1D373B0E"/>
    <w:rsid w:val="1F85230F"/>
    <w:rsid w:val="1FA74DDB"/>
    <w:rsid w:val="22615BE3"/>
    <w:rsid w:val="258770D1"/>
    <w:rsid w:val="26E40823"/>
    <w:rsid w:val="27EE0E3F"/>
    <w:rsid w:val="2BF0122F"/>
    <w:rsid w:val="2DDA2C69"/>
    <w:rsid w:val="2F215067"/>
    <w:rsid w:val="2F39611F"/>
    <w:rsid w:val="3A2C7921"/>
    <w:rsid w:val="3B3D7740"/>
    <w:rsid w:val="40095351"/>
    <w:rsid w:val="4028438E"/>
    <w:rsid w:val="40C37365"/>
    <w:rsid w:val="488D6263"/>
    <w:rsid w:val="495443E3"/>
    <w:rsid w:val="4F434CB0"/>
    <w:rsid w:val="57457BC6"/>
    <w:rsid w:val="578A1D1A"/>
    <w:rsid w:val="57A904EE"/>
    <w:rsid w:val="5CAF41AB"/>
    <w:rsid w:val="5D813889"/>
    <w:rsid w:val="60AC4C94"/>
    <w:rsid w:val="625030FA"/>
    <w:rsid w:val="649E2245"/>
    <w:rsid w:val="67F9413B"/>
    <w:rsid w:val="6CAB10F5"/>
    <w:rsid w:val="6CAC0BDA"/>
    <w:rsid w:val="6E8F4FE3"/>
    <w:rsid w:val="70F33E37"/>
    <w:rsid w:val="71C22EBB"/>
    <w:rsid w:val="731F506D"/>
    <w:rsid w:val="7711252B"/>
    <w:rsid w:val="7FD876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2"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1E3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E71E37"/>
    <w:pPr>
      <w:spacing w:after="120" w:line="480" w:lineRule="auto"/>
      <w:ind w:leftChars="200" w:left="420"/>
    </w:pPr>
  </w:style>
  <w:style w:type="paragraph" w:styleId="a3">
    <w:name w:val="footer"/>
    <w:basedOn w:val="a"/>
    <w:qFormat/>
    <w:rsid w:val="00E71E37"/>
    <w:pPr>
      <w:tabs>
        <w:tab w:val="center" w:pos="4153"/>
        <w:tab w:val="right" w:pos="8306"/>
      </w:tabs>
      <w:snapToGrid w:val="0"/>
      <w:jc w:val="left"/>
    </w:pPr>
    <w:rPr>
      <w:sz w:val="18"/>
    </w:rPr>
  </w:style>
  <w:style w:type="paragraph" w:styleId="a4">
    <w:name w:val="header"/>
    <w:basedOn w:val="a"/>
    <w:link w:val="Char"/>
    <w:qFormat/>
    <w:rsid w:val="00E71E37"/>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E71E3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E71E37"/>
    <w:rPr>
      <w:b/>
    </w:rPr>
  </w:style>
  <w:style w:type="paragraph" w:customStyle="1" w:styleId="BodyTextFirstIndent21">
    <w:name w:val="Body Text First Indent 21"/>
    <w:basedOn w:val="BodyTextIndent1"/>
    <w:qFormat/>
    <w:rsid w:val="00E71E37"/>
    <w:pPr>
      <w:spacing w:line="360" w:lineRule="auto"/>
    </w:pPr>
    <w:rPr>
      <w:sz w:val="24"/>
    </w:rPr>
  </w:style>
  <w:style w:type="paragraph" w:customStyle="1" w:styleId="BodyTextIndent1">
    <w:name w:val="Body Text Indent1"/>
    <w:basedOn w:val="a"/>
    <w:qFormat/>
    <w:rsid w:val="00E71E37"/>
    <w:pPr>
      <w:spacing w:line="150" w:lineRule="atLeast"/>
      <w:textAlignment w:val="baseline"/>
    </w:pPr>
  </w:style>
  <w:style w:type="paragraph" w:customStyle="1" w:styleId="21">
    <w:name w:val="正文首行缩进 21"/>
    <w:basedOn w:val="1"/>
    <w:qFormat/>
    <w:rsid w:val="00E71E37"/>
    <w:pPr>
      <w:spacing w:line="360" w:lineRule="auto"/>
    </w:pPr>
    <w:rPr>
      <w:sz w:val="24"/>
    </w:rPr>
  </w:style>
  <w:style w:type="paragraph" w:customStyle="1" w:styleId="1">
    <w:name w:val="正文文本缩进1"/>
    <w:basedOn w:val="a"/>
    <w:qFormat/>
    <w:rsid w:val="00E71E37"/>
    <w:pPr>
      <w:spacing w:line="150" w:lineRule="atLeast"/>
      <w:ind w:firstLineChars="200" w:firstLine="420"/>
      <w:textAlignment w:val="baseline"/>
    </w:pPr>
    <w:rPr>
      <w:szCs w:val="24"/>
    </w:rPr>
  </w:style>
  <w:style w:type="paragraph" w:customStyle="1" w:styleId="210">
    <w:name w:val="正文文本首行缩进 21"/>
    <w:basedOn w:val="10"/>
    <w:qFormat/>
    <w:rsid w:val="00E71E37"/>
    <w:pPr>
      <w:spacing w:line="360" w:lineRule="auto"/>
    </w:pPr>
    <w:rPr>
      <w:sz w:val="24"/>
    </w:rPr>
  </w:style>
  <w:style w:type="paragraph" w:customStyle="1" w:styleId="10">
    <w:name w:val="正文文本缩进1"/>
    <w:basedOn w:val="a"/>
    <w:qFormat/>
    <w:rsid w:val="00E71E37"/>
    <w:pPr>
      <w:spacing w:line="150" w:lineRule="atLeast"/>
      <w:ind w:firstLineChars="200" w:firstLine="420"/>
      <w:textAlignment w:val="baseline"/>
    </w:pPr>
    <w:rPr>
      <w:szCs w:val="24"/>
    </w:rPr>
  </w:style>
  <w:style w:type="character" w:customStyle="1" w:styleId="Char">
    <w:name w:val="页眉 Char"/>
    <w:basedOn w:val="a0"/>
    <w:link w:val="a4"/>
    <w:qFormat/>
    <w:rsid w:val="00E71E3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360</Words>
  <Characters>2053</Characters>
  <Application>Microsoft Office Word</Application>
  <DocSecurity>0</DocSecurity>
  <Lines>17</Lines>
  <Paragraphs>4</Paragraphs>
  <ScaleCrop>false</ScaleCrop>
  <Company>市住房和城乡建设局</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黄广森</dc:creator>
  <cp:lastModifiedBy>lenovo</cp:lastModifiedBy>
  <cp:revision>2</cp:revision>
  <cp:lastPrinted>2022-03-10T06:12:00Z</cp:lastPrinted>
  <dcterms:created xsi:type="dcterms:W3CDTF">2022-03-14T07:28:00Z</dcterms:created>
  <dcterms:modified xsi:type="dcterms:W3CDTF">2022-03-14T07:28:00Z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C71AB8D1AEE04B8AB2692E4AC6288D8F</vt:lpwstr>
  </property>
</Properties>
</file>