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jc w:val="left"/>
        <w:rPr>
          <w:rFonts w:ascii="华文中宋" w:hAnsi="华文中宋" w:eastAsia="华文中宋" w:cs="Times New Roman"/>
          <w:b/>
          <w:sz w:val="36"/>
          <w:szCs w:val="36"/>
        </w:rPr>
      </w:pPr>
      <w:r>
        <w:rPr>
          <w:rFonts w:ascii="华文中宋" w:hAnsi="华文中宋" w:eastAsia="华文中宋" w:cs="Times New Roman"/>
          <w:b/>
          <w:sz w:val="36"/>
          <w:szCs w:val="36"/>
        </w:rPr>
        <w:tab/>
      </w:r>
      <w:r>
        <w:rPr>
          <w:rFonts w:hint="eastAsia" w:ascii="华文中宋" w:hAnsi="华文中宋" w:eastAsia="华文中宋" w:cs="Times New Roman"/>
          <w:b/>
          <w:sz w:val="36"/>
          <w:szCs w:val="36"/>
        </w:rPr>
        <w:t>惠州市广场舞活动管理暂行办法</w:t>
      </w:r>
    </w:p>
    <w:p>
      <w:pPr>
        <w:tabs>
          <w:tab w:val="center" w:pos="4153"/>
          <w:tab w:val="right" w:pos="8306"/>
        </w:tabs>
        <w:jc w:val="center"/>
        <w:rPr>
          <w:rFonts w:ascii="楷体_GB2312" w:hAnsi="黑体" w:eastAsia="楷体_GB2312"/>
          <w:b/>
          <w:bCs/>
        </w:rPr>
      </w:pPr>
      <w:r>
        <w:rPr>
          <w:rFonts w:hint="eastAsia" w:ascii="楷体_GB2312" w:eastAsia="楷体_GB2312"/>
          <w:b/>
          <w:bCs/>
        </w:rPr>
        <w:t>（</w:t>
      </w:r>
      <w:r>
        <w:rPr>
          <w:rFonts w:hint="eastAsia" w:ascii="楷体_GB2312" w:eastAsia="楷体_GB2312"/>
          <w:b/>
          <w:bCs/>
          <w:lang w:val="en-US" w:eastAsia="zh-CN"/>
        </w:rPr>
        <w:t>征求意见</w:t>
      </w:r>
      <w:r>
        <w:rPr>
          <w:rFonts w:hint="eastAsia" w:ascii="楷体_GB2312" w:eastAsia="楷体_GB2312"/>
          <w:b/>
          <w:bCs/>
        </w:rPr>
        <w:t>稿）</w:t>
      </w:r>
    </w:p>
    <w:p>
      <w:pPr>
        <w:tabs>
          <w:tab w:val="center" w:pos="4153"/>
          <w:tab w:val="right" w:pos="8306"/>
        </w:tabs>
        <w:jc w:val="center"/>
        <w:rPr>
          <w:rFonts w:ascii="楷体_GB2312" w:hAnsi="黑体" w:eastAsia="楷体_GB2312"/>
          <w:b/>
          <w:bCs/>
        </w:rPr>
      </w:pPr>
      <w:r>
        <w:rPr>
          <w:rFonts w:hint="eastAsia" w:ascii="黑体" w:hAnsi="黑体" w:eastAsia="黑体"/>
          <w:b/>
        </w:rPr>
        <w:t>第一章 总则</w:t>
      </w:r>
    </w:p>
    <w:p>
      <w:pPr>
        <w:spacing w:line="360" w:lineRule="auto"/>
        <w:ind w:firstLine="562" w:firstLineChars="200"/>
        <w:rPr>
          <w:rFonts w:ascii="仿宋_GB2312" w:eastAsia="仿宋_GB2312"/>
          <w:b/>
          <w:bCs/>
        </w:rPr>
      </w:pPr>
      <w:r>
        <w:rPr>
          <w:rFonts w:hint="eastAsia" w:ascii="仿宋_GB2312" w:eastAsia="仿宋_GB2312"/>
          <w:b/>
          <w:bCs/>
        </w:rPr>
        <w:t xml:space="preserve">第一条  </w:t>
      </w:r>
      <w:r>
        <w:rPr>
          <w:rFonts w:hint="eastAsia" w:ascii="仿宋_GB2312" w:eastAsia="仿宋_GB2312"/>
        </w:rPr>
        <w:t>为了规范我市广场舞活动管理，促进广场舞活动健康开展，营造和谐、文明、有序的城市环境</w:t>
      </w:r>
      <w:bookmarkStart w:id="11" w:name="_GoBack"/>
      <w:bookmarkEnd w:id="11"/>
      <w:r>
        <w:rPr>
          <w:rFonts w:hint="eastAsia" w:ascii="仿宋_GB2312" w:eastAsia="仿宋_GB2312"/>
        </w:rPr>
        <w:t>，根据《中华人民共和国噪声污染防治法》《中华人民共和国治安管理处罚法》《城市市容和环境卫生管理条例》</w:t>
      </w:r>
      <w:bookmarkStart w:id="0" w:name="_Hlk84776139"/>
      <w:r>
        <w:rPr>
          <w:rFonts w:hint="eastAsia" w:ascii="仿宋_GB2312" w:eastAsia="仿宋_GB2312"/>
        </w:rPr>
        <w:t>《广东省全民健身条例》</w:t>
      </w:r>
      <w:bookmarkEnd w:id="0"/>
      <w:r>
        <w:rPr>
          <w:rFonts w:hint="eastAsia" w:ascii="仿宋_GB2312" w:eastAsia="仿宋_GB2312"/>
        </w:rPr>
        <w:t>《广东省文明行为促进条例》《惠州市市容和环境卫生管理条例》等法律法规和有关规定，结合我市工作实际，制定本办法。</w:t>
      </w:r>
    </w:p>
    <w:p>
      <w:pPr>
        <w:spacing w:line="360" w:lineRule="auto"/>
        <w:ind w:firstLine="562" w:firstLineChars="200"/>
        <w:rPr>
          <w:rFonts w:ascii="仿宋_GB2312" w:eastAsia="仿宋_GB2312"/>
        </w:rPr>
      </w:pPr>
      <w:r>
        <w:rPr>
          <w:rFonts w:hint="eastAsia" w:ascii="仿宋_GB2312" w:eastAsia="仿宋_GB2312"/>
          <w:b/>
          <w:bCs/>
        </w:rPr>
        <w:t xml:space="preserve">第二条  </w:t>
      </w:r>
      <w:r>
        <w:rPr>
          <w:rFonts w:hint="eastAsia" w:ascii="仿宋_GB2312" w:eastAsia="仿宋_GB2312"/>
        </w:rPr>
        <w:t>本办法所称广场舞活动是指占用城市广场、公园、文化体育场馆户外场地、街道两侧开阔地带、社区空地等户外公共场地，使用音响器材开展的以广场舞为主要载体，包括排舞、有氧健身操、搏击操、啦啦操、健身腰鼓、健身秧歌、露天演唱等活动形式的群众性娱乐健身活动。</w:t>
      </w:r>
    </w:p>
    <w:p>
      <w:pPr>
        <w:spacing w:line="360" w:lineRule="auto"/>
        <w:ind w:firstLine="562" w:firstLineChars="200"/>
        <w:rPr>
          <w:rFonts w:ascii="仿宋_GB2312" w:eastAsia="仿宋_GB2312"/>
        </w:rPr>
      </w:pPr>
      <w:r>
        <w:rPr>
          <w:rFonts w:hint="eastAsia" w:ascii="仿宋_GB2312" w:eastAsia="仿宋_GB2312"/>
          <w:b/>
          <w:bCs/>
        </w:rPr>
        <w:t xml:space="preserve">第三条 </w:t>
      </w:r>
      <w:r>
        <w:rPr>
          <w:rFonts w:ascii="仿宋_GB2312" w:eastAsia="仿宋_GB2312"/>
        </w:rPr>
        <w:t>本</w:t>
      </w:r>
      <w:r>
        <w:rPr>
          <w:rFonts w:hint="eastAsia" w:ascii="仿宋_GB2312" w:eastAsia="仿宋_GB2312"/>
        </w:rPr>
        <w:t>办法</w:t>
      </w:r>
      <w:r>
        <w:rPr>
          <w:rFonts w:ascii="仿宋_GB2312" w:eastAsia="仿宋_GB2312"/>
        </w:rPr>
        <w:t>适用于本市城市建成区和其他实行城市化管理的区域。</w:t>
      </w:r>
      <w:r>
        <w:fldChar w:fldCharType="begin"/>
      </w:r>
      <w:r>
        <w:instrText xml:space="preserve"> HYPERLINK "javascript:void(0);" </w:instrText>
      </w:r>
      <w:r>
        <w:fldChar w:fldCharType="separate"/>
      </w:r>
      <w:bookmarkStart w:id="1" w:name="tiao2_kuan1"/>
      <w:r>
        <w:fldChar w:fldCharType="end"/>
      </w:r>
      <w:bookmarkEnd w:id="1"/>
      <w:bookmarkStart w:id="2" w:name="tiao_2_kuan_2"/>
      <w:bookmarkEnd w:id="2"/>
      <w:r>
        <w:rPr>
          <w:rFonts w:ascii="仿宋_GB2312" w:eastAsia="仿宋_GB2312"/>
        </w:rPr>
        <w:t>城市建成区和其他实行城市化管理的区域由市、县（区）人民政府</w:t>
      </w:r>
      <w:r>
        <w:rPr>
          <w:rFonts w:hint="eastAsia" w:ascii="仿宋_GB2312" w:eastAsia="仿宋_GB2312"/>
        </w:rPr>
        <w:t>依据相关规定进行划定。</w:t>
      </w:r>
    </w:p>
    <w:p>
      <w:pPr>
        <w:spacing w:line="360" w:lineRule="auto"/>
        <w:ind w:firstLine="562" w:firstLineChars="200"/>
        <w:rPr>
          <w:rFonts w:ascii="仿宋_GB2312" w:eastAsia="仿宋_GB2312"/>
        </w:rPr>
      </w:pPr>
      <w:r>
        <w:rPr>
          <w:rFonts w:hint="eastAsia" w:ascii="仿宋_GB2312" w:eastAsia="仿宋_GB2312"/>
          <w:b/>
          <w:bCs/>
        </w:rPr>
        <w:t xml:space="preserve">第四条 </w:t>
      </w:r>
      <w:r>
        <w:rPr>
          <w:rFonts w:hint="eastAsia" w:ascii="仿宋_GB2312" w:eastAsia="仿宋_GB2312"/>
        </w:rPr>
        <w:t>广场舞活动管理应当以丰富群众文化生活、提高公民身体素质和道德素质、促进社会和谐稳定为根本目的，以扶持、引导、规范为基本原则，依法促进广场舞活动健康、文明、有序开展。</w:t>
      </w:r>
    </w:p>
    <w:p>
      <w:pPr>
        <w:spacing w:line="360" w:lineRule="auto"/>
        <w:jc w:val="center"/>
        <w:rPr>
          <w:rFonts w:ascii="黑体" w:hAnsi="黑体" w:eastAsia="黑体"/>
          <w:b/>
        </w:rPr>
      </w:pPr>
      <w:r>
        <w:rPr>
          <w:rFonts w:hint="eastAsia" w:ascii="黑体" w:hAnsi="黑体" w:eastAsia="黑体"/>
          <w:b/>
        </w:rPr>
        <w:t>第二章 职责分工</w:t>
      </w:r>
    </w:p>
    <w:p>
      <w:pPr>
        <w:spacing w:line="360" w:lineRule="auto"/>
        <w:ind w:firstLine="562" w:firstLineChars="200"/>
        <w:rPr>
          <w:rFonts w:ascii="仿宋_GB2312" w:eastAsia="仿宋_GB2312"/>
        </w:rPr>
      </w:pPr>
      <w:r>
        <w:rPr>
          <w:rFonts w:hint="eastAsia" w:ascii="仿宋_GB2312" w:eastAsia="仿宋_GB2312"/>
          <w:b/>
          <w:bCs/>
        </w:rPr>
        <w:t xml:space="preserve">第五条 </w:t>
      </w:r>
      <w:r>
        <w:rPr>
          <w:rFonts w:ascii="仿宋_GB2312" w:eastAsia="仿宋_GB2312"/>
        </w:rPr>
        <w:t>市、</w:t>
      </w:r>
      <w:bookmarkStart w:id="3" w:name="_Hlk92398946"/>
      <w:r>
        <w:rPr>
          <w:rFonts w:ascii="仿宋_GB2312" w:eastAsia="仿宋_GB2312"/>
        </w:rPr>
        <w:t>县（区）</w:t>
      </w:r>
      <w:bookmarkEnd w:id="3"/>
      <w:r>
        <w:rPr>
          <w:rFonts w:ascii="仿宋_GB2312" w:eastAsia="仿宋_GB2312"/>
        </w:rPr>
        <w:t>人民政府</w:t>
      </w:r>
      <w:r>
        <w:rPr>
          <w:rFonts w:hint="eastAsia" w:ascii="仿宋_GB2312" w:eastAsia="仿宋_GB2312"/>
        </w:rPr>
        <w:t>应当将广场舞活动纳入基层社会治理体系，按照属地管理原则，建立由政府统筹、相关部门依法管理、公共场所管理单位配合、社区居委会和业主委员会以及相关社会组织等广泛参与的广场舞活动管理机制。</w:t>
      </w:r>
    </w:p>
    <w:p>
      <w:pPr>
        <w:spacing w:line="360" w:lineRule="auto"/>
        <w:ind w:firstLine="562" w:firstLineChars="200"/>
        <w:rPr>
          <w:rFonts w:ascii="仿宋_GB2312" w:eastAsia="仿宋_GB2312"/>
        </w:rPr>
      </w:pPr>
      <w:r>
        <w:rPr>
          <w:rFonts w:hint="eastAsia" w:ascii="仿宋_GB2312" w:eastAsia="仿宋_GB2312"/>
          <w:b/>
          <w:bCs/>
        </w:rPr>
        <w:t>第六条</w:t>
      </w:r>
      <w:bookmarkStart w:id="4" w:name="_Hlk92365649"/>
      <w:r>
        <w:rPr>
          <w:rFonts w:hint="eastAsia" w:ascii="仿宋_GB2312" w:eastAsia="仿宋_GB2312"/>
          <w:b/>
          <w:bCs/>
        </w:rPr>
        <w:t xml:space="preserve"> </w:t>
      </w:r>
      <w:r>
        <w:rPr>
          <w:rFonts w:hint="eastAsia" w:ascii="仿宋_GB2312" w:eastAsia="仿宋_GB2312"/>
        </w:rPr>
        <w:t>各县（区）人民政府应当依照本办法和国家相关规定，明确相关部门关于广场舞活动的监督管理职责，根据需要建立广场舞活动工作协调联动机制，加强部门协同配合、信息共享，推进本行政区域广场舞活动的规范管理。</w:t>
      </w:r>
      <w:bookmarkEnd w:id="4"/>
    </w:p>
    <w:p>
      <w:pPr>
        <w:spacing w:line="360" w:lineRule="auto"/>
        <w:ind w:firstLine="562" w:firstLineChars="200"/>
        <w:rPr>
          <w:rFonts w:ascii="仿宋_GB2312" w:eastAsia="仿宋_GB2312"/>
        </w:rPr>
      </w:pPr>
      <w:r>
        <w:rPr>
          <w:rFonts w:hint="eastAsia" w:ascii="仿宋_GB2312" w:eastAsia="仿宋_GB2312"/>
          <w:b/>
          <w:bCs/>
        </w:rPr>
        <w:t xml:space="preserve">第七条 </w:t>
      </w:r>
      <w:r>
        <w:rPr>
          <w:rFonts w:hint="eastAsia" w:ascii="仿宋_GB2312" w:eastAsia="仿宋_GB2312"/>
        </w:rPr>
        <w:t>生态环境主管部门对广场舞活动的噪声污染防治履行监督管理职责。</w:t>
      </w:r>
    </w:p>
    <w:p>
      <w:pPr>
        <w:spacing w:line="360" w:lineRule="auto"/>
        <w:ind w:firstLine="560" w:firstLineChars="200"/>
        <w:rPr>
          <w:rFonts w:ascii="仿宋_GB2312" w:eastAsia="仿宋_GB2312"/>
        </w:rPr>
      </w:pPr>
      <w:bookmarkStart w:id="5" w:name="_Hlk84786559"/>
      <w:r>
        <w:rPr>
          <w:rFonts w:ascii="仿宋_GB2312" w:eastAsia="仿宋_GB2312"/>
        </w:rPr>
        <w:t>城乡管理和综合执法部门</w:t>
      </w:r>
      <w:bookmarkEnd w:id="5"/>
      <w:r>
        <w:rPr>
          <w:rFonts w:hint="eastAsia" w:ascii="仿宋_GB2312" w:eastAsia="仿宋_GB2312"/>
        </w:rPr>
        <w:t>负责广场舞活动破坏城市市容和环境卫生、损坏城市环卫设施等行为的监督管理。</w:t>
      </w:r>
    </w:p>
    <w:p>
      <w:pPr>
        <w:spacing w:line="600" w:lineRule="atLeast"/>
        <w:ind w:firstLine="560" w:firstLineChars="200"/>
        <w:rPr>
          <w:rFonts w:ascii="仿宋_GB2312" w:eastAsia="仿宋_GB2312"/>
        </w:rPr>
      </w:pPr>
      <w:r>
        <w:rPr>
          <w:rFonts w:hint="eastAsia" w:ascii="仿宋_GB2312" w:eastAsia="仿宋_GB2312"/>
        </w:rPr>
        <w:t>公安、体育、文化、民政、住房和城乡建设等其他有关部门按照各自职责共同做好广场舞活动的监督管理工作。</w:t>
      </w:r>
    </w:p>
    <w:p>
      <w:pPr>
        <w:spacing w:before="156" w:beforeLines="50" w:line="360" w:lineRule="auto"/>
        <w:jc w:val="center"/>
        <w:rPr>
          <w:rFonts w:ascii="黑体" w:hAnsi="黑体" w:eastAsia="黑体"/>
          <w:b/>
        </w:rPr>
      </w:pPr>
      <w:r>
        <w:rPr>
          <w:rFonts w:hint="eastAsia" w:ascii="黑体" w:hAnsi="黑体" w:eastAsia="黑体"/>
          <w:b/>
        </w:rPr>
        <w:t>第三章 规范要求</w:t>
      </w:r>
    </w:p>
    <w:p>
      <w:pPr>
        <w:spacing w:line="360" w:lineRule="auto"/>
        <w:ind w:firstLine="562" w:firstLineChars="200"/>
        <w:rPr>
          <w:rFonts w:ascii="仿宋_GB2312" w:eastAsia="仿宋_GB2312"/>
        </w:rPr>
      </w:pPr>
      <w:r>
        <w:rPr>
          <w:rFonts w:hint="eastAsia" w:ascii="仿宋_GB2312" w:eastAsia="仿宋_GB2312"/>
          <w:b/>
          <w:bCs/>
        </w:rPr>
        <w:t xml:space="preserve">第八条 </w:t>
      </w:r>
      <w:r>
        <w:rPr>
          <w:rFonts w:hint="eastAsia" w:ascii="仿宋_GB2312" w:eastAsia="仿宋_GB2312"/>
        </w:rPr>
        <w:t>广场舞活动应当遵守公序良俗，遵守道路交通安全、噪声污染防治等相关规定，遵守广场舞活动场所规章制度，崇尚科学、文明健身；不得侵害他人合法权益、影响他人正常的工作和生活。</w:t>
      </w:r>
    </w:p>
    <w:p>
      <w:pPr>
        <w:spacing w:line="360" w:lineRule="auto"/>
        <w:ind w:firstLine="562" w:firstLineChars="200"/>
        <w:rPr>
          <w:rFonts w:ascii="仿宋_GB2312" w:eastAsia="仿宋_GB2312"/>
        </w:rPr>
      </w:pPr>
      <w:r>
        <w:rPr>
          <w:rFonts w:hint="eastAsia" w:ascii="仿宋_GB2312" w:eastAsia="仿宋_GB2312"/>
          <w:b/>
          <w:bCs/>
        </w:rPr>
        <w:t xml:space="preserve">第九条 </w:t>
      </w:r>
      <w:r>
        <w:rPr>
          <w:rFonts w:hint="eastAsia" w:ascii="仿宋_GB2312" w:eastAsia="仿宋_GB2312"/>
        </w:rPr>
        <w:t>广场舞活动场地应当选择在城市广场、公园、文化体育场馆户外场地、街道两侧开阔地带等公共场所；利用城市商业广场、社区空地等场地开展广场舞活动，不得干扰居民正常生活、影响商家正常经营和破坏公共秩序。</w:t>
      </w:r>
    </w:p>
    <w:p>
      <w:pPr>
        <w:spacing w:line="360" w:lineRule="auto"/>
        <w:ind w:firstLine="560" w:firstLineChars="200"/>
        <w:rPr>
          <w:rFonts w:ascii="仿宋_GB2312" w:eastAsia="仿宋_GB2312"/>
        </w:rPr>
      </w:pPr>
      <w:r>
        <w:rPr>
          <w:rFonts w:hint="eastAsia" w:ascii="仿宋_GB2312" w:eastAsia="仿宋_GB2312"/>
        </w:rPr>
        <w:t>为了有效提高城市体育场地利用率，鼓励、支持企事业单位和社会组织的体育场地向广场舞爱好者开放。</w:t>
      </w:r>
    </w:p>
    <w:p>
      <w:pPr>
        <w:spacing w:line="360" w:lineRule="auto"/>
        <w:ind w:firstLine="562" w:firstLineChars="200"/>
        <w:rPr>
          <w:rFonts w:ascii="仿宋_GB2312" w:eastAsia="仿宋_GB2312"/>
        </w:rPr>
      </w:pPr>
      <w:r>
        <w:rPr>
          <w:rFonts w:hint="eastAsia" w:ascii="仿宋_GB2312" w:eastAsia="仿宋_GB2312"/>
          <w:b/>
          <w:bCs/>
        </w:rPr>
        <w:t xml:space="preserve">第十条 </w:t>
      </w:r>
      <w:r>
        <w:rPr>
          <w:rFonts w:hint="eastAsia" w:ascii="仿宋_GB2312" w:eastAsia="仿宋_GB2312"/>
        </w:rPr>
        <w:t>在街道、广场、公园、社区等公共场所开展广场舞活动，应当遵守公共场所管理者有关活动区域、时段、音量等规定，采取有效措施，防止噪声污染；不得违反规定使用音响器材产生过大音量。</w:t>
      </w:r>
    </w:p>
    <w:p>
      <w:pPr>
        <w:spacing w:line="360" w:lineRule="auto"/>
        <w:ind w:firstLine="560" w:firstLineChars="200"/>
        <w:rPr>
          <w:rFonts w:ascii="仿宋_GB2312" w:eastAsia="仿宋_GB2312"/>
        </w:rPr>
      </w:pPr>
      <w:r>
        <w:rPr>
          <w:rFonts w:hint="eastAsia" w:ascii="仿宋_GB2312" w:eastAsia="仿宋_GB2312"/>
        </w:rPr>
        <w:t>公共场所管理者应当合理规定广场舞活动的区域、时段、音量，可以采取设置噪声自动监测和显示设施等措施加强管理。</w:t>
      </w:r>
    </w:p>
    <w:p>
      <w:pPr>
        <w:ind w:firstLine="562" w:firstLineChars="200"/>
        <w:rPr>
          <w:rFonts w:ascii="仿宋_GB2312" w:eastAsia="仿宋_GB2312"/>
        </w:rPr>
      </w:pPr>
      <w:r>
        <w:rPr>
          <w:rFonts w:hint="eastAsia" w:ascii="仿宋_GB2312" w:eastAsia="仿宋_GB2312"/>
          <w:b/>
          <w:bCs/>
        </w:rPr>
        <w:t>第十一条</w:t>
      </w:r>
      <w:r>
        <w:rPr>
          <w:rFonts w:hint="eastAsia" w:ascii="仿宋_GB2312" w:eastAsia="仿宋_GB2312"/>
        </w:rPr>
        <w:t>　在市区学校、医院、图书馆、居民住宅、机关、科研单位等噪声敏感建筑物集中区域开展广场舞活动的，禁止使用高音广播喇叭，使用其他音响器材产生的环境噪声昼间最高不得超过 5</w:t>
      </w:r>
      <w:r>
        <w:rPr>
          <w:rFonts w:ascii="仿宋_GB2312" w:eastAsia="仿宋_GB2312"/>
        </w:rPr>
        <w:t>5</w:t>
      </w:r>
      <w:r>
        <w:rPr>
          <w:rFonts w:hint="eastAsia" w:ascii="仿宋_GB2312" w:eastAsia="仿宋_GB2312"/>
        </w:rPr>
        <w:t xml:space="preserve"> 分贝，夜间最高不得超过 4</w:t>
      </w:r>
      <w:r>
        <w:rPr>
          <w:rFonts w:ascii="仿宋_GB2312" w:eastAsia="仿宋_GB2312"/>
        </w:rPr>
        <w:t>5</w:t>
      </w:r>
      <w:r>
        <w:rPr>
          <w:rFonts w:hint="eastAsia" w:ascii="仿宋_GB2312" w:eastAsia="仿宋_GB2312"/>
        </w:rPr>
        <w:t xml:space="preserve">分贝。在其他区域内进行广场舞活动，使用音响器材所产生的环境噪声昼间最高不得超过 60 分贝，夜间最高不得超过 50 分贝。 </w:t>
      </w:r>
    </w:p>
    <w:p>
      <w:pPr>
        <w:ind w:firstLine="560" w:firstLineChars="200"/>
        <w:rPr>
          <w:rFonts w:ascii="仿宋_GB2312" w:eastAsia="仿宋_GB2312"/>
        </w:rPr>
      </w:pPr>
      <w:r>
        <w:rPr>
          <w:rFonts w:hint="eastAsia" w:ascii="仿宋_GB2312" w:eastAsia="仿宋_GB2312"/>
        </w:rPr>
        <w:t>鼓励广场舞活动爱好者在开展活动时佩戴无线耳机设备替代播放广播喇叭等音响器材。</w:t>
      </w:r>
    </w:p>
    <w:p>
      <w:pPr>
        <w:spacing w:line="360" w:lineRule="auto"/>
        <w:ind w:firstLine="562" w:firstLineChars="200"/>
        <w:rPr>
          <w:rFonts w:ascii="仿宋_GB2312" w:eastAsia="仿宋_GB2312"/>
        </w:rPr>
      </w:pPr>
      <w:r>
        <w:rPr>
          <w:rFonts w:hint="eastAsia" w:ascii="仿宋_GB2312" w:eastAsia="仿宋_GB2312"/>
          <w:b/>
          <w:bCs/>
        </w:rPr>
        <w:t xml:space="preserve">第十二条 </w:t>
      </w:r>
      <w:r>
        <w:rPr>
          <w:rFonts w:hint="eastAsia" w:ascii="仿宋_GB2312" w:eastAsia="仿宋_GB2312"/>
        </w:rPr>
        <w:t>在中考、高考等特殊活动期间，学校、社区、图书馆等特殊区域附近暂停开展广场舞活动。各</w:t>
      </w:r>
      <w:r>
        <w:rPr>
          <w:rFonts w:ascii="仿宋_GB2312" w:eastAsia="仿宋_GB2312"/>
        </w:rPr>
        <w:t>县（区）</w:t>
      </w:r>
      <w:r>
        <w:rPr>
          <w:rFonts w:hint="eastAsia" w:ascii="仿宋_GB2312" w:eastAsia="仿宋_GB2312"/>
        </w:rPr>
        <w:t>人民政府或者其指定的部门对此应当加强宣传引导，避免因广场舞活动产生噪声污染等行为。</w:t>
      </w:r>
    </w:p>
    <w:p>
      <w:pPr>
        <w:spacing w:line="360" w:lineRule="auto"/>
        <w:ind w:firstLine="562" w:firstLineChars="200"/>
        <w:rPr>
          <w:rFonts w:ascii="仿宋_GB2312" w:eastAsia="仿宋_GB2312"/>
        </w:rPr>
      </w:pPr>
      <w:r>
        <w:rPr>
          <w:rFonts w:hint="eastAsia" w:ascii="仿宋_GB2312" w:eastAsia="仿宋_GB2312"/>
          <w:b/>
          <w:bCs/>
        </w:rPr>
        <w:t xml:space="preserve">第十三条 </w:t>
      </w:r>
      <w:r>
        <w:rPr>
          <w:rFonts w:hint="eastAsia" w:ascii="仿宋_GB2312" w:eastAsia="仿宋_GB2312"/>
        </w:rPr>
        <w:t>参与广场舞活动的团体、组织和个人应当自觉维护市容和环境卫生、公共设施和公共秩序，遵守社会公德，不得有下列行为：</w:t>
      </w:r>
    </w:p>
    <w:p>
      <w:pPr>
        <w:spacing w:line="360" w:lineRule="auto"/>
        <w:ind w:firstLine="560" w:firstLineChars="200"/>
        <w:rPr>
          <w:rFonts w:ascii="仿宋_GB2312" w:eastAsia="仿宋_GB2312"/>
        </w:rPr>
      </w:pPr>
      <w:r>
        <w:rPr>
          <w:rFonts w:hint="eastAsia" w:ascii="仿宋_GB2312" w:eastAsia="仿宋_GB2312"/>
        </w:rPr>
        <w:t>（一）随地吐痰、便溺、乱扔废弃物；</w:t>
      </w:r>
    </w:p>
    <w:p>
      <w:pPr>
        <w:spacing w:line="360" w:lineRule="auto"/>
        <w:ind w:firstLine="560" w:firstLineChars="200"/>
        <w:rPr>
          <w:rFonts w:ascii="仿宋_GB2312" w:eastAsia="仿宋_GB2312"/>
        </w:rPr>
      </w:pPr>
      <w:r>
        <w:rPr>
          <w:rFonts w:hint="eastAsia" w:ascii="仿宋_GB2312" w:eastAsia="仿宋_GB2312"/>
        </w:rPr>
        <w:t>（二）损坏城市树木花草或者绿化、市政等设施；</w:t>
      </w:r>
    </w:p>
    <w:p>
      <w:pPr>
        <w:spacing w:line="360" w:lineRule="auto"/>
        <w:ind w:firstLine="560" w:firstLineChars="200"/>
        <w:rPr>
          <w:rFonts w:ascii="仿宋_GB2312" w:eastAsia="仿宋_GB2312"/>
        </w:rPr>
      </w:pPr>
      <w:r>
        <w:rPr>
          <w:rFonts w:hint="eastAsia" w:ascii="仿宋_GB2312" w:eastAsia="仿宋_GB2312"/>
        </w:rPr>
        <w:t>（三）擅自侵占城市道路影响城市交通；</w:t>
      </w:r>
    </w:p>
    <w:p>
      <w:pPr>
        <w:spacing w:line="360" w:lineRule="auto"/>
        <w:ind w:firstLine="560" w:firstLineChars="200"/>
        <w:rPr>
          <w:rFonts w:ascii="仿宋_GB2312" w:eastAsia="仿宋_GB2312"/>
        </w:rPr>
      </w:pPr>
      <w:r>
        <w:rPr>
          <w:rFonts w:hint="eastAsia" w:ascii="仿宋_GB2312" w:eastAsia="仿宋_GB2312"/>
        </w:rPr>
        <w:t>（四）擅自在树木、地面、建筑物、构筑物或者其他设施上刻画、涂写、张贴；</w:t>
      </w:r>
    </w:p>
    <w:p>
      <w:pPr>
        <w:spacing w:line="360" w:lineRule="auto"/>
        <w:ind w:firstLine="560" w:firstLineChars="200"/>
        <w:rPr>
          <w:rFonts w:ascii="仿宋_GB2312" w:eastAsia="仿宋_GB2312"/>
        </w:rPr>
      </w:pPr>
      <w:r>
        <w:rPr>
          <w:rFonts w:hint="eastAsia" w:ascii="仿宋_GB2312" w:eastAsia="仿宋_GB2312"/>
        </w:rPr>
        <w:t>（五）传播淫秽信息或者进行淫秽表演；</w:t>
      </w:r>
    </w:p>
    <w:p>
      <w:pPr>
        <w:spacing w:line="360" w:lineRule="auto"/>
        <w:ind w:firstLine="560" w:firstLineChars="200"/>
        <w:rPr>
          <w:rFonts w:ascii="仿宋_GB2312" w:eastAsia="仿宋_GB2312"/>
        </w:rPr>
      </w:pPr>
      <w:r>
        <w:rPr>
          <w:rFonts w:hint="eastAsia" w:ascii="仿宋_GB2312" w:eastAsia="仿宋_GB2312"/>
        </w:rPr>
        <w:t>（六）打架斗殴、寻衅滋事或者煽动闹事；</w:t>
      </w:r>
    </w:p>
    <w:p>
      <w:pPr>
        <w:spacing w:line="360" w:lineRule="auto"/>
        <w:ind w:firstLine="560" w:firstLineChars="200"/>
        <w:rPr>
          <w:rFonts w:ascii="仿宋_GB2312" w:eastAsia="仿宋_GB2312"/>
        </w:rPr>
      </w:pPr>
      <w:r>
        <w:rPr>
          <w:rFonts w:hint="eastAsia" w:ascii="仿宋_GB2312" w:eastAsia="仿宋_GB2312"/>
        </w:rPr>
        <w:t>（七）进行各种邪教、迷信活动；</w:t>
      </w:r>
    </w:p>
    <w:p>
      <w:pPr>
        <w:spacing w:line="360" w:lineRule="auto"/>
        <w:ind w:firstLine="560" w:firstLineChars="200"/>
        <w:rPr>
          <w:rFonts w:ascii="仿宋_GB2312" w:eastAsia="仿宋_GB2312"/>
        </w:rPr>
      </w:pPr>
      <w:r>
        <w:rPr>
          <w:rFonts w:hint="eastAsia" w:ascii="仿宋_GB2312" w:eastAsia="仿宋_GB2312"/>
        </w:rPr>
        <w:t>（八）其他违反法律法规规定的行为。</w:t>
      </w:r>
      <w:r>
        <w:fldChar w:fldCharType="begin"/>
      </w:r>
      <w:r>
        <w:instrText xml:space="preserve"> HYPERLINK "javascript:void(0);" </w:instrText>
      </w:r>
      <w:r>
        <w:fldChar w:fldCharType="separate"/>
      </w:r>
      <w:bookmarkStart w:id="6" w:name="tiao4_kuan2"/>
      <w:r>
        <w:fldChar w:fldCharType="end"/>
      </w:r>
      <w:bookmarkEnd w:id="6"/>
    </w:p>
    <w:p>
      <w:pPr>
        <w:spacing w:line="360" w:lineRule="auto"/>
        <w:jc w:val="center"/>
        <w:rPr>
          <w:rFonts w:ascii="黑体" w:hAnsi="黑体" w:eastAsia="黑体"/>
          <w:b/>
        </w:rPr>
      </w:pPr>
      <w:r>
        <w:rPr>
          <w:rFonts w:hint="eastAsia" w:ascii="黑体" w:hAnsi="黑体" w:eastAsia="黑体"/>
          <w:b/>
        </w:rPr>
        <w:t>第四章 监督管理</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bookmarkStart w:id="7" w:name="tiao6_kuan2"/>
      <w:r>
        <w:fldChar w:fldCharType="end"/>
      </w:r>
      <w:bookmarkEnd w:id="7"/>
    </w:p>
    <w:p>
      <w:pPr>
        <w:spacing w:line="360" w:lineRule="auto"/>
        <w:ind w:firstLine="562" w:firstLineChars="200"/>
        <w:rPr>
          <w:rFonts w:ascii="仿宋_GB2312" w:eastAsia="仿宋_GB2312"/>
        </w:rPr>
      </w:pPr>
      <w:r>
        <w:rPr>
          <w:rFonts w:hint="eastAsia" w:ascii="仿宋_GB2312" w:eastAsia="仿宋_GB2312"/>
          <w:b/>
          <w:bCs/>
        </w:rPr>
        <w:t>第十四条</w:t>
      </w:r>
      <w:r>
        <w:rPr>
          <w:rFonts w:hint="eastAsia" w:ascii="仿宋_GB2312" w:eastAsia="仿宋_GB2312"/>
        </w:rPr>
        <w:t xml:space="preserve"> 基层群众性自治组织指导业主委员会、物业服务人、业主通过制定管理规约或者其他形式，约定本物业管理区域的场地使用范围、活动时段、音量要求等广场舞活动中应注意的事项，由广场舞活动爱好者共同遵守。</w:t>
      </w:r>
    </w:p>
    <w:p>
      <w:pPr>
        <w:spacing w:line="360" w:lineRule="auto"/>
        <w:ind w:firstLine="562" w:firstLineChars="200"/>
        <w:rPr>
          <w:rFonts w:ascii="仿宋_GB2312" w:eastAsia="仿宋_GB2312"/>
        </w:rPr>
      </w:pPr>
      <w:r>
        <w:rPr>
          <w:rFonts w:hint="eastAsia" w:ascii="仿宋_GB2312" w:eastAsia="仿宋_GB2312"/>
          <w:b/>
          <w:bCs/>
        </w:rPr>
        <w:t>第十五条</w:t>
      </w:r>
      <w:r>
        <w:rPr>
          <w:rFonts w:ascii="仿宋_GB2312" w:eastAsia="仿宋_GB2312"/>
        </w:rPr>
        <w:t xml:space="preserve"> </w:t>
      </w:r>
      <w:r>
        <w:rPr>
          <w:rFonts w:hint="eastAsia" w:ascii="仿宋_GB2312" w:eastAsia="仿宋_GB2312"/>
        </w:rPr>
        <w:t xml:space="preserve">公共场所管理者应当对本管理区域区内广场舞组织或广场舞队伍进行调查统计，并建立实名制登记台账。登记内容应包括活动地点、活动时间、负责人及联系方式等信息。 </w:t>
      </w:r>
    </w:p>
    <w:p>
      <w:pPr>
        <w:spacing w:line="360" w:lineRule="auto"/>
        <w:ind w:firstLine="560" w:firstLineChars="200"/>
        <w:rPr>
          <w:rFonts w:ascii="仿宋_GB2312" w:eastAsia="仿宋_GB2312"/>
        </w:rPr>
      </w:pPr>
      <w:r>
        <w:rPr>
          <w:rFonts w:hint="eastAsia" w:ascii="仿宋_GB2312" w:eastAsia="仿宋_GB2312"/>
        </w:rPr>
        <w:t>如无明确责任人，则音响器材提供者、领舞、领操、领唱者或活动组织者视为责任人。</w:t>
      </w:r>
    </w:p>
    <w:p>
      <w:pPr>
        <w:spacing w:line="360" w:lineRule="auto"/>
        <w:ind w:firstLine="562" w:firstLineChars="200"/>
        <w:rPr>
          <w:b/>
          <w:bCs/>
          <w:sz w:val="24"/>
          <w:szCs w:val="24"/>
        </w:rPr>
      </w:pPr>
      <w:r>
        <w:rPr>
          <w:rFonts w:hint="eastAsia" w:ascii="仿宋_GB2312" w:eastAsia="仿宋_GB2312"/>
          <w:b/>
          <w:bCs/>
        </w:rPr>
        <w:t xml:space="preserve">第十六条 </w:t>
      </w:r>
      <w:bookmarkStart w:id="8" w:name="_Hlk92623201"/>
      <w:r>
        <w:rPr>
          <w:rFonts w:hint="eastAsia" w:ascii="仿宋_GB2312" w:eastAsia="仿宋_GB2312"/>
        </w:rPr>
        <w:t>公共场所管理者</w:t>
      </w:r>
      <w:bookmarkEnd w:id="8"/>
      <w:r>
        <w:rPr>
          <w:rFonts w:hint="eastAsia" w:ascii="仿宋_GB2312" w:eastAsia="仿宋_GB2312"/>
        </w:rPr>
        <w:t>应当在各广场舞场所设置温馨提示牌,明确活动开展时段、活动范围、音响分贝最高限制、活动要求及投诉热线等内容。</w:t>
      </w:r>
    </w:p>
    <w:p>
      <w:pPr>
        <w:spacing w:line="360" w:lineRule="auto"/>
        <w:ind w:firstLine="562" w:firstLineChars="200"/>
        <w:rPr>
          <w:rFonts w:ascii="仿宋_GB2312" w:eastAsia="仿宋_GB2312"/>
        </w:rPr>
      </w:pPr>
      <w:r>
        <w:rPr>
          <w:rFonts w:hint="eastAsia" w:ascii="仿宋_GB2312" w:eastAsia="仿宋_GB2312"/>
          <w:b/>
          <w:bCs/>
        </w:rPr>
        <w:t xml:space="preserve">第十七条 </w:t>
      </w:r>
      <w:r>
        <w:rPr>
          <w:rFonts w:hint="eastAsia" w:ascii="仿宋_GB2312" w:eastAsia="仿宋_GB2312"/>
        </w:rPr>
        <w:t>广场舞活动场地需要举办大型群众性活动或者其他活动的，相关举办单位应当于活动举办3日前通过发布通告、张贴告示等方式，告知开展广场舞活动的团体、组织和个人，引导其在活动期间选择其他适宜场地开展广场舞活动。</w:t>
      </w:r>
    </w:p>
    <w:p>
      <w:pPr>
        <w:spacing w:line="360" w:lineRule="auto"/>
        <w:ind w:firstLine="562" w:firstLineChars="200"/>
        <w:rPr>
          <w:rFonts w:ascii="仿宋_GB2312" w:eastAsia="仿宋_GB2312"/>
        </w:rPr>
      </w:pPr>
      <w:r>
        <w:rPr>
          <w:rFonts w:hint="eastAsia" w:ascii="仿宋_GB2312" w:eastAsia="仿宋_GB2312"/>
          <w:b/>
          <w:bCs/>
        </w:rPr>
        <w:t xml:space="preserve">第十八条 </w:t>
      </w:r>
      <w:r>
        <w:rPr>
          <w:rFonts w:hint="eastAsia" w:ascii="仿宋_GB2312" w:eastAsia="仿宋_GB2312"/>
        </w:rPr>
        <w:t xml:space="preserve">各级政府和相关行政管理部门可以引导和鼓励社会力量对广场舞活动给予资金及设备支持，吸纳有实践经验的广场舞团队负责人参与广场舞活动的培训辅导，提高广场舞活动的管理与教学服务水平。                                                                                                                                                                 </w:t>
      </w:r>
    </w:p>
    <w:p>
      <w:pPr>
        <w:spacing w:line="360" w:lineRule="auto"/>
        <w:ind w:firstLine="562" w:firstLineChars="200"/>
        <w:rPr>
          <w:rFonts w:ascii="仿宋_GB2312" w:eastAsia="仿宋_GB2312"/>
          <w:b/>
          <w:bCs/>
        </w:rPr>
      </w:pPr>
      <w:r>
        <w:rPr>
          <w:rFonts w:hint="eastAsia" w:ascii="仿宋_GB2312" w:eastAsia="仿宋_GB2312"/>
          <w:b/>
          <w:bCs/>
        </w:rPr>
        <w:t xml:space="preserve">第十九条 </w:t>
      </w:r>
      <w:r>
        <w:rPr>
          <w:rFonts w:hint="eastAsia" w:ascii="仿宋_GB2312" w:eastAsia="仿宋_GB2312"/>
        </w:rPr>
        <w:t>民政、文化、体育等行政主管部门应当鼓励并指导成立广场舞协会等文化体育社会组织，发挥其自我管理、自我教育、自我服务、自我监督的功能和作用。</w:t>
      </w:r>
    </w:p>
    <w:p>
      <w:pPr>
        <w:spacing w:line="360" w:lineRule="auto"/>
        <w:ind w:firstLine="562" w:firstLineChars="200"/>
        <w:rPr>
          <w:rFonts w:ascii="仿宋_GB2312" w:eastAsia="仿宋_GB2312"/>
        </w:rPr>
      </w:pPr>
      <w:r>
        <w:rPr>
          <w:rFonts w:hint="eastAsia" w:ascii="仿宋_GB2312" w:eastAsia="仿宋_GB2312"/>
          <w:b/>
          <w:bCs/>
        </w:rPr>
        <w:t>第二十条</w:t>
      </w:r>
      <w:bookmarkStart w:id="9" w:name="_Hlk92365400"/>
      <w:r>
        <w:rPr>
          <w:rFonts w:hint="eastAsia" w:ascii="仿宋_GB2312" w:eastAsia="仿宋_GB2312"/>
          <w:b/>
          <w:bCs/>
        </w:rPr>
        <w:t xml:space="preserve"> </w:t>
      </w:r>
      <w:r>
        <w:rPr>
          <w:rFonts w:hint="eastAsia" w:ascii="仿宋_GB2312" w:eastAsia="仿宋_GB2312"/>
        </w:rPr>
        <w:t>对噪声敏感建筑物集中区域的广场舞活动扰民行为，基层群众性自治组织、业主委员会、物业服务人应当及时劝阻、调解；劝阻、调解无效的，可以向负有社会生活噪声污染防治监督管理职责的部门或者县（区）人民政府指定的部门报告或者投诉，接到报告或者投诉的部门应当依法处理。</w:t>
      </w:r>
      <w:bookmarkEnd w:id="9"/>
    </w:p>
    <w:p>
      <w:pPr>
        <w:spacing w:line="360" w:lineRule="auto"/>
        <w:ind w:firstLine="562" w:firstLineChars="200"/>
        <w:rPr>
          <w:rFonts w:ascii="仿宋_GB2312" w:eastAsia="仿宋_GB2312"/>
        </w:rPr>
      </w:pPr>
      <w:r>
        <w:rPr>
          <w:rFonts w:hint="eastAsia" w:ascii="仿宋_GB2312" w:eastAsia="仿宋_GB2312"/>
          <w:b/>
          <w:bCs/>
        </w:rPr>
        <w:t xml:space="preserve">第二十一条 </w:t>
      </w:r>
      <w:r>
        <w:rPr>
          <w:rFonts w:hint="eastAsia" w:ascii="仿宋_GB2312" w:eastAsia="仿宋_GB2312"/>
        </w:rPr>
        <w:t>各县（区）政府应当向社会公布广场舞活动监督方式，统一受理、处置群众相关举报、投诉。</w:t>
      </w:r>
    </w:p>
    <w:p>
      <w:pPr>
        <w:spacing w:line="360" w:lineRule="auto"/>
        <w:jc w:val="center"/>
        <w:rPr>
          <w:rFonts w:ascii="黑体" w:hAnsi="黑体" w:eastAsia="黑体"/>
          <w:b/>
        </w:rPr>
      </w:pPr>
      <w:r>
        <w:rPr>
          <w:rFonts w:hint="eastAsia" w:ascii="黑体" w:hAnsi="黑体" w:eastAsia="黑体"/>
          <w:b/>
        </w:rPr>
        <w:t>第五章 法律责任</w:t>
      </w:r>
    </w:p>
    <w:p>
      <w:pPr>
        <w:spacing w:line="360" w:lineRule="auto"/>
        <w:ind w:firstLine="562" w:firstLineChars="200"/>
        <w:rPr>
          <w:rFonts w:ascii="仿宋_GB2312" w:eastAsia="仿宋_GB2312"/>
        </w:rPr>
      </w:pPr>
      <w:r>
        <w:rPr>
          <w:rFonts w:hint="eastAsia" w:ascii="仿宋_GB2312" w:eastAsia="仿宋_GB2312"/>
          <w:b/>
          <w:bCs/>
        </w:rPr>
        <w:t xml:space="preserve">第二十二条  </w:t>
      </w:r>
      <w:r>
        <w:rPr>
          <w:rFonts w:hint="eastAsia" w:ascii="仿宋_GB2312" w:eastAsia="仿宋_GB2312"/>
        </w:rPr>
        <w:t xml:space="preserve">广场舞活动监督管理部门工作人员滥用职权、玩忽职守、徇私舞弊的，由其所在单位或者上级行政机关给予行政处分；构成犯罪的，依法追究刑事责任。 </w:t>
      </w:r>
    </w:p>
    <w:p>
      <w:pPr>
        <w:spacing w:line="360" w:lineRule="auto"/>
        <w:ind w:firstLine="562" w:firstLineChars="200"/>
        <w:rPr>
          <w:rFonts w:ascii="仿宋_GB2312" w:eastAsia="仿宋_GB2312"/>
        </w:rPr>
      </w:pPr>
      <w:r>
        <w:rPr>
          <w:rFonts w:hint="eastAsia" w:ascii="仿宋_GB2312" w:eastAsia="仿宋_GB2312"/>
          <w:b/>
          <w:bCs/>
        </w:rPr>
        <w:t xml:space="preserve">第二十三条 </w:t>
      </w:r>
      <w:r>
        <w:rPr>
          <w:rFonts w:hint="eastAsia" w:ascii="仿宋_GB2312" w:eastAsia="仿宋_GB2312"/>
        </w:rPr>
        <w:t xml:space="preserve">违反本办法规定，有下列行为之一，由县（区）人民政府指定的部门依据《中华人民共和国噪音污染防治法》的相关规定进行查处： </w:t>
      </w:r>
    </w:p>
    <w:p>
      <w:pPr>
        <w:spacing w:line="360" w:lineRule="auto"/>
        <w:ind w:firstLine="560" w:firstLineChars="200"/>
        <w:rPr>
          <w:rFonts w:ascii="仿宋_GB2312" w:eastAsia="仿宋_GB2312"/>
        </w:rPr>
      </w:pPr>
      <w:r>
        <w:rPr>
          <w:rFonts w:hint="eastAsia" w:ascii="仿宋_GB2312" w:eastAsia="仿宋_GB2312"/>
        </w:rPr>
        <w:t>（一）在噪声敏感建筑物集中区域使用高音广播喇叭的；</w:t>
      </w:r>
    </w:p>
    <w:p>
      <w:pPr>
        <w:spacing w:line="360" w:lineRule="auto"/>
        <w:ind w:firstLine="560" w:firstLineChars="200"/>
        <w:rPr>
          <w:rFonts w:ascii="仿宋_GB2312" w:eastAsia="仿宋_GB2312"/>
        </w:rPr>
      </w:pPr>
      <w:r>
        <w:rPr>
          <w:rFonts w:hint="eastAsia" w:ascii="仿宋_GB2312" w:eastAsia="仿宋_GB2312"/>
        </w:rPr>
        <w:t>（二）在公共场所开展广场舞活动，未遵守公共场所管理者有关活动区域、时段、音量等规定，未采取有效措施造成噪声污染，或者违反规定使用音响器材产生过大音量的；</w:t>
      </w:r>
    </w:p>
    <w:p>
      <w:pPr>
        <w:spacing w:line="360" w:lineRule="auto"/>
        <w:ind w:firstLine="560" w:firstLineChars="200"/>
        <w:rPr>
          <w:rFonts w:ascii="仿宋_GB2312" w:eastAsia="仿宋_GB2312"/>
        </w:rPr>
      </w:pPr>
      <w:r>
        <w:rPr>
          <w:rFonts w:hint="eastAsia" w:ascii="仿宋_GB2312" w:eastAsia="仿宋_GB2312"/>
        </w:rPr>
        <w:t>（三）其他违反法律规定造成社会生活噪声污染的。</w:t>
      </w:r>
    </w:p>
    <w:p>
      <w:pPr>
        <w:ind w:firstLine="562" w:firstLineChars="200"/>
        <w:rPr>
          <w:rFonts w:ascii="仿宋_GB2312" w:eastAsia="仿宋_GB2312"/>
        </w:rPr>
      </w:pPr>
      <w:r>
        <w:rPr>
          <w:rFonts w:hint="eastAsia" w:ascii="仿宋_GB2312" w:eastAsia="仿宋_GB2312"/>
          <w:b/>
          <w:bCs/>
        </w:rPr>
        <w:t>第二十四条</w:t>
      </w:r>
      <w:bookmarkStart w:id="10" w:name="_Hlk84795693"/>
      <w:r>
        <w:rPr>
          <w:rFonts w:hint="eastAsia" w:ascii="仿宋_GB2312" w:eastAsia="仿宋_GB2312"/>
          <w:b/>
          <w:bCs/>
        </w:rPr>
        <w:t xml:space="preserve"> </w:t>
      </w:r>
      <w:r>
        <w:rPr>
          <w:rFonts w:hint="eastAsia" w:ascii="仿宋_GB2312" w:eastAsia="仿宋_GB2312"/>
        </w:rPr>
        <w:t>违反本办法第十三条第</w:t>
      </w:r>
      <w:bookmarkEnd w:id="10"/>
      <w:r>
        <w:rPr>
          <w:rFonts w:hint="eastAsia" w:ascii="仿宋_GB2312" w:eastAsia="仿宋_GB2312"/>
        </w:rPr>
        <w:t>（一）（二）（四）项规定的，由</w:t>
      </w:r>
      <w:r>
        <w:rPr>
          <w:rFonts w:ascii="仿宋_GB2312" w:eastAsia="仿宋_GB2312"/>
        </w:rPr>
        <w:t>城乡管理和综合执法部门</w:t>
      </w:r>
      <w:r>
        <w:rPr>
          <w:rFonts w:hint="eastAsia" w:ascii="仿宋_GB2312" w:eastAsia="仿宋_GB2312"/>
        </w:rPr>
        <w:t>依据《</w:t>
      </w:r>
      <w:r>
        <w:rPr>
          <w:rFonts w:ascii="仿宋_GB2312" w:eastAsia="仿宋_GB2312"/>
        </w:rPr>
        <w:t>城市市容和环境卫生管理条例</w:t>
      </w:r>
      <w:r>
        <w:rPr>
          <w:rFonts w:hint="eastAsia" w:ascii="仿宋_GB2312" w:eastAsia="仿宋_GB2312"/>
        </w:rPr>
        <w:t>》《</w:t>
      </w:r>
      <w:r>
        <w:rPr>
          <w:rFonts w:ascii="仿宋_GB2312" w:eastAsia="仿宋_GB2312"/>
        </w:rPr>
        <w:t>惠州市市容和环境卫生管理条例</w:t>
      </w:r>
      <w:r>
        <w:rPr>
          <w:rFonts w:hint="eastAsia" w:ascii="仿宋_GB2312" w:eastAsia="仿宋_GB2312"/>
        </w:rPr>
        <w:t>》等法律法规的规定进行查处。</w:t>
      </w:r>
    </w:p>
    <w:p>
      <w:pPr>
        <w:ind w:firstLine="562" w:firstLineChars="200"/>
        <w:rPr>
          <w:rFonts w:ascii="仿宋_GB2312" w:eastAsia="仿宋_GB2312"/>
        </w:rPr>
      </w:pPr>
      <w:r>
        <w:rPr>
          <w:rFonts w:hint="eastAsia" w:ascii="仿宋_GB2312" w:eastAsia="仿宋_GB2312"/>
          <w:b/>
          <w:bCs/>
        </w:rPr>
        <w:t xml:space="preserve">第二十五条 </w:t>
      </w:r>
      <w:r>
        <w:rPr>
          <w:rFonts w:hint="eastAsia" w:ascii="仿宋_GB2312" w:eastAsia="仿宋_GB2312"/>
        </w:rPr>
        <w:t>违反本办法第十三条第（三）（五）（六）（七）项规定的，由公安机关依据《中华人民共和国治安管理处罚法》《中华人民共和国道路安全法》等法律法规的规定进行查处。</w:t>
      </w:r>
    </w:p>
    <w:p>
      <w:pPr>
        <w:spacing w:line="360" w:lineRule="auto"/>
        <w:ind w:firstLine="562" w:firstLineChars="200"/>
        <w:rPr>
          <w:rFonts w:ascii="仿宋_GB2312" w:eastAsia="仿宋_GB2312"/>
        </w:rPr>
      </w:pPr>
      <w:r>
        <w:rPr>
          <w:rFonts w:hint="eastAsia" w:ascii="仿宋_GB2312" w:eastAsia="仿宋_GB2312"/>
          <w:b/>
          <w:bCs/>
        </w:rPr>
        <w:t>第二十六条</w:t>
      </w:r>
      <w:r>
        <w:rPr>
          <w:rFonts w:hint="eastAsia" w:ascii="仿宋_GB2312" w:eastAsia="仿宋_GB2312"/>
        </w:rPr>
        <w:t xml:space="preserve"> 违反本办法规定，产生社会生活噪声，经劝阻、调解和处理未能制止，持续干扰他人正常生活、工作和学习，或者有其他扰乱公共秩序、妨害社会管理等违反治安管理行为的，由公安机关依法给予治安管理处罚。</w:t>
      </w:r>
    </w:p>
    <w:p>
      <w:pPr>
        <w:spacing w:line="360" w:lineRule="auto"/>
        <w:ind w:firstLine="560" w:firstLineChars="200"/>
        <w:rPr>
          <w:rFonts w:ascii="仿宋_GB2312" w:eastAsia="仿宋_GB2312"/>
        </w:rPr>
      </w:pPr>
      <w:r>
        <w:rPr>
          <w:rFonts w:hint="eastAsia" w:ascii="仿宋_GB2312" w:eastAsia="仿宋_GB2312"/>
        </w:rPr>
        <w:t>违反本办法规定，构成犯罪的，依法追究刑事责任。</w:t>
      </w:r>
    </w:p>
    <w:p>
      <w:pPr>
        <w:spacing w:before="156" w:beforeLines="50" w:line="360" w:lineRule="auto"/>
        <w:jc w:val="center"/>
        <w:rPr>
          <w:rFonts w:ascii="黑体" w:hAnsi="黑体" w:eastAsia="黑体"/>
          <w:b/>
        </w:rPr>
      </w:pPr>
      <w:r>
        <w:rPr>
          <w:rFonts w:hint="eastAsia" w:ascii="黑体" w:hAnsi="黑体" w:eastAsia="黑体"/>
          <w:b/>
        </w:rPr>
        <w:t>第六章 附则</w:t>
      </w:r>
    </w:p>
    <w:p>
      <w:pPr>
        <w:ind w:firstLine="562" w:firstLineChars="200"/>
        <w:rPr>
          <w:rFonts w:ascii="仿宋_GB2312" w:eastAsia="仿宋_GB2312"/>
        </w:rPr>
      </w:pPr>
      <w:r>
        <w:rPr>
          <w:rFonts w:hint="eastAsia" w:ascii="仿宋_GB2312" w:eastAsia="仿宋_GB2312"/>
          <w:b/>
          <w:bCs/>
        </w:rPr>
        <w:t>第二十七条</w:t>
      </w:r>
      <w:r>
        <w:rPr>
          <w:rFonts w:hint="eastAsia" w:ascii="仿宋_GB2312" w:eastAsia="仿宋_GB2312"/>
        </w:rPr>
        <w:t xml:space="preserve">  本办法由市</w:t>
      </w:r>
      <w:r>
        <w:rPr>
          <w:rFonts w:hint="eastAsia" w:ascii="仿宋_GB2312" w:eastAsia="仿宋_GB2312"/>
          <w:lang w:val="en-US" w:eastAsia="zh-CN"/>
        </w:rPr>
        <w:t>文化广电旅游体育局</w:t>
      </w:r>
      <w:r>
        <w:rPr>
          <w:rFonts w:hint="eastAsia" w:ascii="仿宋_GB2312" w:eastAsia="仿宋_GB2312"/>
        </w:rPr>
        <w:t>负责解释。</w:t>
      </w:r>
    </w:p>
    <w:p>
      <w:pPr>
        <w:ind w:firstLine="562" w:firstLineChars="200"/>
        <w:rPr>
          <w:rFonts w:ascii="仿宋_GB2312" w:eastAsia="仿宋_GB2312"/>
        </w:rPr>
      </w:pPr>
      <w:r>
        <w:rPr>
          <w:rFonts w:hint="eastAsia" w:ascii="仿宋_GB2312" w:eastAsia="仿宋_GB2312"/>
          <w:b/>
          <w:bCs/>
        </w:rPr>
        <w:t>第二十八条</w:t>
      </w:r>
      <w:r>
        <w:rPr>
          <w:rFonts w:hint="eastAsia" w:ascii="仿宋_GB2312" w:eastAsia="仿宋_GB2312"/>
        </w:rPr>
        <w:t xml:space="preserve">  本办法自 年 月 日起施行，有效期3年。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562148"/>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8282548"/>
    <w:rsid w:val="000006FA"/>
    <w:rsid w:val="00002766"/>
    <w:rsid w:val="00005777"/>
    <w:rsid w:val="00014697"/>
    <w:rsid w:val="00024E76"/>
    <w:rsid w:val="00035D2B"/>
    <w:rsid w:val="00045A56"/>
    <w:rsid w:val="00046211"/>
    <w:rsid w:val="00054199"/>
    <w:rsid w:val="000668BA"/>
    <w:rsid w:val="00086AD2"/>
    <w:rsid w:val="00087E0A"/>
    <w:rsid w:val="000926C4"/>
    <w:rsid w:val="000A1067"/>
    <w:rsid w:val="000B7D88"/>
    <w:rsid w:val="000C23F3"/>
    <w:rsid w:val="000C2674"/>
    <w:rsid w:val="000C376E"/>
    <w:rsid w:val="000D08A0"/>
    <w:rsid w:val="000D1B28"/>
    <w:rsid w:val="000D1F74"/>
    <w:rsid w:val="000E1C4B"/>
    <w:rsid w:val="000F645B"/>
    <w:rsid w:val="0014331E"/>
    <w:rsid w:val="00143CCF"/>
    <w:rsid w:val="00143F3A"/>
    <w:rsid w:val="0015093F"/>
    <w:rsid w:val="00174E30"/>
    <w:rsid w:val="001838E7"/>
    <w:rsid w:val="00192D6E"/>
    <w:rsid w:val="00192E3E"/>
    <w:rsid w:val="001A12D7"/>
    <w:rsid w:val="001A7E33"/>
    <w:rsid w:val="001B5FAE"/>
    <w:rsid w:val="001C05CC"/>
    <w:rsid w:val="001C0B80"/>
    <w:rsid w:val="001F0D5A"/>
    <w:rsid w:val="002076CB"/>
    <w:rsid w:val="00214D07"/>
    <w:rsid w:val="00232841"/>
    <w:rsid w:val="0023350E"/>
    <w:rsid w:val="0023388F"/>
    <w:rsid w:val="00244CAC"/>
    <w:rsid w:val="002462D9"/>
    <w:rsid w:val="00251D8D"/>
    <w:rsid w:val="00261D96"/>
    <w:rsid w:val="00267CE4"/>
    <w:rsid w:val="002735E7"/>
    <w:rsid w:val="00287C4E"/>
    <w:rsid w:val="00292A2B"/>
    <w:rsid w:val="00294323"/>
    <w:rsid w:val="002A7A0F"/>
    <w:rsid w:val="002B55D5"/>
    <w:rsid w:val="002C16F0"/>
    <w:rsid w:val="002C75F4"/>
    <w:rsid w:val="002E7E92"/>
    <w:rsid w:val="002F7EDB"/>
    <w:rsid w:val="00312AD0"/>
    <w:rsid w:val="00327898"/>
    <w:rsid w:val="0034233F"/>
    <w:rsid w:val="003435E1"/>
    <w:rsid w:val="00354ACD"/>
    <w:rsid w:val="0035682F"/>
    <w:rsid w:val="00364973"/>
    <w:rsid w:val="00384CF8"/>
    <w:rsid w:val="00390884"/>
    <w:rsid w:val="003A34D2"/>
    <w:rsid w:val="003A45B4"/>
    <w:rsid w:val="003B5401"/>
    <w:rsid w:val="003B7500"/>
    <w:rsid w:val="003C420E"/>
    <w:rsid w:val="003F39B1"/>
    <w:rsid w:val="00404064"/>
    <w:rsid w:val="00407099"/>
    <w:rsid w:val="0042233B"/>
    <w:rsid w:val="00423F52"/>
    <w:rsid w:val="00442E49"/>
    <w:rsid w:val="0044690D"/>
    <w:rsid w:val="004536FA"/>
    <w:rsid w:val="00463F73"/>
    <w:rsid w:val="00474698"/>
    <w:rsid w:val="00476FF3"/>
    <w:rsid w:val="00477A77"/>
    <w:rsid w:val="0048286A"/>
    <w:rsid w:val="00497102"/>
    <w:rsid w:val="004C3078"/>
    <w:rsid w:val="004C3E9D"/>
    <w:rsid w:val="004F0BA0"/>
    <w:rsid w:val="004F28C3"/>
    <w:rsid w:val="004F2FEC"/>
    <w:rsid w:val="004F4750"/>
    <w:rsid w:val="005118EB"/>
    <w:rsid w:val="00526CF3"/>
    <w:rsid w:val="00526E43"/>
    <w:rsid w:val="0054592E"/>
    <w:rsid w:val="00550872"/>
    <w:rsid w:val="00553A11"/>
    <w:rsid w:val="00561D19"/>
    <w:rsid w:val="00564612"/>
    <w:rsid w:val="00570D43"/>
    <w:rsid w:val="00571B14"/>
    <w:rsid w:val="0057330C"/>
    <w:rsid w:val="005800F9"/>
    <w:rsid w:val="005838DC"/>
    <w:rsid w:val="00590054"/>
    <w:rsid w:val="0059028A"/>
    <w:rsid w:val="005B09EC"/>
    <w:rsid w:val="005C1100"/>
    <w:rsid w:val="005C5D83"/>
    <w:rsid w:val="005F6550"/>
    <w:rsid w:val="006009A8"/>
    <w:rsid w:val="00600FB9"/>
    <w:rsid w:val="0060279B"/>
    <w:rsid w:val="00602DF8"/>
    <w:rsid w:val="00605433"/>
    <w:rsid w:val="006138C4"/>
    <w:rsid w:val="00623690"/>
    <w:rsid w:val="00640FA0"/>
    <w:rsid w:val="00654EDE"/>
    <w:rsid w:val="00663651"/>
    <w:rsid w:val="006715E4"/>
    <w:rsid w:val="00675559"/>
    <w:rsid w:val="00677764"/>
    <w:rsid w:val="0069293A"/>
    <w:rsid w:val="006A519C"/>
    <w:rsid w:val="006B6E76"/>
    <w:rsid w:val="006C02E5"/>
    <w:rsid w:val="006C4F88"/>
    <w:rsid w:val="006C5479"/>
    <w:rsid w:val="006E28F3"/>
    <w:rsid w:val="00705EFE"/>
    <w:rsid w:val="00706584"/>
    <w:rsid w:val="007108C1"/>
    <w:rsid w:val="00752558"/>
    <w:rsid w:val="00753EAA"/>
    <w:rsid w:val="00755CE5"/>
    <w:rsid w:val="00760705"/>
    <w:rsid w:val="00763FE8"/>
    <w:rsid w:val="007663C4"/>
    <w:rsid w:val="0078246A"/>
    <w:rsid w:val="0079170B"/>
    <w:rsid w:val="00792A79"/>
    <w:rsid w:val="007A3F4E"/>
    <w:rsid w:val="007C0088"/>
    <w:rsid w:val="007C42A4"/>
    <w:rsid w:val="007C44F6"/>
    <w:rsid w:val="007D0BE9"/>
    <w:rsid w:val="007D17C8"/>
    <w:rsid w:val="007D46AC"/>
    <w:rsid w:val="007D7316"/>
    <w:rsid w:val="00805E2D"/>
    <w:rsid w:val="00811191"/>
    <w:rsid w:val="00811971"/>
    <w:rsid w:val="008163A2"/>
    <w:rsid w:val="008170BD"/>
    <w:rsid w:val="00824ACD"/>
    <w:rsid w:val="00826BA7"/>
    <w:rsid w:val="00834483"/>
    <w:rsid w:val="00835409"/>
    <w:rsid w:val="00845351"/>
    <w:rsid w:val="008508A7"/>
    <w:rsid w:val="008542F6"/>
    <w:rsid w:val="00877690"/>
    <w:rsid w:val="00880666"/>
    <w:rsid w:val="00893F50"/>
    <w:rsid w:val="008A1F32"/>
    <w:rsid w:val="008A54FC"/>
    <w:rsid w:val="008A692C"/>
    <w:rsid w:val="008B3E43"/>
    <w:rsid w:val="008C3B0D"/>
    <w:rsid w:val="008D2A29"/>
    <w:rsid w:val="008D3F75"/>
    <w:rsid w:val="008E3704"/>
    <w:rsid w:val="009043B2"/>
    <w:rsid w:val="0090496D"/>
    <w:rsid w:val="00911C05"/>
    <w:rsid w:val="00916EED"/>
    <w:rsid w:val="0093546A"/>
    <w:rsid w:val="00946813"/>
    <w:rsid w:val="0096508A"/>
    <w:rsid w:val="00970872"/>
    <w:rsid w:val="00973126"/>
    <w:rsid w:val="00984B1A"/>
    <w:rsid w:val="00991DA3"/>
    <w:rsid w:val="00995319"/>
    <w:rsid w:val="009B097E"/>
    <w:rsid w:val="009C0230"/>
    <w:rsid w:val="009C4F27"/>
    <w:rsid w:val="009D1F05"/>
    <w:rsid w:val="009D3D89"/>
    <w:rsid w:val="009E4DEB"/>
    <w:rsid w:val="009F1C6A"/>
    <w:rsid w:val="00A00579"/>
    <w:rsid w:val="00A0168A"/>
    <w:rsid w:val="00A175E5"/>
    <w:rsid w:val="00A239A8"/>
    <w:rsid w:val="00A349F5"/>
    <w:rsid w:val="00A40F7B"/>
    <w:rsid w:val="00A45E34"/>
    <w:rsid w:val="00A47A6A"/>
    <w:rsid w:val="00A51885"/>
    <w:rsid w:val="00A61151"/>
    <w:rsid w:val="00A615CD"/>
    <w:rsid w:val="00A62DB9"/>
    <w:rsid w:val="00A64C8E"/>
    <w:rsid w:val="00A7214B"/>
    <w:rsid w:val="00A83BE7"/>
    <w:rsid w:val="00A8496F"/>
    <w:rsid w:val="00A97794"/>
    <w:rsid w:val="00AA02DE"/>
    <w:rsid w:val="00AB31C1"/>
    <w:rsid w:val="00AB3733"/>
    <w:rsid w:val="00AC2E87"/>
    <w:rsid w:val="00AC4E69"/>
    <w:rsid w:val="00AD02E1"/>
    <w:rsid w:val="00AF7488"/>
    <w:rsid w:val="00B2216C"/>
    <w:rsid w:val="00B505AB"/>
    <w:rsid w:val="00B54615"/>
    <w:rsid w:val="00B633A0"/>
    <w:rsid w:val="00B72F0D"/>
    <w:rsid w:val="00B74CC9"/>
    <w:rsid w:val="00B84DF7"/>
    <w:rsid w:val="00B91867"/>
    <w:rsid w:val="00B96C1F"/>
    <w:rsid w:val="00BA06A3"/>
    <w:rsid w:val="00BA42C9"/>
    <w:rsid w:val="00BB0D28"/>
    <w:rsid w:val="00BB4DF7"/>
    <w:rsid w:val="00BB67C9"/>
    <w:rsid w:val="00BD291D"/>
    <w:rsid w:val="00BD30CE"/>
    <w:rsid w:val="00BD380C"/>
    <w:rsid w:val="00BD7E77"/>
    <w:rsid w:val="00BE47BE"/>
    <w:rsid w:val="00BE4E43"/>
    <w:rsid w:val="00BF1AC4"/>
    <w:rsid w:val="00BF474D"/>
    <w:rsid w:val="00BF7464"/>
    <w:rsid w:val="00BF7F69"/>
    <w:rsid w:val="00C05A8D"/>
    <w:rsid w:val="00C06467"/>
    <w:rsid w:val="00C10855"/>
    <w:rsid w:val="00C2224F"/>
    <w:rsid w:val="00C23C1C"/>
    <w:rsid w:val="00C45C90"/>
    <w:rsid w:val="00C476A2"/>
    <w:rsid w:val="00C54793"/>
    <w:rsid w:val="00C64187"/>
    <w:rsid w:val="00C66195"/>
    <w:rsid w:val="00C70973"/>
    <w:rsid w:val="00C73859"/>
    <w:rsid w:val="00C75DF9"/>
    <w:rsid w:val="00C75EE8"/>
    <w:rsid w:val="00C81106"/>
    <w:rsid w:val="00C82DAA"/>
    <w:rsid w:val="00C96679"/>
    <w:rsid w:val="00CB1467"/>
    <w:rsid w:val="00CB22F8"/>
    <w:rsid w:val="00CC4455"/>
    <w:rsid w:val="00CD714A"/>
    <w:rsid w:val="00CE0158"/>
    <w:rsid w:val="00CF7841"/>
    <w:rsid w:val="00CF7D72"/>
    <w:rsid w:val="00D16D53"/>
    <w:rsid w:val="00D30D88"/>
    <w:rsid w:val="00D31CC0"/>
    <w:rsid w:val="00D32A39"/>
    <w:rsid w:val="00D517DD"/>
    <w:rsid w:val="00D562CF"/>
    <w:rsid w:val="00D577AC"/>
    <w:rsid w:val="00D6505B"/>
    <w:rsid w:val="00D73F10"/>
    <w:rsid w:val="00D84CEC"/>
    <w:rsid w:val="00D93386"/>
    <w:rsid w:val="00D9651A"/>
    <w:rsid w:val="00DA4059"/>
    <w:rsid w:val="00DC11F0"/>
    <w:rsid w:val="00DD1956"/>
    <w:rsid w:val="00DD7F65"/>
    <w:rsid w:val="00DF6E26"/>
    <w:rsid w:val="00E017F8"/>
    <w:rsid w:val="00E27CE2"/>
    <w:rsid w:val="00E33AF7"/>
    <w:rsid w:val="00E33EEB"/>
    <w:rsid w:val="00E639D7"/>
    <w:rsid w:val="00E67BE6"/>
    <w:rsid w:val="00E7663B"/>
    <w:rsid w:val="00E878EE"/>
    <w:rsid w:val="00EA126B"/>
    <w:rsid w:val="00EA2C74"/>
    <w:rsid w:val="00EA5CCD"/>
    <w:rsid w:val="00EB1E6D"/>
    <w:rsid w:val="00EB6BDC"/>
    <w:rsid w:val="00EB715C"/>
    <w:rsid w:val="00EC5C3F"/>
    <w:rsid w:val="00EE582C"/>
    <w:rsid w:val="00EE59D3"/>
    <w:rsid w:val="00EF4F20"/>
    <w:rsid w:val="00F07B9A"/>
    <w:rsid w:val="00F12B6B"/>
    <w:rsid w:val="00F12D1F"/>
    <w:rsid w:val="00F17EDE"/>
    <w:rsid w:val="00F2380F"/>
    <w:rsid w:val="00F37DB5"/>
    <w:rsid w:val="00F47952"/>
    <w:rsid w:val="00F52CA5"/>
    <w:rsid w:val="00F64151"/>
    <w:rsid w:val="00F75892"/>
    <w:rsid w:val="00F77600"/>
    <w:rsid w:val="00F909F5"/>
    <w:rsid w:val="00F97C8C"/>
    <w:rsid w:val="00FA53B1"/>
    <w:rsid w:val="00FB54AE"/>
    <w:rsid w:val="00FC4DCE"/>
    <w:rsid w:val="00FE6B51"/>
    <w:rsid w:val="01653BF2"/>
    <w:rsid w:val="02BD0ED7"/>
    <w:rsid w:val="0379028C"/>
    <w:rsid w:val="03A576E8"/>
    <w:rsid w:val="046E06A5"/>
    <w:rsid w:val="048E56B4"/>
    <w:rsid w:val="06475792"/>
    <w:rsid w:val="06BA3154"/>
    <w:rsid w:val="07C245C9"/>
    <w:rsid w:val="09613F1D"/>
    <w:rsid w:val="09846F56"/>
    <w:rsid w:val="0C6F512A"/>
    <w:rsid w:val="0C8972DC"/>
    <w:rsid w:val="0D0D0E9B"/>
    <w:rsid w:val="0F4F0394"/>
    <w:rsid w:val="0FB90D37"/>
    <w:rsid w:val="12053905"/>
    <w:rsid w:val="126C4580"/>
    <w:rsid w:val="12A42A5A"/>
    <w:rsid w:val="148951F3"/>
    <w:rsid w:val="16A4199A"/>
    <w:rsid w:val="19497141"/>
    <w:rsid w:val="19BE7954"/>
    <w:rsid w:val="1B3D03BB"/>
    <w:rsid w:val="1BE3045E"/>
    <w:rsid w:val="206870BE"/>
    <w:rsid w:val="206A6709"/>
    <w:rsid w:val="28C51826"/>
    <w:rsid w:val="29C60DA0"/>
    <w:rsid w:val="2BE851E4"/>
    <w:rsid w:val="2D82654C"/>
    <w:rsid w:val="2EF2752B"/>
    <w:rsid w:val="323F32B0"/>
    <w:rsid w:val="33C47BAF"/>
    <w:rsid w:val="345D38E0"/>
    <w:rsid w:val="3C241A74"/>
    <w:rsid w:val="3DCD6AA5"/>
    <w:rsid w:val="3FD60599"/>
    <w:rsid w:val="40DE0EB2"/>
    <w:rsid w:val="41E40575"/>
    <w:rsid w:val="430150B2"/>
    <w:rsid w:val="43170917"/>
    <w:rsid w:val="437347CB"/>
    <w:rsid w:val="46591CAA"/>
    <w:rsid w:val="465E21E5"/>
    <w:rsid w:val="47F81D5D"/>
    <w:rsid w:val="480D4229"/>
    <w:rsid w:val="48BF05C8"/>
    <w:rsid w:val="4A560746"/>
    <w:rsid w:val="4B8001DB"/>
    <w:rsid w:val="4BFD76DF"/>
    <w:rsid w:val="4F1A72B6"/>
    <w:rsid w:val="4F256B76"/>
    <w:rsid w:val="506E0D74"/>
    <w:rsid w:val="52523246"/>
    <w:rsid w:val="540B5236"/>
    <w:rsid w:val="56BE5F5C"/>
    <w:rsid w:val="5A894462"/>
    <w:rsid w:val="5ABD0A43"/>
    <w:rsid w:val="5EB104E6"/>
    <w:rsid w:val="5FAA69C2"/>
    <w:rsid w:val="601F64A7"/>
    <w:rsid w:val="63D55961"/>
    <w:rsid w:val="6434396D"/>
    <w:rsid w:val="64A10AE1"/>
    <w:rsid w:val="67E61168"/>
    <w:rsid w:val="68282548"/>
    <w:rsid w:val="68A6187F"/>
    <w:rsid w:val="69B86234"/>
    <w:rsid w:val="6D700860"/>
    <w:rsid w:val="6EA63C00"/>
    <w:rsid w:val="746F3C27"/>
    <w:rsid w:val="753D61F5"/>
    <w:rsid w:val="7741754E"/>
    <w:rsid w:val="78E854F9"/>
    <w:rsid w:val="7A0262DF"/>
    <w:rsid w:val="7B35598C"/>
    <w:rsid w:val="7C3052A2"/>
    <w:rsid w:val="7D791015"/>
    <w:rsid w:val="7E800B12"/>
    <w:rsid w:val="7F080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qFormat/>
    <w:uiPriority w:val="0"/>
    <w:rPr>
      <w:color w:val="333333"/>
      <w:u w:val="none"/>
    </w:rPr>
  </w:style>
  <w:style w:type="character" w:styleId="9">
    <w:name w:val="HTML Definition"/>
    <w:basedOn w:val="7"/>
    <w:qFormat/>
    <w:uiPriority w:val="0"/>
    <w:rPr>
      <w:rFonts w:ascii="Arial" w:hAnsi="Arial" w:cs="Arial"/>
    </w:rPr>
  </w:style>
  <w:style w:type="character" w:styleId="10">
    <w:name w:val="Hyperlink"/>
    <w:basedOn w:val="7"/>
    <w:qFormat/>
    <w:uiPriority w:val="0"/>
    <w:rPr>
      <w:color w:val="0000FF"/>
      <w:u w:val="single"/>
    </w:rPr>
  </w:style>
  <w:style w:type="paragraph" w:customStyle="1" w:styleId="11">
    <w:name w:val="样式1"/>
    <w:basedOn w:val="4"/>
    <w:qFormat/>
    <w:uiPriority w:val="0"/>
    <w:rPr>
      <w:rFonts w:ascii="Times New Roman" w:hAnsi="Times New Roman"/>
      <w:kern w:val="0"/>
      <w:szCs w:val="18"/>
    </w:rPr>
  </w:style>
  <w:style w:type="character" w:customStyle="1" w:styleId="12">
    <w:name w:val="批注文字 字符"/>
    <w:basedOn w:val="7"/>
    <w:link w:val="2"/>
    <w:qFormat/>
    <w:uiPriority w:val="0"/>
    <w:rPr>
      <w:rFonts w:cs="仿宋_GB2312"/>
      <w:kern w:val="2"/>
      <w:sz w:val="28"/>
      <w:szCs w:val="28"/>
    </w:rPr>
  </w:style>
  <w:style w:type="character" w:customStyle="1" w:styleId="13">
    <w:name w:val="页脚 字符"/>
    <w:basedOn w:val="7"/>
    <w:link w:val="3"/>
    <w:qFormat/>
    <w:uiPriority w:val="99"/>
    <w:rPr>
      <w:rFonts w:cs="仿宋_GB2312" w:asciiTheme="minorHAnsi" w:hAnsiTheme="minorHAnsi" w:eastAsiaTheme="minorEastAsia"/>
      <w:kern w:val="2"/>
      <w:sz w:val="18"/>
      <w:szCs w:val="28"/>
    </w:rPr>
  </w:style>
  <w:style w:type="character" w:customStyle="1" w:styleId="14">
    <w:name w:val="currenthit3"/>
    <w:basedOn w:val="7"/>
    <w:qFormat/>
    <w:uiPriority w:val="0"/>
  </w:style>
  <w:style w:type="character" w:customStyle="1" w:styleId="15">
    <w:name w:val="hitclass3"/>
    <w:basedOn w:val="7"/>
    <w:qFormat/>
    <w:uiPriority w:val="0"/>
  </w:style>
  <w:style w:type="character" w:customStyle="1" w:styleId="16">
    <w:name w:val="hover66"/>
    <w:basedOn w:val="7"/>
    <w:qFormat/>
    <w:uiPriority w:val="0"/>
    <w:rPr>
      <w:u w:val="single"/>
    </w:rPr>
  </w:style>
  <w:style w:type="character" w:customStyle="1" w:styleId="17">
    <w:name w:val="focus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512</Words>
  <Characters>2922</Characters>
  <Lines>24</Lines>
  <Paragraphs>6</Paragraphs>
  <TotalTime>586</TotalTime>
  <ScaleCrop>false</ScaleCrop>
  <LinksUpToDate>false</LinksUpToDate>
  <CharactersWithSpaces>3428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2021-11-14T07:48:00Z</dcterms:created>
  <dc:creator>广东伟伦律师事务所</dc:creator>
  <cp:lastModifiedBy>Lenovo</cp:lastModifiedBy>
  <cp:lastPrinted>2022-01-14T03:01:00Z</cp:lastPrinted>
  <dcterms:modified xsi:type="dcterms:W3CDTF">2022-01-14T08:59:17Z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847DF930A37D4807B47712C56D2AF0F2</vt:lpwstr>
  </property>
</Properties>
</file>