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cs="Times New Roman"/>
          <w:color w:val="auto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关于部分检验项目的说明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highlight w:val="none"/>
          <w:lang w:eastAsia="zh-CN"/>
        </w:rPr>
        <w:t>脱氢乙酸及其钠盐（以脱氢乙酸计）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highlight w:val="none"/>
        </w:rPr>
        <w:t>脱氢乙酸及其钠盐是一种广谱食品防腐剂，对霉菌、酵母和细菌有较好的抑制作用。《食品安全国家标准 食品添加剂使用标准》</w:t>
      </w:r>
      <w:r>
        <w:rPr>
          <w:rFonts w:hint="eastAsia" w:ascii="Times New Roman" w:hAnsi="Times New Roman" w:eastAsia="仿宋_GB2312" w:cs="Times New Roman"/>
          <w:color w:val="auto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highlight w:val="none"/>
        </w:rPr>
        <w:t>GB 2760-2014</w:t>
      </w:r>
      <w:r>
        <w:rPr>
          <w:rFonts w:hint="eastAsia" w:ascii="Times New Roman" w:hAnsi="Times New Roman" w:eastAsia="仿宋_GB2312" w:cs="Times New Roman"/>
          <w:color w:val="auto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highlight w:val="none"/>
        </w:rPr>
        <w:t>规定腐竹不允许添加脱氢乙酸</w:t>
      </w:r>
      <w:r>
        <w:rPr>
          <w:rFonts w:hint="eastAsia" w:ascii="Times New Roman" w:hAnsi="Times New Roman" w:eastAsia="仿宋_GB2312" w:cs="Times New Roman"/>
          <w:color w:val="auto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highlight w:val="none"/>
        </w:rPr>
        <w:t>造成脱氢乙酸及其钠盐（以脱氢乙酸计）超标的原因可能是：企业为增加产品保质期，或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highlight w:val="none"/>
        </w:rPr>
        <w:t>者弥补产品生产过程卫生条件不佳而超范围使用；或其使用的复配添加剂中该添加剂含量较高；或在添加过程中未计量或计量不准确造成的。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F49F2"/>
    <w:rsid w:val="533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2021-12-07T00:09:00Z</dcterms:created>
  <dc:creator>LEO1407491859</dc:creator>
  <cp:lastModifiedBy>LEO1407491859</cp:lastModifiedBy>
  <dcterms:modified xsi:type="dcterms:W3CDTF">2021-12-07T00:11:39Z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678F9E7AF4F7491BAD855BD4188DAFB6</vt:lpwstr>
  </property>
</Properties>
</file>