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</w:rPr>
        <w:t>呋喃西林代谢物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呋喃西林是属于硝基呋喃类广谱抗生素，广泛应用于畜禽及水产养殖业。硝基呋喃类原型药在生物体内代谢迅速，和蛋白质结合而相当稳定，故常利用对其代谢物的检测来反应硝基呋喃类药物的残留状况。《食品动物中禁止使用的药品及其他化合物清单》（农业农村部公告 第250号）中规定，呋喃西林为禁用兽药，在动物性食品中不得检出。硝基呋喃类药物及其代谢物可引起溶血性贫血、多发性神经炎、眼部损害和急性肝坏死等残疾而对人类健康造成危害，对人体有致癌、致畸胎副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甲硝唑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highlight w:val="none"/>
        </w:rPr>
        <w:t>甲硝唑是一种抗生素和抗原虫剂。《食品安全国家标准 食品中兽药最大残留限量》（GB 31650-2019）中规定，甲硝唑为允许作治疗用，但不得在动物性食品中检出的兽药（在所有食品动物的可食组织中均不得检出）。鸡蛋中检出甲硝唑的原因，可能是养殖户在养殖过程中违规使用相关兽药。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腐霉利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GB 2763-2016《食品安全国家标准 食品中农药最大残留限量》规定了不同蔬菜中腐霉利的最大残留限量，其中允许韭菜的最大残留量为0.2mg/kg。腐霉利是一种低毒杀菌剂。含量过高或长期暴露对人体会有一定的健康隐患。不合格原因主要是种植过程中违规使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0A71"/>
    <w:rsid w:val="08B70CB0"/>
    <w:rsid w:val="0F0B731D"/>
    <w:rsid w:val="148A3466"/>
    <w:rsid w:val="159229F5"/>
    <w:rsid w:val="26153BC5"/>
    <w:rsid w:val="299B360D"/>
    <w:rsid w:val="3C757FD8"/>
    <w:rsid w:val="44051BAD"/>
    <w:rsid w:val="53870E6F"/>
    <w:rsid w:val="56027433"/>
    <w:rsid w:val="5D0570A9"/>
    <w:rsid w:val="5D702B83"/>
    <w:rsid w:val="63C40A71"/>
    <w:rsid w:val="78E7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黄鸿悦</cp:lastModifiedBy>
  <dcterms:modified xsi:type="dcterms:W3CDTF">2021-07-08T07:02:39Z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