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bCs/>
          <w:sz w:val="44"/>
          <w:szCs w:val="44"/>
          <w:lang w:eastAsia="zh-CN"/>
        </w:rPr>
        <w:t>惠州市公共资源电子交易规则（</w:t>
      </w:r>
      <w:r>
        <w:rPr>
          <w:rFonts w:hint="eastAsia" w:ascii="方正小标宋简体" w:hAnsi="方正小标宋简体" w:eastAsia="方正小标宋简体" w:cs="方正小标宋简体"/>
          <w:bCs/>
          <w:sz w:val="44"/>
          <w:szCs w:val="44"/>
          <w:lang w:val="en-US" w:eastAsia="zh-CN"/>
        </w:rPr>
        <w:t>征求意见稿</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sz w:val="44"/>
          <w:szCs w:val="44"/>
        </w:rPr>
        <w:t>》征求意见采纳情况表</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（社会公众）</w:t>
      </w:r>
    </w:p>
    <w:p/>
    <w:tbl>
      <w:tblPr>
        <w:tblStyle w:val="4"/>
        <w:tblW w:w="14915" w:type="dxa"/>
        <w:jc w:val="center"/>
        <w:tblInd w:w="-9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2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972" w:type="dxa"/>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反馈</w:t>
            </w: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途径</w:t>
            </w:r>
          </w:p>
        </w:tc>
        <w:tc>
          <w:tcPr>
            <w:tcW w:w="12943" w:type="dxa"/>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邮件反馈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3" w:hRule="atLeast"/>
          <w:jc w:val="center"/>
        </w:trPr>
        <w:tc>
          <w:tcPr>
            <w:tcW w:w="1972" w:type="dxa"/>
            <w:vAlign w:val="center"/>
          </w:tcPr>
          <w:p>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市民</w:t>
            </w:r>
          </w:p>
          <w:p>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建议</w:t>
            </w:r>
          </w:p>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32"/>
                <w:szCs w:val="32"/>
                <w:lang w:eastAsia="zh-CN"/>
              </w:rPr>
              <w:t>内容</w:t>
            </w:r>
          </w:p>
        </w:tc>
        <w:tc>
          <w:tcPr>
            <w:tcW w:w="12943" w:type="dxa"/>
            <w:vAlign w:val="center"/>
          </w:tcPr>
          <w:p>
            <w:pPr>
              <w:pStyle w:val="6"/>
              <w:spacing w:line="240" w:lineRule="auto"/>
              <w:ind w:firstLine="616"/>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一、第二章 建设工程电子交易“第十五条”</w:t>
            </w:r>
          </w:p>
          <w:p>
            <w:pPr>
              <w:pStyle w:val="6"/>
              <w:spacing w:line="240" w:lineRule="auto"/>
              <w:ind w:firstLine="616"/>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建议明确“投标保证金是否有效，以电子交易系统检测为准。”</w:t>
            </w:r>
          </w:p>
          <w:p>
            <w:pPr>
              <w:pStyle w:val="6"/>
              <w:spacing w:line="240" w:lineRule="auto"/>
              <w:ind w:firstLine="616"/>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二、第二章 建设工程电子交易“第十八条 在网络确保通畅的情况下，开标过程发生投标文件无法读取或解密时，应做如下处理：</w:t>
            </w:r>
          </w:p>
          <w:p>
            <w:pPr>
              <w:pStyle w:val="6"/>
              <w:spacing w:line="240" w:lineRule="auto"/>
              <w:ind w:firstLine="616"/>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（一）招标人重新读取投标文件并解密；</w:t>
            </w:r>
          </w:p>
          <w:p>
            <w:pPr>
              <w:pStyle w:val="6"/>
              <w:spacing w:line="240" w:lineRule="auto"/>
              <w:ind w:firstLine="616"/>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（二）招标人重新启动操作电脑，并重新读取投标文件并解密；</w:t>
            </w:r>
          </w:p>
          <w:p>
            <w:pPr>
              <w:pStyle w:val="6"/>
              <w:spacing w:line="240" w:lineRule="auto"/>
              <w:ind w:firstLine="616"/>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（三）招标人申请重新启动电子交易系统服务器，并重新读取投标文件并解密；</w:t>
            </w:r>
          </w:p>
          <w:p>
            <w:pPr>
              <w:pStyle w:val="6"/>
              <w:spacing w:line="240" w:lineRule="auto"/>
              <w:ind w:firstLine="616"/>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（四）经按以上步骤操作后仍无法解密的，</w:t>
            </w:r>
            <w:r>
              <w:rPr>
                <w:rFonts w:hint="eastAsia" w:ascii="仿宋" w:hAnsi="仿宋" w:eastAsia="仿宋" w:cs="仿宋"/>
                <w:sz w:val="32"/>
                <w:szCs w:val="32"/>
                <w:shd w:val="clear" w:color="auto" w:fill="FFFFFF"/>
              </w:rPr>
              <w:t>则视为因投标人原因造成投标文件未解密，</w:t>
            </w:r>
            <w:r>
              <w:rPr>
                <w:rFonts w:hint="eastAsia" w:ascii="仿宋" w:hAnsi="仿宋" w:eastAsia="仿宋" w:cs="仿宋"/>
                <w:color w:val="000000"/>
                <w:sz w:val="32"/>
                <w:szCs w:val="32"/>
                <w:shd w:val="clear" w:color="auto" w:fill="FFFFFF"/>
              </w:rPr>
              <w:t xml:space="preserve">按投标人撤销其投标文件处理，不能参与项目后续开标评标工作。” </w:t>
            </w:r>
          </w:p>
          <w:p>
            <w:pPr>
              <w:pStyle w:val="6"/>
              <w:spacing w:line="240" w:lineRule="auto"/>
              <w:ind w:firstLine="616"/>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建议增加投标人现场递交</w:t>
            </w:r>
            <w:bookmarkStart w:id="0" w:name="_Hlk72417682"/>
            <w:r>
              <w:rPr>
                <w:rFonts w:hint="eastAsia" w:ascii="仿宋" w:hAnsi="仿宋" w:eastAsia="仿宋" w:cs="仿宋"/>
                <w:color w:val="000000"/>
                <w:sz w:val="32"/>
                <w:szCs w:val="32"/>
                <w:shd w:val="clear" w:color="auto" w:fill="FFFFFF"/>
              </w:rPr>
              <w:t>投标文件电子光盘（备用）</w:t>
            </w:r>
            <w:bookmarkEnd w:id="0"/>
            <w:r>
              <w:rPr>
                <w:rFonts w:hint="eastAsia" w:ascii="仿宋" w:hAnsi="仿宋" w:eastAsia="仿宋" w:cs="仿宋"/>
                <w:color w:val="000000"/>
                <w:sz w:val="32"/>
                <w:szCs w:val="32"/>
                <w:shd w:val="clear" w:color="auto" w:fill="FFFFFF"/>
              </w:rPr>
              <w:t>的补救措施：</w:t>
            </w:r>
          </w:p>
          <w:p>
            <w:pPr>
              <w:pStyle w:val="6"/>
              <w:spacing w:line="240" w:lineRule="auto"/>
              <w:ind w:firstLine="616"/>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eastAsia="zh-CN"/>
              </w:rPr>
              <w:t>五</w:t>
            </w:r>
            <w:r>
              <w:rPr>
                <w:rFonts w:hint="eastAsia" w:ascii="仿宋" w:hAnsi="仿宋" w:eastAsia="仿宋" w:cs="仿宋"/>
                <w:color w:val="000000"/>
                <w:sz w:val="32"/>
                <w:szCs w:val="32"/>
                <w:shd w:val="clear" w:color="auto" w:fill="FFFFFF"/>
              </w:rPr>
              <w:t>）投标人可以投标文件截止时间前递交投标文件电子光盘（备用）至开标地点。（电子光盘需按规定封装。投标人将数据刻录到光盘之后，请于投标前自行检查文件是否可以读取）。如果投标人没有按规定通过交易平台网上递交电子投标文件的，不再读取提交的光盘。投标人也可不提交备用光盘。</w:t>
            </w:r>
          </w:p>
          <w:p>
            <w:pPr>
              <w:pStyle w:val="6"/>
              <w:spacing w:line="240" w:lineRule="auto"/>
              <w:ind w:firstLine="616"/>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（1）投标文件解密失败的补救方案：</w:t>
            </w:r>
          </w:p>
          <w:p>
            <w:pPr>
              <w:pStyle w:val="6"/>
              <w:spacing w:line="240" w:lineRule="auto"/>
              <w:ind w:firstLine="616"/>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pStyle w:val="6"/>
              <w:spacing w:line="240" w:lineRule="auto"/>
              <w:ind w:firstLine="616"/>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（2）评标时突发情况的补救方案</w:t>
            </w:r>
          </w:p>
          <w:p>
            <w:pPr>
              <w:pStyle w:val="6"/>
              <w:spacing w:line="240" w:lineRule="auto"/>
              <w:ind w:firstLine="616"/>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若遇不可抗力发生（指网络瘫痪、服务器损坏、交易系统故障短期无法恢复等因素），由评标委员会开启投标人递交的全部投标文件光盘，并按光盘内容进行评审。</w:t>
            </w:r>
          </w:p>
          <w:p>
            <w:pPr>
              <w:pStyle w:val="6"/>
              <w:spacing w:line="240" w:lineRule="auto"/>
              <w:ind w:firstLine="616"/>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（3）除发生上述情况外，开标评标均以投标人通过交易平台网上递交的电子投标文件为准。</w:t>
            </w:r>
          </w:p>
          <w:p>
            <w:pPr>
              <w:pStyle w:val="6"/>
              <w:spacing w:line="240" w:lineRule="auto"/>
              <w:ind w:firstLine="720" w:firstLineChars="225"/>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三、第二章 建设工程电子交易“第十九条 中标候选</w:t>
            </w:r>
            <w:r>
              <w:rPr>
                <w:rFonts w:hint="eastAsia" w:ascii="仿宋" w:hAnsi="仿宋" w:eastAsia="仿宋" w:cs="仿宋"/>
                <w:sz w:val="32"/>
                <w:szCs w:val="32"/>
                <w:shd w:val="clear" w:color="auto" w:fill="FFFFFF"/>
              </w:rPr>
              <w:t>人公示发布内容应当包括公开中标候选人的投标文件等</w:t>
            </w:r>
            <w:r>
              <w:rPr>
                <w:rFonts w:hint="eastAsia" w:ascii="仿宋" w:hAnsi="仿宋" w:eastAsia="仿宋" w:cs="仿宋"/>
                <w:color w:val="000000"/>
                <w:sz w:val="32"/>
                <w:szCs w:val="32"/>
                <w:shd w:val="clear" w:color="auto" w:fill="FFFFFF"/>
              </w:rPr>
              <w:t>”。</w:t>
            </w:r>
          </w:p>
          <w:p>
            <w:pPr>
              <w:pStyle w:val="6"/>
              <w:spacing w:line="240" w:lineRule="auto"/>
              <w:ind w:firstLine="72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建议明确必须公示的内容，如：投标文件商务部分的人员、业绩、奖项，且投标人应将个人身份证号码及依法需要保密或者涉及商业秘密的内容进行屏蔽。</w:t>
            </w:r>
          </w:p>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5" w:hRule="atLeast"/>
          <w:jc w:val="center"/>
        </w:trPr>
        <w:tc>
          <w:tcPr>
            <w:tcW w:w="1972" w:type="dxa"/>
            <w:vAlign w:val="center"/>
          </w:tcPr>
          <w:p>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采纳情况</w:t>
            </w:r>
          </w:p>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32"/>
                <w:szCs w:val="32"/>
                <w:lang w:eastAsia="zh-CN"/>
              </w:rPr>
              <w:t>及理由</w:t>
            </w:r>
          </w:p>
        </w:tc>
        <w:tc>
          <w:tcPr>
            <w:tcW w:w="12943" w:type="dxa"/>
            <w:vAlign w:val="center"/>
          </w:tcPr>
          <w:p>
            <w:pPr>
              <w:pStyle w:val="6"/>
              <w:numPr>
                <w:ilvl w:val="0"/>
                <w:numId w:val="0"/>
              </w:numPr>
              <w:spacing w:line="240" w:lineRule="auto"/>
              <w:ind w:firstLine="640" w:firstLineChars="200"/>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val="en-US" w:eastAsia="zh-CN"/>
              </w:rPr>
              <w:t>1、对</w:t>
            </w:r>
            <w:r>
              <w:rPr>
                <w:rFonts w:hint="eastAsia" w:ascii="仿宋" w:hAnsi="仿宋" w:eastAsia="仿宋" w:cs="仿宋"/>
                <w:color w:val="000000"/>
                <w:sz w:val="32"/>
                <w:szCs w:val="32"/>
                <w:shd w:val="clear" w:color="auto" w:fill="FFFFFF"/>
              </w:rPr>
              <w:t>建议明确“投标保证金是否有效，以电子交易系统检测为准”</w:t>
            </w:r>
            <w:r>
              <w:rPr>
                <w:rFonts w:hint="eastAsia" w:ascii="仿宋" w:hAnsi="仿宋" w:eastAsia="仿宋" w:cs="仿宋"/>
                <w:color w:val="000000"/>
                <w:sz w:val="32"/>
                <w:szCs w:val="32"/>
                <w:shd w:val="clear" w:color="auto" w:fill="FFFFFF"/>
                <w:lang w:eastAsia="zh-CN"/>
              </w:rPr>
              <w:t>意见予以采纳。对应的条款作修改完善。</w:t>
            </w:r>
          </w:p>
          <w:p>
            <w:pPr>
              <w:pStyle w:val="6"/>
              <w:spacing w:line="240" w:lineRule="auto"/>
              <w:ind w:firstLine="616"/>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lang w:eastAsia="zh-CN"/>
              </w:rPr>
              <w:t>对</w:t>
            </w:r>
            <w:r>
              <w:rPr>
                <w:rFonts w:hint="eastAsia" w:ascii="仿宋" w:hAnsi="仿宋" w:eastAsia="仿宋" w:cs="仿宋"/>
                <w:color w:val="000000"/>
                <w:sz w:val="32"/>
                <w:szCs w:val="32"/>
                <w:shd w:val="clear" w:color="auto" w:fill="FFFFFF"/>
              </w:rPr>
              <w:t>在网络确保通畅的情况下，开标过程发生投标文件无法读取或解密时，应做处理</w:t>
            </w:r>
            <w:r>
              <w:rPr>
                <w:rFonts w:hint="eastAsia" w:ascii="仿宋" w:hAnsi="仿宋" w:eastAsia="仿宋" w:cs="仿宋"/>
                <w:color w:val="000000"/>
                <w:sz w:val="32"/>
                <w:szCs w:val="32"/>
                <w:shd w:val="clear" w:color="auto" w:fill="FFFFFF"/>
                <w:lang w:eastAsia="zh-CN"/>
              </w:rPr>
              <w:t>的意见不予采纳。</w:t>
            </w:r>
          </w:p>
          <w:p>
            <w:pPr>
              <w:pStyle w:val="6"/>
              <w:spacing w:line="240" w:lineRule="auto"/>
              <w:ind w:firstLine="616"/>
              <w:rPr>
                <w:rFonts w:hint="eastAsia" w:ascii="仿宋" w:hAnsi="仿宋" w:eastAsia="仿宋" w:cs="仿宋"/>
                <w:sz w:val="32"/>
                <w:szCs w:val="32"/>
              </w:rPr>
            </w:pPr>
            <w:r>
              <w:rPr>
                <w:rFonts w:hint="eastAsia" w:ascii="仿宋" w:hAnsi="仿宋" w:eastAsia="仿宋" w:cs="仿宋"/>
                <w:color w:val="000000"/>
                <w:sz w:val="32"/>
                <w:szCs w:val="32"/>
                <w:shd w:val="clear" w:color="auto" w:fill="FFFFFF"/>
                <w:lang w:eastAsia="zh-CN"/>
              </w:rPr>
              <w:t>理由：</w:t>
            </w:r>
            <w:r>
              <w:rPr>
                <w:rFonts w:hint="eastAsia" w:ascii="仿宋" w:hAnsi="仿宋" w:eastAsia="仿宋" w:cs="仿宋"/>
                <w:sz w:val="32"/>
                <w:szCs w:val="32"/>
              </w:rPr>
              <w:t>《电子招标投标办法》已对投标文件未能解密问题的解决方式有明确规定，电子交易规则不再</w:t>
            </w:r>
            <w:r>
              <w:rPr>
                <w:rFonts w:hint="eastAsia" w:ascii="仿宋" w:hAnsi="仿宋" w:eastAsia="仿宋" w:cs="仿宋"/>
                <w:sz w:val="32"/>
                <w:szCs w:val="32"/>
                <w:lang w:eastAsia="zh-CN"/>
              </w:rPr>
              <w:t>重复表</w:t>
            </w:r>
            <w:r>
              <w:rPr>
                <w:rFonts w:hint="eastAsia" w:ascii="仿宋" w:hAnsi="仿宋" w:eastAsia="仿宋" w:cs="仿宋"/>
                <w:sz w:val="32"/>
                <w:szCs w:val="32"/>
              </w:rPr>
              <w:t>述。</w:t>
            </w:r>
          </w:p>
          <w:p>
            <w:pPr>
              <w:pStyle w:val="6"/>
              <w:spacing w:line="240" w:lineRule="auto"/>
              <w:ind w:firstLine="720" w:firstLineChars="225"/>
              <w:rPr>
                <w:rFonts w:hint="eastAsia" w:ascii="仿宋" w:hAnsi="仿宋" w:eastAsia="仿宋" w:cs="仿宋"/>
                <w:color w:val="000000"/>
                <w:sz w:val="32"/>
                <w:szCs w:val="32"/>
                <w:shd w:val="clear" w:color="auto" w:fill="FFFFFF"/>
              </w:rPr>
            </w:pPr>
            <w:r>
              <w:rPr>
                <w:rFonts w:hint="eastAsia" w:ascii="仿宋" w:hAnsi="仿宋" w:eastAsia="仿宋" w:cs="仿宋"/>
                <w:sz w:val="32"/>
                <w:szCs w:val="32"/>
                <w:lang w:val="en-US" w:eastAsia="zh-CN"/>
              </w:rPr>
              <w:t>3、对</w:t>
            </w:r>
            <w:r>
              <w:rPr>
                <w:rFonts w:hint="eastAsia" w:ascii="仿宋" w:hAnsi="仿宋" w:eastAsia="仿宋" w:cs="仿宋"/>
                <w:color w:val="000000"/>
                <w:sz w:val="32"/>
                <w:szCs w:val="32"/>
                <w:shd w:val="clear" w:color="auto" w:fill="FFFFFF"/>
              </w:rPr>
              <w:t>中标候选</w:t>
            </w:r>
            <w:r>
              <w:rPr>
                <w:rFonts w:hint="eastAsia" w:ascii="仿宋" w:hAnsi="仿宋" w:eastAsia="仿宋" w:cs="仿宋"/>
                <w:sz w:val="32"/>
                <w:szCs w:val="32"/>
                <w:shd w:val="clear" w:color="auto" w:fill="FFFFFF"/>
              </w:rPr>
              <w:t>人公示发布内容应当包括公开中标候选人的投标文件等</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eastAsia="zh-CN"/>
              </w:rPr>
              <w:t>意见予以采纳。</w:t>
            </w:r>
          </w:p>
          <w:p>
            <w:pPr>
              <w:pStyle w:val="6"/>
              <w:numPr>
                <w:ilvl w:val="0"/>
                <w:numId w:val="0"/>
              </w:numPr>
              <w:spacing w:line="240" w:lineRule="auto"/>
              <w:rPr>
                <w:rFonts w:hint="eastAsia" w:ascii="仿宋" w:hAnsi="仿宋" w:eastAsia="仿宋" w:cs="仿宋"/>
                <w:color w:val="000000"/>
                <w:sz w:val="32"/>
                <w:szCs w:val="32"/>
                <w:shd w:val="clear" w:color="auto" w:fill="FFFFFF"/>
                <w:lang w:eastAsia="zh-CN"/>
              </w:rPr>
            </w:pPr>
            <w:bookmarkStart w:id="1" w:name="_GoBack"/>
            <w:bookmarkEnd w:id="1"/>
            <w:r>
              <w:rPr>
                <w:rFonts w:hint="eastAsia" w:ascii="仿宋" w:hAnsi="仿宋" w:eastAsia="仿宋" w:cs="仿宋"/>
                <w:color w:val="000000"/>
                <w:sz w:val="32"/>
                <w:szCs w:val="32"/>
                <w:shd w:val="clear" w:color="auto" w:fill="FFFFFF"/>
                <w:lang w:eastAsia="zh-CN"/>
              </w:rPr>
              <w:t>对应的条款作修改完善。</w:t>
            </w:r>
          </w:p>
          <w:p>
            <w:pPr>
              <w:pStyle w:val="6"/>
              <w:numPr>
                <w:ilvl w:val="0"/>
                <w:numId w:val="0"/>
              </w:numPr>
              <w:spacing w:line="240" w:lineRule="auto"/>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 xml:space="preserve">  </w:t>
            </w:r>
          </w:p>
          <w:p>
            <w:pPr>
              <w:jc w:val="center"/>
              <w:rPr>
                <w:rFonts w:ascii="仿宋_GB2312" w:hAnsi="仿宋_GB2312" w:eastAsia="仿宋_GB2312" w:cs="仿宋_GB2312"/>
                <w:sz w:val="28"/>
                <w:szCs w:val="28"/>
              </w:rPr>
            </w:pPr>
          </w:p>
        </w:tc>
      </w:tr>
    </w:tbl>
    <w:p/>
    <w:sectPr>
      <w:pgSz w:w="16838" w:h="11906" w:orient="landscape"/>
      <w:pgMar w:top="1080" w:right="1440" w:bottom="108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85A52"/>
    <w:rsid w:val="15385A52"/>
    <w:rsid w:val="2CDB3F15"/>
    <w:rsid w:val="32897AE6"/>
    <w:rsid w:val="3B204860"/>
    <w:rsid w:val="47135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 w:type="paragraph" w:customStyle="1" w:styleId="6">
    <w:name w:val="批注文字 New New"/>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2021-05-21T08:29:00Z</dcterms:created>
  <dc:creator>4F-02-05</dc:creator>
  <cp:lastModifiedBy>4F-02-05</cp:lastModifiedBy>
  <dcterms:modified xsi:type="dcterms:W3CDTF">2021-06-02T03:33:26Z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