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default" w:ascii="Times New Roman" w:hAnsi="Times New Roman" w:eastAsia="仿宋_GB2312" w:cs="Times New Roman"/>
          <w:sz w:val="32"/>
          <w:szCs w:val="32"/>
        </w:rPr>
      </w:pPr>
    </w:p>
    <w:p>
      <w:pPr>
        <w:spacing w:line="6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关于《惠州市财政局市级社会保险基</w:t>
      </w:r>
    </w:p>
    <w:p>
      <w:pPr>
        <w:spacing w:line="6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金定期存款存放管理实施办法</w:t>
      </w:r>
      <w:bookmarkStart w:id="0" w:name="_GoBack"/>
      <w:bookmarkEnd w:id="0"/>
    </w:p>
    <w:p>
      <w:pPr>
        <w:spacing w:line="6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（2021年修订）》的政策解读</w:t>
      </w:r>
    </w:p>
    <w:p>
      <w:pPr>
        <w:rPr>
          <w:rFonts w:hint="default" w:ascii="Times New Roman" w:hAnsi="Times New Roman" w:eastAsia="宋体" w:cs="Times New Roman"/>
          <w:sz w:val="32"/>
          <w:szCs w:val="32"/>
        </w:rPr>
      </w:pPr>
    </w:p>
    <w:p>
      <w:pPr>
        <w:spacing w:line="620" w:lineRule="exact"/>
        <w:ind w:firstLine="566" w:firstLineChars="177"/>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一、出台办法的政策背景</w:t>
      </w:r>
    </w:p>
    <w:p>
      <w:pPr>
        <w:spacing w:line="600" w:lineRule="exact"/>
        <w:ind w:firstLine="640" w:firstLineChars="200"/>
        <w:rPr>
          <w:rFonts w:hint="default" w:ascii="Times New Roman" w:hAnsi="Times New Roman" w:eastAsia="仿宋_GB2312" w:cs="Times New Roman"/>
          <w:color w:val="000000"/>
          <w:spacing w:val="-2"/>
          <w:kern w:val="0"/>
          <w:sz w:val="32"/>
          <w:szCs w:val="32"/>
        </w:rPr>
      </w:pPr>
      <w:r>
        <w:rPr>
          <w:rFonts w:hint="default" w:ascii="Times New Roman" w:hAnsi="Times New Roman" w:eastAsia="仿宋_GB2312" w:cs="Times New Roman"/>
          <w:sz w:val="32"/>
          <w:szCs w:val="32"/>
        </w:rPr>
        <w:t>为建立健全科学规范、公正透明的资金存放管理机制，规范社保基金存放行为, 根据《</w:t>
      </w:r>
      <w:r>
        <w:rPr>
          <w:rFonts w:hint="default" w:ascii="Times New Roman" w:hAnsi="Times New Roman" w:eastAsia="仿宋_GB2312" w:cs="Times New Roman"/>
          <w:color w:val="000000"/>
          <w:spacing w:val="-2"/>
          <w:kern w:val="0"/>
          <w:sz w:val="32"/>
          <w:szCs w:val="32"/>
        </w:rPr>
        <w:t>广东省财政厅关于进一步加强财政部门和预算单位资金存放管理的实施意见》（粤财库〔2018〕59号），经十二届78次市政府常务会议审议通过,《惠州市财政局市级社会保险基金定期存款存放管理实施办法》（以下简称现行《办法》）于2019年2月22日印发施行。</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2"/>
          <w:kern w:val="0"/>
          <w:sz w:val="32"/>
          <w:szCs w:val="32"/>
        </w:rPr>
        <w:t>现行《办法》实施两年多来</w:t>
      </w:r>
      <w:r>
        <w:rPr>
          <w:rFonts w:hint="default" w:ascii="Times New Roman" w:hAnsi="Times New Roman" w:eastAsia="仿宋_GB2312" w:cs="Times New Roman"/>
          <w:sz w:val="32"/>
          <w:szCs w:val="32"/>
        </w:rPr>
        <w:t>，市级社保基金竞争性存放工作取得了一定的成效：一是规范了行为，通过公开招投标分配定期存款额度，过程公开、公平、公正，程序规范，结果透明；二是保障了安全，存放银行资格条件经严格审查，确保资金安全，未出现资金安全风险事件；三是增加了收益，实际执行的银行存放利率比同期基准利率上浮40%，比现行《办法》实施前提高了10个百分点，增加社保基金收益。但在实施过程中，现行《办法》也存在“三个不够”的情形，需要进一步完善：</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一是参与银行范围广度不够。现行《办法》规定参与竞争的银行为国有商业银行、股份制银行、城商行和农商行，不含政策性银行、村镇银行和外资银行，参与银行范围广度不够。</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二是安全性紧密度不够。现行《办法》规定银行经审查即具备存放资格，天然获得分配资金办理定期存款，并没有很好地与资金安全结合考虑。</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三是竞争性不够。现行《办法》规定银行经审查即具备存放资格，没有采取竞争性方式择优选择存放银行，导致资金分配竞争性不够。</w:t>
      </w:r>
    </w:p>
    <w:p>
      <w:pPr>
        <w:spacing w:line="600" w:lineRule="exact"/>
        <w:ind w:firstLine="636" w:firstLineChars="19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此，市财政局曾报请十二届124次市政府常务会议对现行《办法》修订进行审议。审议认为，现行《办法》要在落实“安全优先”原则，严格审查存放银行资格条件以确保资金安全、结合贡献度和效益性科学合理分配等方面进一步完善后再进行修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落实十二届124次市政府常务会议要求，市财政局对现行《办法》存在“三个不够”情形进一步充分调研论证，形成了《惠州市财政局市级社会保险基金定期存款存放管理实施办法（2021年修订）》（以下简称《办法》），拟对现行《办法》重新修订，围绕进一步优化完善资金存放管理，修订内容主要考虑：一是通过参与范围扩大到吸收公众存款的金融机构及政策性银行（见《办法》第四条），进一步提高参与范围广度；二是通过增加系数设置（见《办法》第十一条）使存款向更有实力的银行倾斜，进一步提高资金有效安全性；三是通过调整指标设置，增设“在惠普惠贷款”、“在惠制造业贷款”、“银行对地方扶持政策参与度”、“银行机构层级”等指标（见《办法》第九条第二款），进一步提高银行对地方经济建设支持的贡献度；四是通过择优选择存放银行（见《办法》第六条第五款），进一步提高竞争性；五是通过取消只有少数银行参与的指标（如“国库集中收付量”），进一步提高公平性。</w:t>
      </w:r>
    </w:p>
    <w:p>
      <w:pPr>
        <w:spacing w:line="620" w:lineRule="exact"/>
        <w:ind w:firstLine="566" w:firstLineChars="177"/>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二、政策依据</w:t>
      </w:r>
    </w:p>
    <w:p>
      <w:pPr>
        <w:spacing w:line="620" w:lineRule="exact"/>
        <w:ind w:firstLine="563" w:firstLineChars="176"/>
        <w:rPr>
          <w:rFonts w:hint="default" w:ascii="Times New Roman" w:hAnsi="Times New Roman" w:eastAsia="仿宋_GB2312" w:cs="Times New Roman"/>
          <w:color w:val="FF0000"/>
          <w:sz w:val="32"/>
          <w:szCs w:val="32"/>
          <w:shd w:val="clear" w:color="auto" w:fill="FFFFFF"/>
        </w:rPr>
      </w:pPr>
      <w:r>
        <w:rPr>
          <w:rFonts w:hint="default" w:ascii="Times New Roman" w:hAnsi="Times New Roman" w:eastAsia="仿宋_GB2312" w:cs="Times New Roman"/>
          <w:sz w:val="32"/>
          <w:szCs w:val="32"/>
        </w:rPr>
        <w:t>广东省财政厅《关于进一步加强财政部门和预算单位</w:t>
      </w:r>
      <w:r>
        <w:rPr>
          <w:rFonts w:hint="default" w:ascii="Times New Roman" w:hAnsi="Times New Roman" w:eastAsia="仿宋_GB2312" w:cs="Times New Roman"/>
          <w:sz w:val="32"/>
          <w:szCs w:val="32"/>
          <w:shd w:val="clear" w:color="auto" w:fill="FFFFFF"/>
        </w:rPr>
        <w:t>资金存放管理的实施意见》(粤财库</w:t>
      </w:r>
      <w:r>
        <w:rPr>
          <w:rFonts w:hint="default" w:ascii="Times New Roman" w:hAnsi="Times New Roman" w:eastAsia="仿宋_GB2312" w:cs="Times New Roman"/>
          <w:sz w:val="32"/>
          <w:szCs w:val="32"/>
        </w:rPr>
        <w:t>〔2017〕59号)。</w:t>
      </w:r>
    </w:p>
    <w:p>
      <w:pPr>
        <w:spacing w:line="620" w:lineRule="exact"/>
        <w:ind w:firstLine="566" w:firstLineChars="177"/>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三、办法的主要内容</w:t>
      </w:r>
    </w:p>
    <w:p>
      <w:pPr>
        <w:widowControl/>
        <w:shd w:val="clear" w:color="auto" w:fill="FFFFFF"/>
        <w:spacing w:line="600" w:lineRule="exact"/>
        <w:ind w:firstLine="566" w:firstLineChars="177"/>
        <w:rPr>
          <w:rFonts w:hint="default" w:ascii="Times New Roman" w:hAnsi="Times New Roman" w:eastAsia="楷体_GB2312" w:cs="Times New Roman"/>
          <w:color w:val="3E3E3E"/>
          <w:kern w:val="0"/>
          <w:sz w:val="32"/>
          <w:szCs w:val="32"/>
          <w:shd w:val="clear" w:color="auto" w:fill="FFFFFF"/>
        </w:rPr>
      </w:pPr>
      <w:r>
        <w:rPr>
          <w:rFonts w:hint="default" w:ascii="Times New Roman" w:hAnsi="Times New Roman" w:eastAsia="楷体_GB2312" w:cs="Times New Roman"/>
          <w:color w:val="3E3E3E"/>
          <w:kern w:val="0"/>
          <w:sz w:val="32"/>
          <w:szCs w:val="32"/>
          <w:shd w:val="clear" w:color="auto" w:fill="FFFFFF"/>
        </w:rPr>
        <w:t>（一）社保基金范围</w:t>
      </w:r>
    </w:p>
    <w:p>
      <w:pPr>
        <w:widowControl/>
        <w:shd w:val="clear" w:color="auto" w:fill="FFFFFF"/>
        <w:spacing w:line="600" w:lineRule="exact"/>
        <w:ind w:firstLine="566" w:firstLineChars="177"/>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明确纳入市财政专户管理的企业职工基本养老保险基金等7项基金，除保证正常支付资金外，结余资金办理定期存款，实现保值增值。</w:t>
      </w:r>
    </w:p>
    <w:p>
      <w:pPr>
        <w:widowControl/>
        <w:shd w:val="clear" w:color="auto" w:fill="FFFFFF"/>
        <w:spacing w:line="600" w:lineRule="exact"/>
        <w:ind w:firstLine="566" w:firstLineChars="177"/>
        <w:rPr>
          <w:rFonts w:hint="default" w:ascii="Times New Roman" w:hAnsi="Times New Roman" w:eastAsia="楷体_GB2312" w:cs="Times New Roman"/>
          <w:color w:val="3E3E3E"/>
          <w:kern w:val="0"/>
          <w:sz w:val="32"/>
          <w:szCs w:val="32"/>
          <w:shd w:val="clear" w:color="auto" w:fill="FFFFFF"/>
        </w:rPr>
      </w:pPr>
      <w:r>
        <w:rPr>
          <w:rFonts w:hint="default" w:ascii="Times New Roman" w:hAnsi="Times New Roman" w:eastAsia="楷体_GB2312" w:cs="Times New Roman"/>
          <w:color w:val="3E3E3E"/>
          <w:kern w:val="0"/>
          <w:sz w:val="32"/>
          <w:szCs w:val="32"/>
          <w:shd w:val="clear" w:color="auto" w:fill="FFFFFF"/>
        </w:rPr>
        <w:t>（二）参与银行范围</w:t>
      </w:r>
    </w:p>
    <w:p>
      <w:pPr>
        <w:widowControl/>
        <w:shd w:val="clear" w:color="auto" w:fill="FFFFFF"/>
        <w:spacing w:line="600" w:lineRule="exact"/>
        <w:ind w:firstLine="566" w:firstLineChars="177"/>
        <w:rPr>
          <w:rFonts w:hint="default" w:ascii="Times New Roman" w:hAnsi="Times New Roman" w:eastAsia="楷体_GB2312" w:cs="Times New Roman"/>
          <w:color w:val="3E3E3E"/>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明确参与银行应是在中华人民共和国境内依法设立，同时在市区设有分行级以上经营机构，吸收公众存款的银行业金融机构以及政策性银行</w:t>
      </w:r>
      <w:r>
        <w:rPr>
          <w:rFonts w:hint="default" w:ascii="Times New Roman" w:hAnsi="Times New Roman" w:eastAsia="仿宋_GB2312" w:cs="Times New Roman"/>
          <w:kern w:val="0"/>
          <w:sz w:val="32"/>
          <w:szCs w:val="32"/>
        </w:rPr>
        <w:t>。</w:t>
      </w:r>
    </w:p>
    <w:p>
      <w:pPr>
        <w:widowControl/>
        <w:shd w:val="clear" w:color="auto" w:fill="FFFFFF"/>
        <w:spacing w:line="600" w:lineRule="exact"/>
        <w:ind w:firstLine="566" w:firstLineChars="177"/>
        <w:rPr>
          <w:rFonts w:hint="default" w:ascii="Times New Roman" w:hAnsi="Times New Roman" w:eastAsia="楷体_GB2312" w:cs="Times New Roman"/>
          <w:color w:val="3E3E3E"/>
          <w:kern w:val="0"/>
          <w:sz w:val="32"/>
          <w:szCs w:val="32"/>
          <w:shd w:val="clear" w:color="auto" w:fill="FFFFFF"/>
        </w:rPr>
      </w:pPr>
      <w:r>
        <w:rPr>
          <w:rFonts w:hint="default" w:ascii="Times New Roman" w:hAnsi="Times New Roman" w:eastAsia="楷体_GB2312" w:cs="Times New Roman"/>
          <w:color w:val="3E3E3E"/>
          <w:kern w:val="0"/>
          <w:sz w:val="32"/>
          <w:szCs w:val="32"/>
          <w:shd w:val="clear" w:color="auto" w:fill="FFFFFF"/>
        </w:rPr>
        <w:t>（三）存放管理原则</w:t>
      </w:r>
    </w:p>
    <w:p>
      <w:pPr>
        <w:spacing w:line="620" w:lineRule="exact"/>
        <w:ind w:firstLine="566" w:firstLineChars="177"/>
        <w:rPr>
          <w:rFonts w:hint="default" w:ascii="Times New Roman" w:hAnsi="Times New Roman" w:eastAsia="仿宋_GB2312" w:cs="Times New Roman"/>
          <w:color w:val="3E3E3E"/>
          <w:sz w:val="32"/>
          <w:szCs w:val="32"/>
          <w:shd w:val="clear" w:color="auto" w:fill="FFFFFF"/>
        </w:rPr>
      </w:pPr>
      <w:r>
        <w:rPr>
          <w:rFonts w:hint="default" w:ascii="Times New Roman" w:hAnsi="Times New Roman" w:eastAsia="仿宋_GB2312" w:cs="Times New Roman"/>
          <w:color w:val="000000"/>
          <w:sz w:val="32"/>
          <w:szCs w:val="32"/>
        </w:rPr>
        <w:t>社保基金存放管理应遵循依法合</w:t>
      </w:r>
      <w:r>
        <w:rPr>
          <w:rFonts w:hint="default" w:ascii="Times New Roman" w:hAnsi="Times New Roman" w:eastAsia="仿宋_GB2312" w:cs="Times New Roman"/>
          <w:color w:val="000000"/>
          <w:spacing w:val="-2"/>
          <w:kern w:val="0"/>
          <w:sz w:val="32"/>
          <w:szCs w:val="32"/>
          <w:lang w:val="zh-CN"/>
        </w:rPr>
        <w:t>规、安全优先、公正透明、科学合理、责权统一的原则。</w:t>
      </w:r>
    </w:p>
    <w:p>
      <w:pPr>
        <w:widowControl/>
        <w:shd w:val="clear" w:color="auto" w:fill="FFFFFF"/>
        <w:spacing w:line="600" w:lineRule="exact"/>
        <w:ind w:firstLine="559" w:firstLineChars="177"/>
        <w:rPr>
          <w:rFonts w:hint="default" w:ascii="Times New Roman" w:hAnsi="Times New Roman" w:eastAsia="楷体_GB2312" w:cs="Times New Roman"/>
          <w:spacing w:val="-2"/>
          <w:kern w:val="0"/>
          <w:sz w:val="32"/>
          <w:szCs w:val="32"/>
          <w:lang w:val="zh-CN"/>
        </w:rPr>
      </w:pPr>
      <w:r>
        <w:rPr>
          <w:rFonts w:hint="default" w:ascii="Times New Roman" w:hAnsi="Times New Roman" w:eastAsia="楷体_GB2312" w:cs="Times New Roman"/>
          <w:spacing w:val="-2"/>
          <w:kern w:val="0"/>
          <w:sz w:val="32"/>
          <w:szCs w:val="32"/>
          <w:lang w:val="zh-CN"/>
        </w:rPr>
        <w:t>（四）规范竞争性存放操作</w:t>
      </w:r>
    </w:p>
    <w:p>
      <w:pPr>
        <w:tabs>
          <w:tab w:val="left" w:pos="4942"/>
        </w:tabs>
        <w:kinsoku w:val="0"/>
        <w:overflowPunct w:val="0"/>
        <w:autoSpaceDE w:val="0"/>
        <w:autoSpaceDN w:val="0"/>
        <w:adjustRightInd w:val="0"/>
        <w:spacing w:line="600" w:lineRule="exact"/>
        <w:ind w:firstLine="736" w:firstLineChars="23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1.明确存放银行的基本条件。要求</w:t>
      </w:r>
      <w:r>
        <w:rPr>
          <w:rFonts w:hint="default" w:ascii="Times New Roman" w:hAnsi="Times New Roman" w:eastAsia="仿宋_GB2312" w:cs="Times New Roman"/>
          <w:sz w:val="32"/>
          <w:szCs w:val="32"/>
        </w:rPr>
        <w:t>依法开展经营活动，近2年内无重大违法违规记录，</w:t>
      </w:r>
      <w:r>
        <w:rPr>
          <w:rFonts w:hint="default" w:ascii="Times New Roman" w:hAnsi="Times New Roman" w:eastAsia="仿宋_GB2312" w:cs="Times New Roman"/>
          <w:kern w:val="0"/>
          <w:sz w:val="32"/>
          <w:szCs w:val="32"/>
        </w:rPr>
        <w:t>未发生重大违约事件；</w:t>
      </w:r>
      <w:r>
        <w:rPr>
          <w:rFonts w:hint="default" w:ascii="Times New Roman" w:hAnsi="Times New Roman" w:eastAsia="仿宋_GB2312" w:cs="Times New Roman"/>
          <w:kern w:val="0"/>
          <w:sz w:val="32"/>
          <w:szCs w:val="32"/>
        </w:rPr>
        <w:t>财务稳健，资本充足率、不良贷款率、拨备覆盖率、流动性覆盖率、流动性比例等指标达到监管标准；人民银行惠州市中心支行最近2年银行业机构评估综合评级均为B＋及以上情形的；提供真实、准确、完整数据和材料；</w:t>
      </w:r>
      <w:r>
        <w:rPr>
          <w:rFonts w:hint="default" w:ascii="Times New Roman" w:hAnsi="Times New Roman" w:eastAsia="仿宋_GB2312" w:cs="Times New Roman"/>
          <w:sz w:val="32"/>
          <w:szCs w:val="32"/>
        </w:rPr>
        <w:t>承诺不得向相关人员输送任何利益等五部分条件。</w:t>
      </w:r>
    </w:p>
    <w:p>
      <w:pPr>
        <w:widowControl/>
        <w:shd w:val="clear" w:color="auto" w:fill="FFFFFF"/>
        <w:spacing w:line="600" w:lineRule="exact"/>
        <w:ind w:firstLine="723" w:firstLineChars="22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2.竞争性存放的流程。明确发布竞争性存放公告，组建评选委员会，采用综合评分法进行评分，根据评分结果择优确定存放银行并对外公告，确认结果发送中标通知书等。</w:t>
      </w:r>
    </w:p>
    <w:p>
      <w:pPr>
        <w:widowControl/>
        <w:shd w:val="clear" w:color="auto" w:fill="FFFFFF"/>
        <w:spacing w:line="600" w:lineRule="exact"/>
        <w:ind w:firstLine="723" w:firstLineChars="226"/>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3.综合评分指标及标准主要内容。采用综合评分法，合理设置评标指标和评分标准，明确</w:t>
      </w:r>
      <w:r>
        <w:rPr>
          <w:rFonts w:hint="default" w:ascii="Times New Roman" w:hAnsi="Times New Roman" w:eastAsia="仿宋_GB2312" w:cs="Times New Roman"/>
          <w:spacing w:val="-2"/>
          <w:kern w:val="0"/>
          <w:sz w:val="32"/>
          <w:szCs w:val="32"/>
          <w:lang w:val="zh-CN"/>
        </w:rPr>
        <w:t>各项评分指标及分值为：经营状况40分，支持地方经济发展贡献度40分，利率报价12分，服务水平8分。</w:t>
      </w:r>
    </w:p>
    <w:p>
      <w:pPr>
        <w:tabs>
          <w:tab w:val="left" w:pos="1620"/>
        </w:tabs>
        <w:spacing w:line="600" w:lineRule="exact"/>
        <w:ind w:firstLine="714" w:firstLineChars="226"/>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pacing w:val="-2"/>
          <w:kern w:val="0"/>
          <w:sz w:val="32"/>
          <w:szCs w:val="32"/>
          <w:lang w:val="zh-CN"/>
        </w:rPr>
        <w:t>4.银行得分和分配额度的计算方法。</w:t>
      </w:r>
      <w:r>
        <w:rPr>
          <w:rFonts w:hint="default" w:ascii="Times New Roman" w:hAnsi="Times New Roman" w:eastAsia="仿宋_GB2312" w:cs="Times New Roman"/>
          <w:sz w:val="32"/>
          <w:szCs w:val="22"/>
          <w:shd w:val="clear" w:color="auto" w:fill="FFFFFF"/>
        </w:rPr>
        <w:t>单项指标得分是按单项指标值进行排序，按名次排第一名的银行得满分，依次递减的办法计算得分；银行得分是单项指标得分之和；额度分配是按</w:t>
      </w:r>
      <w:r>
        <w:rPr>
          <w:rFonts w:hint="default" w:ascii="Times New Roman" w:hAnsi="Times New Roman" w:eastAsia="仿宋_GB2312" w:cs="Times New Roman"/>
          <w:sz w:val="32"/>
          <w:szCs w:val="32"/>
          <w:shd w:val="clear" w:color="auto" w:fill="FFFFFF"/>
        </w:rPr>
        <w:t>银行系数分的权重值计算定期存款额度。</w:t>
      </w:r>
    </w:p>
    <w:p>
      <w:pPr>
        <w:tabs>
          <w:tab w:val="left" w:pos="1620"/>
        </w:tabs>
        <w:spacing w:line="600" w:lineRule="exact"/>
        <w:ind w:firstLine="559" w:firstLineChars="177"/>
        <w:rPr>
          <w:rFonts w:hint="default" w:ascii="Times New Roman" w:hAnsi="Times New Roman" w:eastAsia="楷体_GB2312" w:cs="Times New Roman"/>
          <w:color w:val="3E3E3E"/>
          <w:kern w:val="0"/>
          <w:sz w:val="32"/>
          <w:szCs w:val="32"/>
          <w:shd w:val="clear" w:color="auto" w:fill="FFFFFF"/>
        </w:rPr>
      </w:pPr>
      <w:r>
        <w:rPr>
          <w:rFonts w:hint="default" w:ascii="Times New Roman" w:hAnsi="Times New Roman" w:eastAsia="楷体_GB2312" w:cs="Times New Roman"/>
          <w:spacing w:val="-2"/>
          <w:kern w:val="0"/>
          <w:sz w:val="32"/>
          <w:szCs w:val="32"/>
          <w:lang w:val="zh-CN"/>
        </w:rPr>
        <w:t>（五）明确监督管理和法律责任</w:t>
      </w:r>
    </w:p>
    <w:p>
      <w:pPr>
        <w:widowControl/>
        <w:shd w:val="clear" w:color="auto" w:fill="FFFFFF"/>
        <w:spacing w:line="600" w:lineRule="exact"/>
        <w:ind w:firstLine="566" w:firstLineChars="177"/>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2"/>
          <w:shd w:val="clear" w:color="auto" w:fill="FFFFFF"/>
        </w:rPr>
        <w:t>为确保公平、公正，《办法》加强约束和监督：</w:t>
      </w:r>
      <w:r>
        <w:rPr>
          <w:rFonts w:hint="default" w:ascii="Times New Roman" w:hAnsi="Times New Roman" w:eastAsia="仿宋" w:cs="Times New Roman"/>
          <w:kern w:val="0"/>
          <w:sz w:val="32"/>
        </w:rPr>
        <w:t>一是明确</w:t>
      </w:r>
      <w:r>
        <w:rPr>
          <w:rFonts w:hint="default" w:ascii="Times New Roman" w:hAnsi="Times New Roman" w:eastAsia="仿宋_GB2312" w:cs="Times New Roman"/>
          <w:kern w:val="0"/>
          <w:sz w:val="32"/>
          <w:szCs w:val="32"/>
        </w:rPr>
        <w:t>评审人员与参与银行不得有利害关系；二是市财政部门内设监督部门派出工作人员对评审工作进行全过程监督；三是参与银行应当出具廉政承诺书，承诺不得向相关人员输送任何利益，不得将资金存放与相关负责人员在本行亲属的业绩、收入挂钩</w:t>
      </w:r>
      <w:r>
        <w:rPr>
          <w:rFonts w:hint="default" w:ascii="Times New Roman" w:hAnsi="Times New Roman" w:eastAsia="仿宋" w:cs="Times New Roman"/>
          <w:kern w:val="0"/>
          <w:sz w:val="32"/>
        </w:rPr>
        <w:t>。</w:t>
      </w:r>
    </w:p>
    <w:p>
      <w:pPr>
        <w:rPr>
          <w:rFonts w:hint="default" w:ascii="Times New Roman" w:hAnsi="Times New Roman" w:cs="Times New Roman"/>
        </w:rPr>
      </w:pPr>
    </w:p>
    <w:sectPr>
      <w:headerReference r:id="rId3" w:type="default"/>
      <w:footerReference r:id="rId5" w:type="default"/>
      <w:headerReference r:id="rId4" w:type="even"/>
      <w:pgSz w:w="11906" w:h="16838"/>
      <w:pgMar w:top="1560" w:right="1416" w:bottom="1135" w:left="1560" w:header="851" w:footer="992" w:gutter="0"/>
      <w:cols w:space="720" w:num="1"/>
      <w:docGrid w:type="lines" w:linePitch="312" w:charSpace="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Hiragino Sans GB">
    <w:altName w:val="Courier New"/>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Arial"/>
        <w:sz w:val="18"/>
        <w:szCs w:val="18"/>
      </w:rPr>
    </w:pPr>
    <w:r>
      <w:rPr>
        <w:rFonts w:ascii="Calibri" w:hAnsi="Calibri" w:eastAsia="宋体" w:cs="Arial"/>
        <w:sz w:val="18"/>
        <w:szCs w:val="18"/>
      </w:rPr>
      <w:fldChar w:fldCharType="begin"/>
    </w:r>
    <w:r>
      <w:rPr>
        <w:rFonts w:ascii="Calibri" w:hAnsi="Calibri" w:eastAsia="宋体" w:cs="Arial"/>
        <w:sz w:val="18"/>
        <w:szCs w:val="18"/>
      </w:rPr>
      <w:instrText xml:space="preserve"> PAGE   \* MERGEFORMAT </w:instrText>
    </w:r>
    <w:r>
      <w:rPr>
        <w:rFonts w:ascii="Calibri" w:hAnsi="Calibri" w:eastAsia="宋体" w:cs="Arial"/>
        <w:sz w:val="18"/>
        <w:szCs w:val="18"/>
      </w:rPr>
      <w:fldChar w:fldCharType="separate"/>
    </w:r>
    <w:r>
      <w:rPr>
        <w:rFonts w:ascii="Calibri" w:hAnsi="Calibri" w:eastAsia="宋体" w:cs="Arial"/>
        <w:sz w:val="18"/>
        <w:szCs w:val="18"/>
        <w:lang w:val="zh-CN"/>
      </w:rPr>
      <w:t>4</w:t>
    </w:r>
    <w:r>
      <w:rPr>
        <w:rFonts w:ascii="Calibri" w:hAnsi="Calibri" w:eastAsia="宋体" w:cs="Arial"/>
        <w:sz w:val="18"/>
        <w:szCs w:val="18"/>
      </w:rPr>
      <w:fldChar w:fldCharType="end"/>
    </w:r>
  </w:p>
  <w:p>
    <w:pPr>
      <w:tabs>
        <w:tab w:val="center" w:pos="4153"/>
        <w:tab w:val="right" w:pos="8306"/>
      </w:tabs>
      <w:snapToGrid w:val="0"/>
      <w:jc w:val="left"/>
      <w:rPr>
        <w:rFonts w:ascii="Calibri" w:hAnsi="Calibri" w:eastAsia="宋体" w:cs="Arial"/>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2BF2"/>
    <w:rsid w:val="000C02D0"/>
    <w:rsid w:val="00196303"/>
    <w:rsid w:val="002C55E0"/>
    <w:rsid w:val="005054CF"/>
    <w:rsid w:val="00562BF2"/>
    <w:rsid w:val="006837E0"/>
    <w:rsid w:val="006A05EE"/>
    <w:rsid w:val="006F4371"/>
    <w:rsid w:val="007336B2"/>
    <w:rsid w:val="007946CD"/>
    <w:rsid w:val="007D6E6B"/>
    <w:rsid w:val="008034A2"/>
    <w:rsid w:val="008E037B"/>
    <w:rsid w:val="00944346"/>
    <w:rsid w:val="00947B2F"/>
    <w:rsid w:val="00AD00D7"/>
    <w:rsid w:val="00AD485D"/>
    <w:rsid w:val="00B5450E"/>
    <w:rsid w:val="00B9078E"/>
    <w:rsid w:val="00BE5581"/>
    <w:rsid w:val="00C52DB8"/>
    <w:rsid w:val="00D3400B"/>
    <w:rsid w:val="00DE0186"/>
    <w:rsid w:val="1142324A"/>
    <w:rsid w:val="1D816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kern w:val="2"/>
      <w:sz w:val="18"/>
      <w:szCs w:val="18"/>
    </w:rPr>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302</Words>
  <Characters>1727</Characters>
  <Lines>14</Lines>
  <Paragraphs>4</Paragraphs>
  <TotalTime>20</TotalTime>
  <ScaleCrop>false</ScaleCrop>
  <LinksUpToDate>false</LinksUpToDate>
  <CharactersWithSpaces>2025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2021-04-22T00:47:00Z</dcterms:created>
  <dc:creator>Administrator</dc:creator>
  <cp:lastModifiedBy>陈倩茹</cp:lastModifiedBy>
  <dcterms:modified xsi:type="dcterms:W3CDTF">2021-06-01T00:58:14Z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