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00" w:rsidRDefault="00506E00" w:rsidP="00506E00">
      <w:pPr>
        <w:pStyle w:val="New"/>
        <w:adjustRightInd w:val="0"/>
        <w:snapToGrid w:val="0"/>
        <w:spacing w:line="560" w:lineRule="exact"/>
        <w:rPr>
          <w:rFonts w:ascii="仿宋_GB2312" w:hAnsi="仿宋_GB2312" w:cs="仿宋_GB2312"/>
          <w:b/>
          <w:snapToGrid w:val="0"/>
          <w:kern w:val="0"/>
          <w:szCs w:val="32"/>
        </w:rPr>
      </w:pPr>
      <w:r>
        <w:rPr>
          <w:rFonts w:ascii="仿宋_GB2312" w:hAnsi="仿宋_GB2312" w:cs="仿宋_GB2312" w:hint="eastAsia"/>
          <w:b/>
          <w:snapToGrid w:val="0"/>
          <w:kern w:val="0"/>
          <w:szCs w:val="32"/>
        </w:rPr>
        <w:t>附表        《惠州市“三线一单”生态环境分区管控方案（征求意见稿）》征求意见</w:t>
      </w:r>
    </w:p>
    <w:p w:rsidR="00506E00" w:rsidRDefault="00506E00" w:rsidP="00506E00">
      <w:pPr>
        <w:pStyle w:val="New"/>
        <w:adjustRightInd w:val="0"/>
        <w:snapToGrid w:val="0"/>
        <w:spacing w:line="560" w:lineRule="exact"/>
        <w:jc w:val="center"/>
        <w:rPr>
          <w:rFonts w:ascii="仿宋_GB2312" w:hAnsi="仿宋_GB2312" w:cs="仿宋_GB2312"/>
          <w:b/>
          <w:snapToGrid w:val="0"/>
          <w:kern w:val="0"/>
          <w:szCs w:val="32"/>
        </w:rPr>
      </w:pPr>
      <w:r>
        <w:rPr>
          <w:rFonts w:ascii="仿宋_GB2312" w:hAnsi="仿宋_GB2312" w:cs="仿宋_GB2312" w:hint="eastAsia"/>
          <w:b/>
          <w:snapToGrid w:val="0"/>
          <w:kern w:val="0"/>
          <w:szCs w:val="32"/>
        </w:rPr>
        <w:t>反馈意见及采纳情况表</w:t>
      </w:r>
    </w:p>
    <w:p w:rsidR="00506E00" w:rsidRDefault="00506E00" w:rsidP="00506E00">
      <w:pPr>
        <w:pStyle w:val="New"/>
        <w:adjustRightInd w:val="0"/>
        <w:snapToGrid w:val="0"/>
        <w:spacing w:line="560" w:lineRule="exact"/>
        <w:jc w:val="center"/>
        <w:rPr>
          <w:rFonts w:ascii="仿宋_GB2312" w:hAnsi="仿宋_GB2312" w:cs="仿宋_GB2312"/>
          <w:b/>
          <w:snapToGrid w:val="0"/>
          <w:kern w:val="0"/>
          <w:sz w:val="30"/>
          <w:szCs w:val="30"/>
        </w:rPr>
      </w:pPr>
    </w:p>
    <w:tbl>
      <w:tblPr>
        <w:tblStyle w:val="a3"/>
        <w:tblW w:w="14880" w:type="dxa"/>
        <w:tblInd w:w="-135" w:type="dxa"/>
        <w:tblLayout w:type="fixed"/>
        <w:tblCellMar>
          <w:left w:w="108" w:type="dxa"/>
          <w:right w:w="108" w:type="dxa"/>
        </w:tblCellMar>
        <w:tblLook w:val="04A0"/>
      </w:tblPr>
      <w:tblGrid>
        <w:gridCol w:w="691"/>
        <w:gridCol w:w="3766"/>
        <w:gridCol w:w="1143"/>
        <w:gridCol w:w="6895"/>
        <w:gridCol w:w="2385"/>
      </w:tblGrid>
      <w:tr w:rsidR="00506E00" w:rsidTr="00142300">
        <w:tc>
          <w:tcPr>
            <w:tcW w:w="691" w:type="dxa"/>
            <w:vAlign w:val="center"/>
          </w:tcPr>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序号</w:t>
            </w:r>
          </w:p>
        </w:tc>
        <w:tc>
          <w:tcPr>
            <w:tcW w:w="3766" w:type="dxa"/>
            <w:vAlign w:val="center"/>
          </w:tcPr>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反馈意见</w:t>
            </w:r>
          </w:p>
        </w:tc>
        <w:tc>
          <w:tcPr>
            <w:tcW w:w="1143" w:type="dxa"/>
            <w:vAlign w:val="center"/>
          </w:tcPr>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是否</w:t>
            </w:r>
          </w:p>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采纳</w:t>
            </w:r>
          </w:p>
        </w:tc>
        <w:tc>
          <w:tcPr>
            <w:tcW w:w="6895" w:type="dxa"/>
            <w:vAlign w:val="center"/>
          </w:tcPr>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相关情况说明</w:t>
            </w:r>
          </w:p>
        </w:tc>
        <w:tc>
          <w:tcPr>
            <w:tcW w:w="2385" w:type="dxa"/>
            <w:vAlign w:val="center"/>
          </w:tcPr>
          <w:p w:rsidR="00506E00" w:rsidRDefault="00506E00" w:rsidP="00142300">
            <w:pPr>
              <w:pStyle w:val="New"/>
              <w:adjustRightInd w:val="0"/>
              <w:snapToGrid w:val="0"/>
              <w:spacing w:line="360" w:lineRule="auto"/>
              <w:jc w:val="center"/>
              <w:rPr>
                <w:rFonts w:ascii="仿宋_GB2312" w:hAnsi="仿宋_GB2312" w:cs="仿宋_GB2312"/>
                <w:b/>
                <w:snapToGrid w:val="0"/>
                <w:sz w:val="24"/>
              </w:rPr>
            </w:pPr>
            <w:r>
              <w:rPr>
                <w:rFonts w:ascii="仿宋_GB2312" w:hAnsi="仿宋_GB2312" w:cs="仿宋_GB2312" w:hint="eastAsia"/>
                <w:b/>
                <w:snapToGrid w:val="0"/>
                <w:sz w:val="24"/>
              </w:rPr>
              <w:t>反馈意见来源</w:t>
            </w:r>
          </w:p>
        </w:tc>
      </w:tr>
      <w:tr w:rsidR="00506E00" w:rsidTr="00142300">
        <w:tc>
          <w:tcPr>
            <w:tcW w:w="691"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1</w:t>
            </w:r>
          </w:p>
        </w:tc>
        <w:tc>
          <w:tcPr>
            <w:tcW w:w="3766" w:type="dxa"/>
            <w:vAlign w:val="center"/>
          </w:tcPr>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（1）惠州市“三线一单”和原来的饮用水源保护区，海洋功能区划，森林公园规划，是一致的吗？</w:t>
            </w:r>
          </w:p>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（2）说是一条红线管到底，但是“三线一单”的方案文件没说怎么和以前执行的各类规划怎么替代，或者兼容。我们做环保咨询服务的时候，感觉很为难，政策之间打架的</w:t>
            </w:r>
            <w:r>
              <w:rPr>
                <w:rFonts w:ascii="仿宋_GB2312" w:hAnsi="仿宋_GB2312" w:cs="仿宋_GB2312" w:hint="eastAsia"/>
                <w:bCs/>
                <w:snapToGrid w:val="0"/>
                <w:sz w:val="24"/>
              </w:rPr>
              <w:lastRenderedPageBreak/>
              <w:t>事情太多了，给项目建设单位增加了政策负担。</w:t>
            </w:r>
          </w:p>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（3）另外“三线一单”的图能不能向公众公开，搞个类似百度地图的app或才网页，这样也便于建设项目合理选择建设地址。</w:t>
            </w:r>
          </w:p>
        </w:tc>
        <w:tc>
          <w:tcPr>
            <w:tcW w:w="1143"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lastRenderedPageBreak/>
              <w:t>（1）、（2）采纳；（3）非本级权限</w:t>
            </w:r>
          </w:p>
        </w:tc>
        <w:tc>
          <w:tcPr>
            <w:tcW w:w="6895" w:type="dxa"/>
            <w:vAlign w:val="center"/>
          </w:tcPr>
          <w:p w:rsidR="00506E00" w:rsidRDefault="00506E00" w:rsidP="00142300">
            <w:pPr>
              <w:pStyle w:val="New"/>
              <w:numPr>
                <w:ilvl w:val="0"/>
                <w:numId w:val="1"/>
              </w:numPr>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三线一单”采用的饮用水源保护区、海洋功能区划、森林公园分区等数据，与相关规划的成果是一致的；部分仍在调整的区划（如自然保护地）采用的是最新成果，根据“三线一单”动态调整机制，此类区划正式发布后“三线一单”中的相关成果会相应更新。</w:t>
            </w:r>
          </w:p>
          <w:p w:rsidR="00506E00" w:rsidRDefault="00506E00" w:rsidP="00142300">
            <w:pPr>
              <w:pStyle w:val="New"/>
              <w:numPr>
                <w:ilvl w:val="0"/>
                <w:numId w:val="1"/>
              </w:numPr>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“三线一单”是一项综合性的工作，其本身并未对区域生态环境准入提出额外的要求，而是将以往分散在各个职能部门、与生态环境保护相关的管</w:t>
            </w:r>
            <w:proofErr w:type="gramStart"/>
            <w:r>
              <w:rPr>
                <w:rFonts w:ascii="仿宋_GB2312" w:hAnsi="仿宋_GB2312" w:cs="仿宋_GB2312" w:hint="eastAsia"/>
                <w:bCs/>
                <w:snapToGrid w:val="0"/>
                <w:sz w:val="24"/>
              </w:rPr>
              <w:t>控要求</w:t>
            </w:r>
            <w:proofErr w:type="gramEnd"/>
            <w:r>
              <w:rPr>
                <w:rFonts w:ascii="仿宋_GB2312" w:hAnsi="仿宋_GB2312" w:cs="仿宋_GB2312" w:hint="eastAsia"/>
                <w:bCs/>
                <w:snapToGrid w:val="0"/>
                <w:sz w:val="24"/>
              </w:rPr>
              <w:t>梳理整合并形成体系，从而更系统地</w:t>
            </w:r>
            <w:r>
              <w:rPr>
                <w:rFonts w:ascii="仿宋_GB2312" w:hAnsi="仿宋_GB2312" w:cs="仿宋_GB2312" w:hint="eastAsia"/>
                <w:bCs/>
                <w:snapToGrid w:val="0"/>
                <w:sz w:val="24"/>
              </w:rPr>
              <w:lastRenderedPageBreak/>
              <w:t>实施区域生态环境管控，故不会给项目建设单位增加新的政策负担。</w:t>
            </w:r>
          </w:p>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（3）“三线一单”图件成果是否公开仍需</w:t>
            </w:r>
            <w:proofErr w:type="gramStart"/>
            <w:r>
              <w:rPr>
                <w:rFonts w:ascii="仿宋_GB2312" w:hAnsi="仿宋_GB2312" w:cs="仿宋_GB2312" w:hint="eastAsia"/>
                <w:bCs/>
                <w:snapToGrid w:val="0"/>
                <w:sz w:val="24"/>
              </w:rPr>
              <w:t>等待省</w:t>
            </w:r>
            <w:proofErr w:type="gramEnd"/>
            <w:r>
              <w:rPr>
                <w:rFonts w:ascii="仿宋_GB2312" w:hAnsi="仿宋_GB2312" w:cs="仿宋_GB2312" w:hint="eastAsia"/>
                <w:bCs/>
                <w:snapToGrid w:val="0"/>
                <w:sz w:val="24"/>
              </w:rPr>
              <w:t>主管部门确认。根据工作部署，广东省正在搭建全省“三线一单”应用平台，各市的成果都会录入其中，该系统会给每</w:t>
            </w:r>
            <w:bookmarkStart w:id="0" w:name="_GoBack"/>
            <w:bookmarkEnd w:id="0"/>
            <w:r>
              <w:rPr>
                <w:rFonts w:ascii="仿宋_GB2312" w:hAnsi="仿宋_GB2312" w:cs="仿宋_GB2312" w:hint="eastAsia"/>
                <w:bCs/>
                <w:snapToGrid w:val="0"/>
                <w:sz w:val="24"/>
              </w:rPr>
              <w:t>个地市分配账号，届时可实现意见中提及的查询功能。</w:t>
            </w:r>
          </w:p>
        </w:tc>
        <w:tc>
          <w:tcPr>
            <w:tcW w:w="2385"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lastRenderedPageBreak/>
              <w:t xml:space="preserve">Scott </w:t>
            </w:r>
            <w:proofErr w:type="spellStart"/>
            <w:r>
              <w:rPr>
                <w:rFonts w:ascii="仿宋_GB2312" w:hAnsi="仿宋_GB2312" w:cs="仿宋_GB2312" w:hint="eastAsia"/>
                <w:bCs/>
                <w:snapToGrid w:val="0"/>
                <w:sz w:val="24"/>
              </w:rPr>
              <w:t>xie</w:t>
            </w:r>
            <w:proofErr w:type="spellEnd"/>
            <w:r>
              <w:rPr>
                <w:rFonts w:ascii="仿宋_GB2312" w:hAnsi="仿宋_GB2312" w:cs="仿宋_GB2312" w:hint="eastAsia"/>
                <w:bCs/>
                <w:snapToGrid w:val="0"/>
                <w:sz w:val="24"/>
              </w:rPr>
              <w:t xml:space="preserve"> &lt;378270094@qq.com&gt;</w:t>
            </w:r>
          </w:p>
        </w:tc>
      </w:tr>
      <w:tr w:rsidR="00506E00" w:rsidTr="00142300">
        <w:tc>
          <w:tcPr>
            <w:tcW w:w="691"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lastRenderedPageBreak/>
              <w:t>2</w:t>
            </w:r>
          </w:p>
        </w:tc>
        <w:tc>
          <w:tcPr>
            <w:tcW w:w="3766"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建议明确《方案》中（三）污染物排放管</w:t>
            </w:r>
            <w:proofErr w:type="gramStart"/>
            <w:r>
              <w:rPr>
                <w:rFonts w:ascii="仿宋_GB2312" w:hAnsi="仿宋_GB2312" w:cs="仿宋_GB2312" w:hint="eastAsia"/>
                <w:bCs/>
                <w:snapToGrid w:val="0"/>
                <w:sz w:val="24"/>
              </w:rPr>
              <w:t>控要求</w:t>
            </w:r>
            <w:proofErr w:type="gramEnd"/>
            <w:r>
              <w:rPr>
                <w:rFonts w:ascii="仿宋_GB2312" w:hAnsi="仿宋_GB2312" w:cs="仿宋_GB2312" w:hint="eastAsia"/>
                <w:bCs/>
                <w:snapToGrid w:val="0"/>
                <w:sz w:val="24"/>
              </w:rPr>
              <w:t>中P17重点重金属指哪些重金属。</w:t>
            </w:r>
          </w:p>
        </w:tc>
        <w:tc>
          <w:tcPr>
            <w:tcW w:w="1143"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不采纳</w:t>
            </w:r>
          </w:p>
        </w:tc>
        <w:tc>
          <w:tcPr>
            <w:tcW w:w="6895" w:type="dxa"/>
            <w:vAlign w:val="center"/>
          </w:tcPr>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相关表述已根据《广东省环境保护条例》、《广东省重金属污染防治“十三五”规划》等文件修改，删除了“重点重金属”的表述</w:t>
            </w:r>
          </w:p>
        </w:tc>
        <w:tc>
          <w:tcPr>
            <w:tcW w:w="2385"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Hu-at027&lt;huyunfei027@qq.com&gt;</w:t>
            </w:r>
          </w:p>
        </w:tc>
      </w:tr>
      <w:tr w:rsidR="00506E00" w:rsidTr="00142300">
        <w:tc>
          <w:tcPr>
            <w:tcW w:w="691"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3</w:t>
            </w:r>
          </w:p>
        </w:tc>
        <w:tc>
          <w:tcPr>
            <w:tcW w:w="3766"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建议明确优先保护单元具体开展哪些人类活动。</w:t>
            </w:r>
          </w:p>
        </w:tc>
        <w:tc>
          <w:tcPr>
            <w:tcW w:w="1143"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部分</w:t>
            </w:r>
          </w:p>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t>采纳</w:t>
            </w:r>
          </w:p>
        </w:tc>
        <w:tc>
          <w:tcPr>
            <w:tcW w:w="6895" w:type="dxa"/>
            <w:vAlign w:val="center"/>
          </w:tcPr>
          <w:p w:rsidR="00506E00" w:rsidRDefault="00506E00" w:rsidP="00142300">
            <w:pPr>
              <w:pStyle w:val="New"/>
              <w:adjustRightInd w:val="0"/>
              <w:snapToGrid w:val="0"/>
              <w:spacing w:line="360" w:lineRule="auto"/>
              <w:jc w:val="left"/>
              <w:rPr>
                <w:rFonts w:ascii="仿宋_GB2312" w:hAnsi="仿宋_GB2312" w:cs="仿宋_GB2312"/>
                <w:bCs/>
                <w:snapToGrid w:val="0"/>
                <w:sz w:val="24"/>
              </w:rPr>
            </w:pPr>
            <w:r>
              <w:rPr>
                <w:rFonts w:ascii="仿宋_GB2312" w:hAnsi="仿宋_GB2312" w:cs="仿宋_GB2312" w:hint="eastAsia"/>
                <w:bCs/>
                <w:snapToGrid w:val="0"/>
                <w:sz w:val="24"/>
              </w:rPr>
              <w:t>《惠州市“三线一单”生态环境分区管控方案》划定了20个陆域优先保护单元、10个海域优先保护单元，陆域优先保护单元主要涵盖生态保护红线、一般生态空间、饮用水源保护区、环境空气质量一类功能区等区域，海域优先保护单元主要为海洋生态保护</w:t>
            </w:r>
            <w:r>
              <w:rPr>
                <w:rFonts w:ascii="仿宋_GB2312" w:hAnsi="仿宋_GB2312" w:cs="仿宋_GB2312" w:hint="eastAsia"/>
                <w:bCs/>
                <w:snapToGrid w:val="0"/>
                <w:sz w:val="24"/>
              </w:rPr>
              <w:lastRenderedPageBreak/>
              <w:t>红线，各优先保护单元因保护要素不同，其允许开展的人类活动也不同。《惠州市“三线一单”生态环境分区管控方案》中对所有类型管控单元（含优先保护单元）均提出了个性化的环境准入清单，通过明确禁止和限制类的管</w:t>
            </w:r>
            <w:proofErr w:type="gramStart"/>
            <w:r>
              <w:rPr>
                <w:rFonts w:ascii="仿宋_GB2312" w:hAnsi="仿宋_GB2312" w:cs="仿宋_GB2312" w:hint="eastAsia"/>
                <w:bCs/>
                <w:snapToGrid w:val="0"/>
                <w:sz w:val="24"/>
              </w:rPr>
              <w:t>控要求</w:t>
            </w:r>
            <w:proofErr w:type="gramEnd"/>
            <w:r>
              <w:rPr>
                <w:rFonts w:ascii="仿宋_GB2312" w:hAnsi="仿宋_GB2312" w:cs="仿宋_GB2312" w:hint="eastAsia"/>
                <w:bCs/>
                <w:snapToGrid w:val="0"/>
                <w:sz w:val="24"/>
              </w:rPr>
              <w:t>来引导区域发展，而各单元的管控清单上也已根据单元实际情况列出了鼓励发展的行业产业，对于不在禁止和限制类名单上的项目，若符合相关法律法规和环保要求，即可按规定流程推进。</w:t>
            </w:r>
          </w:p>
        </w:tc>
        <w:tc>
          <w:tcPr>
            <w:tcW w:w="2385" w:type="dxa"/>
            <w:vAlign w:val="center"/>
          </w:tcPr>
          <w:p w:rsidR="00506E00" w:rsidRDefault="00506E00" w:rsidP="00142300">
            <w:pPr>
              <w:pStyle w:val="New"/>
              <w:adjustRightInd w:val="0"/>
              <w:snapToGrid w:val="0"/>
              <w:spacing w:line="360" w:lineRule="auto"/>
              <w:jc w:val="center"/>
              <w:rPr>
                <w:rFonts w:ascii="仿宋_GB2312" w:hAnsi="仿宋_GB2312" w:cs="仿宋_GB2312"/>
                <w:bCs/>
                <w:snapToGrid w:val="0"/>
                <w:sz w:val="24"/>
              </w:rPr>
            </w:pPr>
            <w:r>
              <w:rPr>
                <w:rFonts w:ascii="仿宋_GB2312" w:hAnsi="仿宋_GB2312" w:cs="仿宋_GB2312" w:hint="eastAsia"/>
                <w:bCs/>
                <w:snapToGrid w:val="0"/>
                <w:sz w:val="24"/>
              </w:rPr>
              <w:lastRenderedPageBreak/>
              <w:t>Hu-at027&lt;huyunfei027@qq.com&gt;</w:t>
            </w:r>
          </w:p>
        </w:tc>
      </w:tr>
    </w:tbl>
    <w:p w:rsidR="00506E00" w:rsidRDefault="00506E00" w:rsidP="00506E00">
      <w:pPr>
        <w:pStyle w:val="New"/>
        <w:adjustRightInd w:val="0"/>
        <w:snapToGrid w:val="0"/>
        <w:spacing w:line="560" w:lineRule="exact"/>
        <w:jc w:val="center"/>
        <w:rPr>
          <w:rFonts w:ascii="仿宋_GB2312" w:hAnsi="仿宋_GB2312" w:cs="仿宋_GB2312"/>
          <w:b/>
          <w:snapToGrid w:val="0"/>
          <w:kern w:val="0"/>
          <w:sz w:val="30"/>
          <w:szCs w:val="30"/>
        </w:rPr>
      </w:pPr>
    </w:p>
    <w:p w:rsidR="004D3798" w:rsidRPr="00506E00" w:rsidRDefault="004D3798" w:rsidP="00506E00"/>
    <w:sectPr w:rsidR="004D3798" w:rsidRPr="00506E00" w:rsidSect="00E122D5">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pgNumType w:fmt="numberInDash"/>
      <w:cols w:space="720"/>
      <w:docGrid w:type="lines" w:linePitch="312" w:charSpace="-250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D1C" w:rsidRDefault="00781D1C" w:rsidP="00506E00">
      <w:r>
        <w:separator/>
      </w:r>
    </w:p>
  </w:endnote>
  <w:endnote w:type="continuationSeparator" w:id="0">
    <w:p w:rsidR="00781D1C" w:rsidRDefault="00781D1C" w:rsidP="00506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1"/>
      <w:framePr w:wrap="around" w:vAnchor="text" w:hAnchor="margin" w:xAlign="center" w:y="2"/>
      <w:rPr>
        <w:rStyle w:val="New2"/>
      </w:rPr>
    </w:pPr>
    <w:r>
      <w:fldChar w:fldCharType="begin"/>
    </w:r>
    <w:r>
      <w:rPr>
        <w:rStyle w:val="New2"/>
      </w:rPr>
      <w:instrText xml:space="preserve">PAGE  </w:instrText>
    </w:r>
    <w:r>
      <w:fldChar w:fldCharType="separate"/>
    </w:r>
    <w:r>
      <w:rPr>
        <w:rStyle w:val="New2"/>
      </w:rPr>
      <w:t>62</w:t>
    </w:r>
    <w:r>
      <w:fldChar w:fldCharType="end"/>
    </w:r>
  </w:p>
  <w:p w:rsidR="00E122D5" w:rsidRDefault="00781D1C">
    <w:pPr>
      <w:pStyle w:val="New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1"/>
    </w:pPr>
    <w:r w:rsidRPr="00E122D5">
      <w:rPr>
        <w:rFonts w:cs="Times New Roman"/>
        <w:szCs w:val="24"/>
      </w:rPr>
      <w:pict>
        <v:shapetype id="_x0000_t202" coordsize="21600,21600" o:spt="202" path="m,l,21600r21600,l21600,xe">
          <v:stroke joinstyle="miter"/>
          <v:path gradientshapeok="t" o:connecttype="rect"/>
        </v:shapetype>
        <v:shape id="_x0000_s3073" type="#_x0000_t202" style="position:absolute;margin-left:0;margin-top:4.5pt;width:9.05pt;height:10.35pt;z-index:251660288;mso-wrap-style:none;mso-position-horizontal:center;mso-position-horizontal-relative:margin" o:gfxdata="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4hpf0QAA&#10;AAQBAAAPAAAAAAAAAAEAIAAAACIAAABkcnMvZG93bnJldi54bWxQSwECFAAUAAAACACHTuJAVn33&#10;47MBAABJAwAADgAAAAAAAAABACAAAAAgAQAAZHJzL2Uyb0RvYy54bWxQSwUGAAAAAAYABgBZAQAA&#10;RQUAAAAA&#10;" filled="f" stroked="f">
          <v:textbox style="mso-fit-shape-to-text:t" inset="0,0,0,0">
            <w:txbxContent>
              <w:p w:rsidR="00E122D5" w:rsidRDefault="00781D1C">
                <w:pPr>
                  <w:pStyle w:val="New1"/>
                  <w:rPr>
                    <w:rStyle w:val="New2"/>
                  </w:rPr>
                </w:pPr>
                <w:r>
                  <w:fldChar w:fldCharType="begin"/>
                </w:r>
                <w:r>
                  <w:rPr>
                    <w:rStyle w:val="New2"/>
                  </w:rPr>
                  <w:instrText xml:space="preserve">PAGE  </w:instrText>
                </w:r>
                <w:r>
                  <w:fldChar w:fldCharType="separate"/>
                </w:r>
                <w:r w:rsidR="00506E00">
                  <w:rPr>
                    <w:rStyle w:val="New2"/>
                    <w:noProof/>
                  </w:rPr>
                  <w:t>- 1 -</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D1C" w:rsidRDefault="00781D1C" w:rsidP="00506E00">
      <w:r>
        <w:separator/>
      </w:r>
    </w:p>
  </w:footnote>
  <w:footnote w:type="continuationSeparator" w:id="0">
    <w:p w:rsidR="00781D1C" w:rsidRDefault="00781D1C" w:rsidP="00506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D5" w:rsidRDefault="00781D1C">
    <w:pPr>
      <w:pStyle w:val="New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55630B"/>
    <w:multiLevelType w:val="singleLevel"/>
    <w:tmpl w:val="9755630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372"/>
    <w:rsid w:val="004D3798"/>
    <w:rsid w:val="00506E00"/>
    <w:rsid w:val="005C059F"/>
    <w:rsid w:val="00781D1C"/>
    <w:rsid w:val="008E5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5372"/>
    <w:pPr>
      <w:widowControl w:val="0"/>
      <w:jc w:val="both"/>
    </w:pPr>
    <w:rPr>
      <w:rFonts w:ascii="Times New Roman" w:eastAsia="宋体"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rsid w:val="008E537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New">
    <w:name w:val="正文 New"/>
    <w:qFormat/>
    <w:rsid w:val="008E5372"/>
    <w:pPr>
      <w:widowControl w:val="0"/>
      <w:jc w:val="both"/>
    </w:pPr>
    <w:rPr>
      <w:rFonts w:ascii="Times New Roman" w:eastAsia="仿宋_GB2312" w:hAnsi="Times New Roman"/>
      <w:sz w:val="32"/>
      <w:szCs w:val="24"/>
    </w:rPr>
  </w:style>
  <w:style w:type="paragraph" w:styleId="a4">
    <w:name w:val="header"/>
    <w:basedOn w:val="a"/>
    <w:link w:val="Char"/>
    <w:uiPriority w:val="99"/>
    <w:semiHidden/>
    <w:unhideWhenUsed/>
    <w:rsid w:val="00506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06E00"/>
    <w:rPr>
      <w:rFonts w:ascii="Times New Roman" w:eastAsia="宋体" w:hAnsi="Times New Roman"/>
      <w:sz w:val="18"/>
      <w:szCs w:val="18"/>
    </w:rPr>
  </w:style>
  <w:style w:type="paragraph" w:styleId="a5">
    <w:name w:val="footer"/>
    <w:basedOn w:val="a"/>
    <w:link w:val="Char0"/>
    <w:uiPriority w:val="99"/>
    <w:semiHidden/>
    <w:unhideWhenUsed/>
    <w:rsid w:val="00506E0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06E00"/>
    <w:rPr>
      <w:rFonts w:ascii="Times New Roman" w:eastAsia="宋体" w:hAnsi="Times New Roman"/>
      <w:sz w:val="18"/>
      <w:szCs w:val="18"/>
    </w:rPr>
  </w:style>
  <w:style w:type="paragraph" w:customStyle="1" w:styleId="New0">
    <w:name w:val="页眉 New"/>
    <w:qFormat/>
    <w:rsid w:val="00506E00"/>
    <w:pPr>
      <w:widowControl w:val="0"/>
      <w:pBdr>
        <w:bottom w:val="single" w:sz="6" w:space="1" w:color="auto"/>
      </w:pBdr>
      <w:tabs>
        <w:tab w:val="center" w:pos="4153"/>
        <w:tab w:val="right" w:pos="8306"/>
      </w:tabs>
      <w:snapToGrid w:val="0"/>
      <w:jc w:val="center"/>
    </w:pPr>
    <w:rPr>
      <w:rFonts w:ascii="Times New Roman" w:eastAsia="仿宋_GB2312" w:hAnsi="Times New Roman"/>
      <w:sz w:val="18"/>
      <w:szCs w:val="18"/>
    </w:rPr>
  </w:style>
  <w:style w:type="paragraph" w:customStyle="1" w:styleId="New1">
    <w:name w:val="页脚 New"/>
    <w:qFormat/>
    <w:rsid w:val="00506E00"/>
    <w:pPr>
      <w:widowControl w:val="0"/>
      <w:tabs>
        <w:tab w:val="center" w:pos="4153"/>
        <w:tab w:val="right" w:pos="8306"/>
      </w:tabs>
      <w:snapToGrid w:val="0"/>
    </w:pPr>
    <w:rPr>
      <w:rFonts w:ascii="Times New Roman" w:eastAsia="仿宋_GB2312" w:hAnsi="Times New Roman"/>
      <w:sz w:val="18"/>
      <w:szCs w:val="18"/>
    </w:rPr>
  </w:style>
  <w:style w:type="character" w:customStyle="1" w:styleId="New2">
    <w:name w:val="页码 New"/>
    <w:qFormat/>
    <w:rsid w:val="00506E00"/>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987</Characters>
  <Application>Microsoft Office Word</Application>
  <DocSecurity>0</DocSecurity>
  <Lines>8</Lines>
  <Paragraphs>2</Paragraphs>
  <ScaleCrop>false</ScaleCrop>
  <Company>Lenovo</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魏振权</dc:creator>
  <cp:lastModifiedBy>魏振权</cp:lastModifiedBy>
  <cp:revision>2</cp:revision>
  <dcterms:created xsi:type="dcterms:W3CDTF">2021-05-31T08:11:00Z</dcterms:created>
  <dcterms:modified xsi:type="dcterms:W3CDTF">2021-05-31T08:42:00Z</dcterms:modified>
</cp:coreProperties>
</file>